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B615B7" w14:textId="72519D64" w:rsidR="00E4049F" w:rsidRPr="00AB22DF" w:rsidRDefault="00A57672" w:rsidP="0027032C">
      <w:pPr>
        <w:spacing w:before="67"/>
        <w:ind w:right="3763"/>
        <w:rPr>
          <w:b/>
          <w:sz w:val="34"/>
        </w:rPr>
      </w:pPr>
      <w:r w:rsidRPr="00AB22DF">
        <w:rPr>
          <w:b/>
          <w:noProof/>
          <w:sz w:val="34"/>
        </w:rPr>
        <mc:AlternateContent>
          <mc:Choice Requires="wps">
            <w:drawing>
              <wp:anchor distT="0" distB="0" distL="114300" distR="114300" simplePos="0" relativeHeight="251653121" behindDoc="1" locked="0" layoutInCell="1" allowOverlap="1" wp14:anchorId="400FF1E6" wp14:editId="46B81E6D">
                <wp:simplePos x="0" y="0"/>
                <wp:positionH relativeFrom="column">
                  <wp:posOffset>-454731</wp:posOffset>
                </wp:positionH>
                <wp:positionV relativeFrom="paragraph">
                  <wp:posOffset>-491067</wp:posOffset>
                </wp:positionV>
                <wp:extent cx="7203440" cy="10332085"/>
                <wp:effectExtent l="0" t="0" r="0" b="0"/>
                <wp:wrapNone/>
                <wp:docPr id="12"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3440" cy="10332085"/>
                        </a:xfrm>
                        <a:custGeom>
                          <a:avLst/>
                          <a:gdLst>
                            <a:gd name="T0" fmla="+- 0 11651 308"/>
                            <a:gd name="T1" fmla="*/ T0 w 11344"/>
                            <a:gd name="T2" fmla="+- 0 269 269"/>
                            <a:gd name="T3" fmla="*/ 269 h 16271"/>
                            <a:gd name="T4" fmla="+- 0 308 308"/>
                            <a:gd name="T5" fmla="*/ T4 w 11344"/>
                            <a:gd name="T6" fmla="+- 0 269 269"/>
                            <a:gd name="T7" fmla="*/ 269 h 16271"/>
                            <a:gd name="T8" fmla="+- 0 308 308"/>
                            <a:gd name="T9" fmla="*/ T8 w 11344"/>
                            <a:gd name="T10" fmla="+- 0 16540 269"/>
                            <a:gd name="T11" fmla="*/ 16540 h 16271"/>
                            <a:gd name="T12" fmla="+- 0 7803 308"/>
                            <a:gd name="T13" fmla="*/ T12 w 11344"/>
                            <a:gd name="T14" fmla="+- 0 16540 269"/>
                            <a:gd name="T15" fmla="*/ 16540 h 16271"/>
                            <a:gd name="T16" fmla="+- 0 11651 308"/>
                            <a:gd name="T17" fmla="*/ T16 w 11344"/>
                            <a:gd name="T18" fmla="+- 0 14555 269"/>
                            <a:gd name="T19" fmla="*/ 14555 h 16271"/>
                            <a:gd name="T20" fmla="+- 0 11651 308"/>
                            <a:gd name="T21" fmla="*/ T20 w 11344"/>
                            <a:gd name="T22" fmla="+- 0 269 269"/>
                            <a:gd name="T23" fmla="*/ 269 h 16271"/>
                          </a:gdLst>
                          <a:ahLst/>
                          <a:cxnLst>
                            <a:cxn ang="0">
                              <a:pos x="T1" y="T3"/>
                            </a:cxn>
                            <a:cxn ang="0">
                              <a:pos x="T5" y="T7"/>
                            </a:cxn>
                            <a:cxn ang="0">
                              <a:pos x="T9" y="T11"/>
                            </a:cxn>
                            <a:cxn ang="0">
                              <a:pos x="T13" y="T15"/>
                            </a:cxn>
                            <a:cxn ang="0">
                              <a:pos x="T17" y="T19"/>
                            </a:cxn>
                            <a:cxn ang="0">
                              <a:pos x="T21" y="T23"/>
                            </a:cxn>
                          </a:cxnLst>
                          <a:rect l="0" t="0" r="r" b="b"/>
                          <a:pathLst>
                            <a:path w="11344" h="16271">
                              <a:moveTo>
                                <a:pt x="11343" y="0"/>
                              </a:moveTo>
                              <a:lnTo>
                                <a:pt x="0" y="0"/>
                              </a:lnTo>
                              <a:lnTo>
                                <a:pt x="0" y="16271"/>
                              </a:lnTo>
                              <a:lnTo>
                                <a:pt x="7495" y="16271"/>
                              </a:lnTo>
                              <a:lnTo>
                                <a:pt x="11343" y="14286"/>
                              </a:lnTo>
                              <a:lnTo>
                                <a:pt x="11343" y="0"/>
                              </a:lnTo>
                              <a:close/>
                            </a:path>
                          </a:pathLst>
                        </a:custGeom>
                        <a:solidFill>
                          <a:srgbClr val="7F7F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D13DFF9" id="Freeform 39" o:spid="_x0000_s1026" style="position:absolute;margin-left:-35.8pt;margin-top:-38.65pt;width:567.2pt;height:813.55pt;z-index:-251663359;visibility:visible;mso-wrap-style:square;mso-wrap-distance-left:9pt;mso-wrap-distance-top:0;mso-wrap-distance-right:9pt;mso-wrap-distance-bottom:0;mso-position-horizontal:absolute;mso-position-horizontal-relative:text;mso-position-vertical:absolute;mso-position-vertical-relative:text;v-text-anchor:top" coordsize="11344,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" path="m11343,l,,,16271r7495,l11343,14286,11343,xe" fillcolor="#7f7faa" stroked="f">
                <v:path arrowok="t" o:connecttype="custom" o:connectlocs="7202805,170815;0,170815;0,10502900;4759325,10502900;7202805,9242425;7202805,170815" o:connectangles="0,0,0,0,0,0"/>
              </v:shape>
            </w:pict>
          </mc:Fallback>
        </mc:AlternateContent>
      </w:r>
      <w:r w:rsidR="00254A3A" w:rsidRPr="00AB22DF">
        <w:rPr>
          <w:b/>
          <w:sz w:val="34"/>
        </w:rPr>
        <w:t>In</w:t>
      </w:r>
      <w:r w:rsidR="00F06CD9" w:rsidRPr="00AB22DF">
        <w:rPr>
          <w:b/>
          <w:sz w:val="34"/>
        </w:rPr>
        <w:t>formal</w:t>
      </w:r>
      <w:r w:rsidR="009852A3" w:rsidRPr="00AB22DF">
        <w:rPr>
          <w:b/>
          <w:sz w:val="34"/>
        </w:rPr>
        <w:t xml:space="preserve"> </w:t>
      </w:r>
      <w:r w:rsidR="00BE0F7B" w:rsidRPr="00AB22DF">
        <w:rPr>
          <w:b/>
          <w:sz w:val="34"/>
        </w:rPr>
        <w:t>Planning Guidance</w:t>
      </w:r>
    </w:p>
    <w:p w14:paraId="5B6BF122" w14:textId="177994CC" w:rsidR="00E4049F" w:rsidRPr="009D5F2A" w:rsidRDefault="00E4049F">
      <w:pPr>
        <w:pStyle w:val="BodyText"/>
        <w:rPr>
          <w:b/>
          <w:color w:val="FFFFFF" w:themeColor="background1"/>
          <w:sz w:val="40"/>
        </w:rPr>
      </w:pPr>
    </w:p>
    <w:p w14:paraId="570E9585" w14:textId="0D707D63" w:rsidR="00E4049F" w:rsidRPr="009D5F2A" w:rsidRDefault="00E4049F">
      <w:pPr>
        <w:pStyle w:val="BodyText"/>
        <w:rPr>
          <w:b/>
          <w:color w:val="FFFFFF" w:themeColor="background1"/>
          <w:sz w:val="40"/>
        </w:rPr>
      </w:pPr>
    </w:p>
    <w:p w14:paraId="658AE5EE" w14:textId="01FBD5AA" w:rsidR="00E4049F" w:rsidRPr="00AB22DF" w:rsidRDefault="00214E29" w:rsidP="0008666F">
      <w:pPr>
        <w:spacing w:before="317"/>
        <w:rPr>
          <w:b/>
          <w:sz w:val="72"/>
        </w:rPr>
      </w:pPr>
      <w:r w:rsidRPr="00AB22DF">
        <w:rPr>
          <w:b/>
          <w:sz w:val="72"/>
        </w:rPr>
        <w:t xml:space="preserve">Large-Scale Shared Living Accommodation </w:t>
      </w:r>
      <w:r w:rsidR="00BF7490" w:rsidRPr="00AB22DF">
        <w:rPr>
          <w:b/>
          <w:sz w:val="72"/>
        </w:rPr>
        <w:t>(C</w:t>
      </w:r>
      <w:r w:rsidR="009D5F2A" w:rsidRPr="00AB22DF">
        <w:rPr>
          <w:b/>
          <w:sz w:val="72"/>
        </w:rPr>
        <w:t>o-living)</w:t>
      </w:r>
    </w:p>
    <w:p w14:paraId="03162E4C" w14:textId="2C41B294" w:rsidR="005C4808" w:rsidRDefault="005C4808">
      <w:pPr>
        <w:spacing w:before="317"/>
        <w:ind w:left="367"/>
        <w:rPr>
          <w:rFonts w:ascii="Trebuchet MS" w:hAnsi="Trebuchet MS"/>
          <w:b/>
          <w:color w:val="FFFFFF"/>
          <w:sz w:val="72"/>
        </w:rPr>
      </w:pPr>
    </w:p>
    <w:p w14:paraId="5911DC1C" w14:textId="3C8ACDB8" w:rsidR="005C4808" w:rsidRPr="00CA23FE" w:rsidRDefault="00A57672">
      <w:pPr>
        <w:spacing w:before="317"/>
        <w:ind w:left="367"/>
        <w:rPr>
          <w:rFonts w:ascii="Trebuchet MS" w:hAnsi="Trebuchet MS"/>
          <w:b/>
          <w:color w:val="FFFFFF" w:themeColor="background1"/>
          <w:sz w:val="72"/>
        </w:rPr>
      </w:pPr>
      <w:r>
        <w:rPr>
          <w:noProof/>
        </w:rPr>
        <mc:AlternateContent>
          <mc:Choice Requires="wps">
            <w:drawing>
              <wp:anchor distT="0" distB="0" distL="114300" distR="114300" simplePos="0" relativeHeight="251654145" behindDoc="1" locked="0" layoutInCell="1" allowOverlap="1" wp14:anchorId="28A951CB" wp14:editId="4A96A6F3">
                <wp:simplePos x="0" y="0"/>
                <wp:positionH relativeFrom="column">
                  <wp:posOffset>-454731</wp:posOffset>
                </wp:positionH>
                <wp:positionV relativeFrom="paragraph">
                  <wp:posOffset>780203</wp:posOffset>
                </wp:positionV>
                <wp:extent cx="1807210" cy="181610"/>
                <wp:effectExtent l="0" t="0" r="2540" b="8890"/>
                <wp:wrapNone/>
                <wp:docPr id="18"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7210" cy="181610"/>
                        </a:xfrm>
                        <a:prstGeom prst="rect">
                          <a:avLst/>
                        </a:prstGeom>
                        <a:solidFill>
                          <a:srgbClr val="7F7F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7CF0B64C" id="Rectangle 34" o:spid="_x0000_s1026" style="position:absolute;margin-left:-35.8pt;margin-top:61.45pt;width:142.3pt;height:14.3pt;z-index:-251662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" fillcolor="#7f7faa" stroked="f"/>
            </w:pict>
          </mc:Fallback>
        </mc:AlternateContent>
      </w:r>
      <w:r>
        <w:rPr>
          <w:noProof/>
        </w:rPr>
        <mc:AlternateContent>
          <mc:Choice Requires="wps">
            <w:drawing>
              <wp:anchor distT="0" distB="0" distL="114300" distR="114300" simplePos="0" relativeHeight="251658241" behindDoc="1" locked="0" layoutInCell="1" allowOverlap="1" wp14:anchorId="76A9C0FB" wp14:editId="4928BE3D">
                <wp:simplePos x="0" y="0"/>
                <wp:positionH relativeFrom="column">
                  <wp:posOffset>-489656</wp:posOffset>
                </wp:positionH>
                <wp:positionV relativeFrom="paragraph">
                  <wp:posOffset>766868</wp:posOffset>
                </wp:positionV>
                <wp:extent cx="7275195" cy="2623185"/>
                <wp:effectExtent l="0" t="0" r="20955" b="24765"/>
                <wp:wrapNone/>
                <wp:docPr id="22"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75195" cy="2623185"/>
                        </a:xfrm>
                        <a:custGeom>
                          <a:avLst/>
                          <a:gdLst>
                            <a:gd name="T0" fmla="+- 0 253 253"/>
                            <a:gd name="T1" fmla="*/ T0 w 11457"/>
                            <a:gd name="T2" fmla="+- 0 6754 6754"/>
                            <a:gd name="T3" fmla="*/ 6754 h 4131"/>
                            <a:gd name="T4" fmla="+- 0 11709 253"/>
                            <a:gd name="T5" fmla="*/ T4 w 11457"/>
                            <a:gd name="T6" fmla="+- 0 6754 6754"/>
                            <a:gd name="T7" fmla="*/ 6754 h 4131"/>
                            <a:gd name="T8" fmla="+- 0 253 253"/>
                            <a:gd name="T9" fmla="*/ T8 w 11457"/>
                            <a:gd name="T10" fmla="+- 0 10885 6754"/>
                            <a:gd name="T11" fmla="*/ 10885 h 4131"/>
                            <a:gd name="T12" fmla="+- 0 11709 253"/>
                            <a:gd name="T13" fmla="*/ T12 w 11457"/>
                            <a:gd name="T14" fmla="+- 0 10885 6754"/>
                            <a:gd name="T15" fmla="*/ 10885 h 4131"/>
                          </a:gdLst>
                          <a:ahLst/>
                          <a:cxnLst>
                            <a:cxn ang="0">
                              <a:pos x="T1" y="T3"/>
                            </a:cxn>
                            <a:cxn ang="0">
                              <a:pos x="T5" y="T7"/>
                            </a:cxn>
                            <a:cxn ang="0">
                              <a:pos x="T9" y="T11"/>
                            </a:cxn>
                            <a:cxn ang="0">
                              <a:pos x="T13" y="T15"/>
                            </a:cxn>
                          </a:cxnLst>
                          <a:rect l="0" t="0" r="r" b="b"/>
                          <a:pathLst>
                            <a:path w="11457" h="4131">
                              <a:moveTo>
                                <a:pt x="0" y="0"/>
                              </a:moveTo>
                              <a:lnTo>
                                <a:pt x="11456" y="0"/>
                              </a:lnTo>
                              <a:moveTo>
                                <a:pt x="0" y="4131"/>
                              </a:moveTo>
                              <a:lnTo>
                                <a:pt x="11456" y="4131"/>
                              </a:lnTo>
                            </a:path>
                          </a:pathLst>
                        </a:custGeom>
                        <a:solidFill>
                          <a:srgbClr val="7F7FAA"/>
                        </a:solidFill>
                        <a:ln w="27508">
                          <a:solidFill>
                            <a:srgbClr val="FFFFFF"/>
                          </a:solidFill>
                          <a:round/>
                          <a:headEnd/>
                          <a:tailEnd/>
                        </a:ln>
                      </wps:spPr>
                      <wps:bodyPr rot="0" vert="horz" wrap="square" lIns="91440" tIns="45720" rIns="91440" bIns="45720" anchor="t" anchorCtr="0" upright="1">
                        <a:noAutofit/>
                      </wps:bodyPr>
                    </wps:wsp>
                  </a:graphicData>
                </a:graphic>
              </wp:anchor>
            </w:drawing>
          </mc:Choice>
          <mc:Fallback>
            <w:pict>
              <v:shape w14:anchorId="5FB15415" id="AutoShape 30" o:spid="_x0000_s1026" style="position:absolute;margin-left:-38.55pt;margin-top:60.4pt;width:572.85pt;height:206.55pt;z-index:-251658239;visibility:visible;mso-wrap-style:square;mso-wrap-distance-left:9pt;mso-wrap-distance-top:0;mso-wrap-distance-right:9pt;mso-wrap-distance-bottom:0;mso-position-horizontal:absolute;mso-position-horizontal-relative:text;mso-position-vertical:absolute;mso-position-vertical-relative:text;v-text-anchor:top" coordsize="11457,4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" path="m,l11456,m,4131r11456,e" fillcolor="#7f7faa" strokecolor="white" strokeweight=".76411mm">
                <v:path arrowok="t" o:connecttype="custom" o:connectlocs="0,4288790;7274560,4288790;0,6911975;7274560,6911975" o:connectangles="0,0,0,0"/>
              </v:shape>
            </w:pict>
          </mc:Fallback>
        </mc:AlternateContent>
      </w:r>
    </w:p>
    <w:p w14:paraId="1CA3DAC4" w14:textId="083D0988" w:rsidR="00E4049F" w:rsidRDefault="002253DB">
      <w:pPr>
        <w:pStyle w:val="BodyText"/>
        <w:rPr>
          <w:rFonts w:ascii="AkzidenzGrotesk"/>
          <w:b/>
          <w:sz w:val="20"/>
        </w:rPr>
      </w:pPr>
      <w:r>
        <w:rPr>
          <w:noProof/>
        </w:rPr>
        <w:drawing>
          <wp:anchor distT="0" distB="0" distL="114300" distR="114300" simplePos="0" relativeHeight="251674631" behindDoc="0" locked="0" layoutInCell="1" allowOverlap="1" wp14:anchorId="3B2E1AAF" wp14:editId="28A34F3E">
            <wp:simplePos x="0" y="0"/>
            <wp:positionH relativeFrom="page">
              <wp:align>center</wp:align>
            </wp:positionH>
            <wp:positionV relativeFrom="paragraph">
              <wp:posOffset>224790</wp:posOffset>
            </wp:positionV>
            <wp:extent cx="7205980" cy="2462530"/>
            <wp:effectExtent l="0" t="0" r="0" b="0"/>
            <wp:wrapNone/>
            <wp:docPr id="2105246774" name="Picture 3" descr="Photograph of a modern coworking space featuring large floor-to-ceiling windows, industrial-style lighting, and a mix of seating areas with couches, chairs, and communal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46774" name="Picture 3" descr="Photograph of a modern coworking space featuring large floor-to-ceiling windows, industrial-style lighting, and a mix of seating areas with couches, chairs, and communal tables. "/>
                    <pic:cNvPicPr>
                      <a:picLocks noChangeAspect="1" noChangeArrowheads="1"/>
                    </pic:cNvPicPr>
                  </pic:nvPicPr>
                  <pic:blipFill rotWithShape="1">
                    <a:blip r:embed="rId8">
                      <a:extLst>
                        <a:ext uri="{28A0092B-C50C-407E-A947-70E740481C1C}">
                          <a14:useLocalDpi xmlns:a14="http://schemas.microsoft.com/office/drawing/2010/main" val="0"/>
                        </a:ext>
                      </a:extLst>
                    </a:blip>
                    <a:srcRect l="-132" t="35831" r="132" b="13109"/>
                    <a:stretch>
                      <a:fillRect/>
                    </a:stretch>
                  </pic:blipFill>
                  <pic:spPr bwMode="auto">
                    <a:xfrm>
                      <a:off x="0" y="0"/>
                      <a:ext cx="7205980" cy="246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133A">
        <w:rPr>
          <w:rFonts w:ascii="AkzidenzGrotesk"/>
          <w:b/>
          <w:noProof/>
          <w:sz w:val="20"/>
        </w:rPr>
        <mc:AlternateContent>
          <mc:Choice Requires="wps">
            <w:drawing>
              <wp:anchor distT="0" distB="0" distL="114300" distR="114300" simplePos="0" relativeHeight="251662343" behindDoc="0" locked="0" layoutInCell="1" allowOverlap="1" wp14:anchorId="53982F6B" wp14:editId="16A93119">
                <wp:simplePos x="0" y="0"/>
                <wp:positionH relativeFrom="column">
                  <wp:posOffset>3148445</wp:posOffset>
                </wp:positionH>
                <wp:positionV relativeFrom="paragraph">
                  <wp:posOffset>47352</wp:posOffset>
                </wp:positionV>
                <wp:extent cx="1803400" cy="181610"/>
                <wp:effectExtent l="0" t="0" r="6350" b="8890"/>
                <wp:wrapNone/>
                <wp:docPr id="8" name="Graphic 8"/>
                <wp:cNvGraphicFramePr/>
                <a:graphic xmlns:a="http://schemas.openxmlformats.org/drawingml/2006/main">
                  <a:graphicData uri="http://schemas.microsoft.com/office/word/2010/wordprocessingShape">
                    <wps:wsp>
                      <wps:cNvSpPr/>
                      <wps:spPr>
                        <a:xfrm>
                          <a:off x="0" y="0"/>
                          <a:ext cx="1803400" cy="181610"/>
                        </a:xfrm>
                        <a:custGeom>
                          <a:avLst/>
                          <a:gdLst/>
                          <a:ahLst/>
                          <a:cxnLst/>
                          <a:rect l="l" t="t" r="r" b="b"/>
                          <a:pathLst>
                            <a:path w="1804035" h="181610">
                              <a:moveTo>
                                <a:pt x="1804035" y="0"/>
                              </a:moveTo>
                              <a:lnTo>
                                <a:pt x="0" y="0"/>
                              </a:lnTo>
                              <a:lnTo>
                                <a:pt x="0" y="181610"/>
                              </a:lnTo>
                              <a:lnTo>
                                <a:pt x="1804035" y="181610"/>
                              </a:lnTo>
                              <a:lnTo>
                                <a:pt x="1804035" y="0"/>
                              </a:lnTo>
                              <a:close/>
                            </a:path>
                          </a:pathLst>
                        </a:custGeom>
                        <a:solidFill>
                          <a:schemeClr val="accent4">
                            <a:lumMod val="60000"/>
                            <a:lumOff val="40000"/>
                          </a:schemeClr>
                        </a:solidFill>
                      </wps:spPr>
                      <wps:bodyPr vertOverflow="clip" horzOverflow="clip" wrap="square" lIns="0" tIns="0" rIns="0" bIns="0" rtlCol="0">
                        <a:prstTxWarp prst="textNoShape">
                          <a:avLst/>
                        </a:prstTxWarp>
                        <a:noAutofit/>
                      </wps:bodyPr>
                    </wps:wsp>
                  </a:graphicData>
                </a:graphic>
                <wp14:sizeRelV relativeFrom="margin">
                  <wp14:pctHeight>0</wp14:pctHeight>
                </wp14:sizeRelV>
              </wp:anchor>
            </w:drawing>
          </mc:Choice>
          <mc:Fallback>
            <w:pict>
              <v:shape w14:anchorId="184B1441" id="Graphic 8" o:spid="_x0000_s1026" style="position:absolute;margin-left:247.9pt;margin-top:3.75pt;width:142pt;height:14.3pt;z-index:2516623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04035,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" path="m1804035,l,,,181610r1804035,l1804035,xe" fillcolor="#b2a1c7 [1943]" stroked="f">
                <v:path arrowok="t"/>
              </v:shape>
            </w:pict>
          </mc:Fallback>
        </mc:AlternateContent>
      </w:r>
      <w:r w:rsidR="005E133A">
        <w:rPr>
          <w:rFonts w:ascii="AkzidenzGrotesk"/>
          <w:b/>
          <w:noProof/>
          <w:sz w:val="20"/>
        </w:rPr>
        <mc:AlternateContent>
          <mc:Choice Requires="wps">
            <w:drawing>
              <wp:anchor distT="0" distB="0" distL="114300" distR="114300" simplePos="0" relativeHeight="251673607" behindDoc="0" locked="0" layoutInCell="1" allowOverlap="1" wp14:anchorId="16185F21" wp14:editId="600D001B">
                <wp:simplePos x="0" y="0"/>
                <wp:positionH relativeFrom="column">
                  <wp:posOffset>1344836</wp:posOffset>
                </wp:positionH>
                <wp:positionV relativeFrom="paragraph">
                  <wp:posOffset>47352</wp:posOffset>
                </wp:positionV>
                <wp:extent cx="1800225" cy="181610"/>
                <wp:effectExtent l="0" t="0" r="9525" b="8890"/>
                <wp:wrapNone/>
                <wp:docPr id="7" name="Graphic 7"/>
                <wp:cNvGraphicFramePr/>
                <a:graphic xmlns:a="http://schemas.openxmlformats.org/drawingml/2006/main">
                  <a:graphicData uri="http://schemas.microsoft.com/office/word/2010/wordprocessingShape">
                    <wps:wsp>
                      <wps:cNvSpPr/>
                      <wps:spPr>
                        <a:xfrm>
                          <a:off x="0" y="0"/>
                          <a:ext cx="1800225" cy="181610"/>
                        </a:xfrm>
                        <a:custGeom>
                          <a:avLst/>
                          <a:gdLst/>
                          <a:ahLst/>
                          <a:cxnLst/>
                          <a:rect l="l" t="t" r="r" b="b"/>
                          <a:pathLst>
                            <a:path w="1800860" h="181610">
                              <a:moveTo>
                                <a:pt x="1800860" y="0"/>
                              </a:moveTo>
                              <a:lnTo>
                                <a:pt x="0" y="0"/>
                              </a:lnTo>
                              <a:lnTo>
                                <a:pt x="0" y="181610"/>
                              </a:lnTo>
                              <a:lnTo>
                                <a:pt x="1800860" y="181610"/>
                              </a:lnTo>
                              <a:lnTo>
                                <a:pt x="1800860" y="0"/>
                              </a:lnTo>
                              <a:close/>
                            </a:path>
                          </a:pathLst>
                        </a:custGeom>
                        <a:solidFill>
                          <a:schemeClr val="accent4">
                            <a:lumMod val="40000"/>
                            <a:lumOff val="60000"/>
                          </a:schemeClr>
                        </a:solidFill>
                      </wps:spPr>
                      <wps:bodyPr vertOverflow="clip" horzOverflow="clip" wrap="square" lIns="0" tIns="0" rIns="0" bIns="0" rtlCol="0">
                        <a:prstTxWarp prst="textNoShape">
                          <a:avLst/>
                        </a:prstTxWarp>
                        <a:noAutofit/>
                      </wps:bodyPr>
                    </wps:wsp>
                  </a:graphicData>
                </a:graphic>
                <wp14:sizeRelV relativeFrom="margin">
                  <wp14:pctHeight>0</wp14:pctHeight>
                </wp14:sizeRelV>
              </wp:anchor>
            </w:drawing>
          </mc:Choice>
          <mc:Fallback>
            <w:pict>
              <v:shape w14:anchorId="6793A285" id="Graphic 7" o:spid="_x0000_s1026" style="position:absolute;margin-left:105.9pt;margin-top:3.75pt;width:141.75pt;height:14.3pt;z-index:2516736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00860,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" path="m1800860,l,,,181610r1800860,l1800860,xe" fillcolor="#ccc0d9 [1303]" stroked="f">
                <v:path arrowok="t"/>
              </v:shape>
            </w:pict>
          </mc:Fallback>
        </mc:AlternateContent>
      </w:r>
      <w:r w:rsidR="005E133A">
        <w:rPr>
          <w:noProof/>
        </w:rPr>
        <mc:AlternateContent>
          <mc:Choice Requires="wps">
            <w:drawing>
              <wp:anchor distT="0" distB="0" distL="114300" distR="114300" simplePos="0" relativeHeight="251661319" behindDoc="0" locked="0" layoutInCell="1" allowOverlap="1" wp14:anchorId="63A95B9B" wp14:editId="0B64E988">
                <wp:simplePos x="0" y="0"/>
                <wp:positionH relativeFrom="column">
                  <wp:posOffset>-453736</wp:posOffset>
                </wp:positionH>
                <wp:positionV relativeFrom="paragraph">
                  <wp:posOffset>47352</wp:posOffset>
                </wp:positionV>
                <wp:extent cx="1802130" cy="181610"/>
                <wp:effectExtent l="0" t="0" r="7620" b="8890"/>
                <wp:wrapNone/>
                <wp:docPr id="6" name="Graphic 6"/>
                <wp:cNvGraphicFramePr/>
                <a:graphic xmlns:a="http://schemas.openxmlformats.org/drawingml/2006/main">
                  <a:graphicData uri="http://schemas.microsoft.com/office/word/2010/wordprocessingShape">
                    <wps:wsp>
                      <wps:cNvSpPr/>
                      <wps:spPr>
                        <a:xfrm>
                          <a:off x="0" y="0"/>
                          <a:ext cx="1802130" cy="181610"/>
                        </a:xfrm>
                        <a:custGeom>
                          <a:avLst/>
                          <a:gdLst/>
                          <a:ahLst/>
                          <a:cxnLst/>
                          <a:rect l="l" t="t" r="r" b="b"/>
                          <a:pathLst>
                            <a:path w="1802764" h="181610">
                              <a:moveTo>
                                <a:pt x="1802764" y="0"/>
                              </a:moveTo>
                              <a:lnTo>
                                <a:pt x="0" y="0"/>
                              </a:lnTo>
                              <a:lnTo>
                                <a:pt x="0" y="181610"/>
                              </a:lnTo>
                              <a:lnTo>
                                <a:pt x="1802764" y="181610"/>
                              </a:lnTo>
                              <a:lnTo>
                                <a:pt x="1802764" y="0"/>
                              </a:lnTo>
                              <a:close/>
                            </a:path>
                          </a:pathLst>
                        </a:custGeom>
                        <a:solidFill>
                          <a:schemeClr val="accent4">
                            <a:lumMod val="20000"/>
                            <a:lumOff val="80000"/>
                          </a:schemeClr>
                        </a:solidFill>
                      </wps:spPr>
                      <wps:bodyPr vertOverflow="clip" horzOverflow="clip" wrap="square" lIns="0" tIns="0" rIns="0" bIns="0" rtlCol="0">
                        <a:prstTxWarp prst="textNoShape">
                          <a:avLst/>
                        </a:prstTxWarp>
                        <a:noAutofit/>
                      </wps:bodyPr>
                    </wps:wsp>
                  </a:graphicData>
                </a:graphic>
                <wp14:sizeRelV relativeFrom="margin">
                  <wp14:pctHeight>0</wp14:pctHeight>
                </wp14:sizeRelV>
              </wp:anchor>
            </w:drawing>
          </mc:Choice>
          <mc:Fallback>
            <w:pict>
              <v:shape w14:anchorId="1D641550" id="Graphic 6" o:spid="_x0000_s1026" style="position:absolute;margin-left:-35.75pt;margin-top:3.75pt;width:141.9pt;height:14.3pt;z-index:2516613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02764,1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" path="m1802764,l,,,181610r1802764,l1802764,xe" fillcolor="#e5dfec [663]" stroked="f">
                <v:path arrowok="t"/>
              </v:shape>
            </w:pict>
          </mc:Fallback>
        </mc:AlternateContent>
      </w:r>
      <w:r w:rsidR="00A57672">
        <w:rPr>
          <w:rFonts w:ascii="AkzidenzGrotesk"/>
          <w:b/>
          <w:noProof/>
          <w:sz w:val="20"/>
        </w:rPr>
        <mc:AlternateContent>
          <mc:Choice Requires="wps">
            <w:drawing>
              <wp:anchor distT="0" distB="0" distL="114300" distR="114300" simplePos="0" relativeHeight="251655169" behindDoc="1" locked="0" layoutInCell="1" allowOverlap="1" wp14:anchorId="61F6D4C7" wp14:editId="57F4382F">
                <wp:simplePos x="0" y="0"/>
                <wp:positionH relativeFrom="column">
                  <wp:posOffset>1347399</wp:posOffset>
                </wp:positionH>
                <wp:positionV relativeFrom="paragraph">
                  <wp:posOffset>48048</wp:posOffset>
                </wp:positionV>
                <wp:extent cx="1800860" cy="181610"/>
                <wp:effectExtent l="0" t="0" r="8890" b="8890"/>
                <wp:wrapNone/>
                <wp:docPr id="1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860" cy="181610"/>
                        </a:xfrm>
                        <a:prstGeom prst="rect">
                          <a:avLst/>
                        </a:prstGeom>
                        <a:solidFill>
                          <a:srgbClr val="7F7F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4372121" id="Rectangle 33" o:spid="_x0000_s1026" style="position:absolute;margin-left:106.1pt;margin-top:3.8pt;width:141.8pt;height:14.3pt;z-index:-2516613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" fillcolor="#7f7faa" stroked="f"/>
            </w:pict>
          </mc:Fallback>
        </mc:AlternateContent>
      </w:r>
      <w:r w:rsidR="00A57672">
        <w:rPr>
          <w:rFonts w:ascii="AkzidenzGrotesk"/>
          <w:b/>
          <w:noProof/>
          <w:sz w:val="20"/>
        </w:rPr>
        <mc:AlternateContent>
          <mc:Choice Requires="wps">
            <w:drawing>
              <wp:anchor distT="0" distB="0" distL="114300" distR="114300" simplePos="0" relativeHeight="251656193" behindDoc="1" locked="0" layoutInCell="1" allowOverlap="1" wp14:anchorId="7155662A" wp14:editId="6C062A90">
                <wp:simplePos x="0" y="0"/>
                <wp:positionH relativeFrom="column">
                  <wp:posOffset>3146989</wp:posOffset>
                </wp:positionH>
                <wp:positionV relativeFrom="paragraph">
                  <wp:posOffset>48048</wp:posOffset>
                </wp:positionV>
                <wp:extent cx="1807210" cy="181610"/>
                <wp:effectExtent l="0" t="0" r="2540" b="8890"/>
                <wp:wrapNone/>
                <wp:docPr id="2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7210" cy="181610"/>
                        </a:xfrm>
                        <a:prstGeom prst="rect">
                          <a:avLst/>
                        </a:prstGeom>
                        <a:solidFill>
                          <a:srgbClr val="7F7F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185B063" id="Rectangle 32" o:spid="_x0000_s1026" style="position:absolute;margin-left:247.8pt;margin-top:3.8pt;width:142.3pt;height:14.3pt;z-index:-251660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" fillcolor="#7f7faa" stroked="f"/>
            </w:pict>
          </mc:Fallback>
        </mc:AlternateContent>
      </w:r>
    </w:p>
    <w:p w14:paraId="550C5BFB" w14:textId="205522AD" w:rsidR="00E4049F" w:rsidRDefault="00E4049F">
      <w:pPr>
        <w:pStyle w:val="BodyText"/>
        <w:rPr>
          <w:rFonts w:ascii="AkzidenzGrotesk"/>
          <w:b/>
          <w:sz w:val="20"/>
        </w:rPr>
      </w:pPr>
    </w:p>
    <w:p w14:paraId="563190A9" w14:textId="099084A3" w:rsidR="00E4049F" w:rsidRDefault="00E4049F">
      <w:pPr>
        <w:pStyle w:val="BodyText"/>
        <w:rPr>
          <w:rFonts w:ascii="AkzidenzGrotesk"/>
          <w:b/>
          <w:sz w:val="20"/>
        </w:rPr>
      </w:pPr>
    </w:p>
    <w:p w14:paraId="4687937D" w14:textId="375B0F3A" w:rsidR="00E4049F" w:rsidRDefault="00E4049F">
      <w:pPr>
        <w:pStyle w:val="BodyText"/>
        <w:rPr>
          <w:rFonts w:ascii="AkzidenzGrotesk"/>
          <w:b/>
          <w:sz w:val="20"/>
        </w:rPr>
      </w:pPr>
    </w:p>
    <w:p w14:paraId="5A31F20F" w14:textId="066744D3" w:rsidR="00E4049F" w:rsidRDefault="00E4049F">
      <w:pPr>
        <w:pStyle w:val="BodyText"/>
        <w:rPr>
          <w:rFonts w:ascii="AkzidenzGrotesk"/>
          <w:b/>
          <w:sz w:val="20"/>
        </w:rPr>
      </w:pPr>
    </w:p>
    <w:p w14:paraId="49200683" w14:textId="20E81931" w:rsidR="00E4049F" w:rsidRDefault="00E4049F">
      <w:pPr>
        <w:pStyle w:val="BodyText"/>
        <w:rPr>
          <w:rFonts w:ascii="AkzidenzGrotesk"/>
          <w:b/>
          <w:sz w:val="20"/>
        </w:rPr>
      </w:pPr>
    </w:p>
    <w:p w14:paraId="6CA699FE" w14:textId="6AD30D0C" w:rsidR="00E4049F" w:rsidRDefault="00E4049F">
      <w:pPr>
        <w:pStyle w:val="BodyText"/>
        <w:rPr>
          <w:rFonts w:ascii="AkzidenzGrotesk"/>
          <w:b/>
          <w:sz w:val="20"/>
        </w:rPr>
      </w:pPr>
    </w:p>
    <w:p w14:paraId="4E6E8D46" w14:textId="3815BF91" w:rsidR="00E4049F" w:rsidRDefault="00E4049F">
      <w:pPr>
        <w:pStyle w:val="BodyText"/>
        <w:rPr>
          <w:rFonts w:ascii="AkzidenzGrotesk"/>
          <w:b/>
          <w:sz w:val="20"/>
        </w:rPr>
      </w:pPr>
    </w:p>
    <w:p w14:paraId="022E94C5" w14:textId="7696B6FB" w:rsidR="00E4049F" w:rsidRDefault="00E4049F">
      <w:pPr>
        <w:pStyle w:val="BodyText"/>
        <w:rPr>
          <w:rFonts w:ascii="AkzidenzGrotesk"/>
          <w:b/>
          <w:sz w:val="20"/>
        </w:rPr>
      </w:pPr>
    </w:p>
    <w:p w14:paraId="500DF0FA" w14:textId="0FCF6D61" w:rsidR="00E4049F" w:rsidRDefault="00E4049F">
      <w:pPr>
        <w:pStyle w:val="BodyText"/>
        <w:rPr>
          <w:rFonts w:ascii="AkzidenzGrotesk"/>
          <w:b/>
          <w:sz w:val="20"/>
        </w:rPr>
      </w:pPr>
    </w:p>
    <w:p w14:paraId="41E2957E" w14:textId="064722DB" w:rsidR="00E4049F" w:rsidRDefault="00E4049F">
      <w:pPr>
        <w:pStyle w:val="BodyText"/>
        <w:rPr>
          <w:rFonts w:ascii="AkzidenzGrotesk"/>
          <w:b/>
          <w:sz w:val="20"/>
        </w:rPr>
      </w:pPr>
    </w:p>
    <w:p w14:paraId="2C8DD81E" w14:textId="6FF4BE23" w:rsidR="00E4049F" w:rsidRDefault="00E4049F">
      <w:pPr>
        <w:pStyle w:val="BodyText"/>
        <w:rPr>
          <w:rFonts w:ascii="AkzidenzGrotesk"/>
          <w:b/>
          <w:sz w:val="20"/>
        </w:rPr>
      </w:pPr>
    </w:p>
    <w:p w14:paraId="58A8CC77" w14:textId="76D0F937" w:rsidR="00E4049F" w:rsidRDefault="00E4049F">
      <w:pPr>
        <w:pStyle w:val="BodyText"/>
        <w:rPr>
          <w:rFonts w:ascii="AkzidenzGrotesk"/>
          <w:b/>
          <w:sz w:val="20"/>
        </w:rPr>
      </w:pPr>
    </w:p>
    <w:p w14:paraId="5EB8DBB4" w14:textId="4FD601D1" w:rsidR="00E4049F" w:rsidRDefault="00E4049F">
      <w:pPr>
        <w:pStyle w:val="BodyText"/>
        <w:rPr>
          <w:rFonts w:ascii="AkzidenzGrotesk"/>
          <w:b/>
          <w:sz w:val="20"/>
        </w:rPr>
      </w:pPr>
    </w:p>
    <w:p w14:paraId="74D1667F" w14:textId="0BC81A6E" w:rsidR="00E4049F" w:rsidRDefault="00E4049F">
      <w:pPr>
        <w:pStyle w:val="BodyText"/>
        <w:rPr>
          <w:rFonts w:ascii="AkzidenzGrotesk"/>
          <w:b/>
          <w:sz w:val="20"/>
        </w:rPr>
      </w:pPr>
    </w:p>
    <w:p w14:paraId="20561BBC" w14:textId="0D2B6F55" w:rsidR="00E4049F" w:rsidRDefault="00E4049F">
      <w:pPr>
        <w:pStyle w:val="BodyText"/>
        <w:rPr>
          <w:rFonts w:ascii="AkzidenzGrotesk"/>
          <w:b/>
          <w:sz w:val="20"/>
        </w:rPr>
      </w:pPr>
    </w:p>
    <w:p w14:paraId="2272D00B" w14:textId="35C184B2" w:rsidR="00E4049F" w:rsidRDefault="00E4049F">
      <w:pPr>
        <w:pStyle w:val="BodyText"/>
        <w:rPr>
          <w:rFonts w:ascii="AkzidenzGrotesk"/>
          <w:b/>
          <w:sz w:val="20"/>
        </w:rPr>
      </w:pPr>
    </w:p>
    <w:p w14:paraId="29A3FA2F" w14:textId="3E3A1387" w:rsidR="00E4049F" w:rsidRDefault="00E4049F">
      <w:pPr>
        <w:pStyle w:val="BodyText"/>
        <w:rPr>
          <w:rFonts w:ascii="AkzidenzGrotesk"/>
          <w:b/>
          <w:sz w:val="20"/>
        </w:rPr>
      </w:pPr>
    </w:p>
    <w:p w14:paraId="12C19BCB" w14:textId="797E9DA0" w:rsidR="00E4049F" w:rsidRDefault="00E4049F">
      <w:pPr>
        <w:pStyle w:val="BodyText"/>
        <w:rPr>
          <w:rFonts w:ascii="AkzidenzGrotesk"/>
          <w:b/>
          <w:sz w:val="20"/>
        </w:rPr>
      </w:pPr>
    </w:p>
    <w:p w14:paraId="28826F7F" w14:textId="1D1CD61C" w:rsidR="00E4049F" w:rsidRPr="00CA23FE" w:rsidRDefault="00E4049F">
      <w:pPr>
        <w:pStyle w:val="BodyText"/>
        <w:rPr>
          <w:rFonts w:ascii="AkzidenzGrotesk"/>
          <w:b/>
          <w:color w:val="FFFFFF" w:themeColor="background1"/>
          <w:sz w:val="20"/>
        </w:rPr>
      </w:pPr>
    </w:p>
    <w:p w14:paraId="2EFC302F" w14:textId="6B84C9EB" w:rsidR="00E4049F" w:rsidRPr="00CA23FE" w:rsidRDefault="00E4049F">
      <w:pPr>
        <w:pStyle w:val="BodyText"/>
        <w:rPr>
          <w:rFonts w:ascii="AkzidenzGrotesk"/>
          <w:b/>
          <w:color w:val="FFFFFF" w:themeColor="background1"/>
          <w:sz w:val="20"/>
        </w:rPr>
      </w:pPr>
    </w:p>
    <w:p w14:paraId="1BD134C6" w14:textId="0483E3B4" w:rsidR="00E4049F" w:rsidRPr="00CA23FE" w:rsidRDefault="00E4049F">
      <w:pPr>
        <w:pStyle w:val="BodyText"/>
        <w:rPr>
          <w:rFonts w:ascii="AkzidenzGrotesk"/>
          <w:b/>
          <w:color w:val="FFFFFF" w:themeColor="background1"/>
          <w:sz w:val="20"/>
        </w:rPr>
      </w:pPr>
    </w:p>
    <w:p w14:paraId="43E23E29" w14:textId="23C0136F" w:rsidR="00E4049F" w:rsidRPr="00CA23FE" w:rsidRDefault="00E4049F">
      <w:pPr>
        <w:pStyle w:val="BodyText"/>
        <w:rPr>
          <w:rFonts w:ascii="AkzidenzGrotesk"/>
          <w:b/>
          <w:color w:val="FFFFFF" w:themeColor="background1"/>
          <w:sz w:val="20"/>
        </w:rPr>
      </w:pPr>
    </w:p>
    <w:p w14:paraId="59778781" w14:textId="5DCC0DDE" w:rsidR="00E4049F" w:rsidRPr="00CA23FE" w:rsidRDefault="00E4049F">
      <w:pPr>
        <w:pStyle w:val="BodyText"/>
        <w:rPr>
          <w:rFonts w:ascii="AkzidenzGrotesk"/>
          <w:b/>
          <w:color w:val="FFFFFF" w:themeColor="background1"/>
          <w:sz w:val="20"/>
        </w:rPr>
      </w:pPr>
    </w:p>
    <w:p w14:paraId="59964D2F" w14:textId="435AB2E9" w:rsidR="00E4049F" w:rsidRPr="00CA23FE" w:rsidRDefault="00E4049F">
      <w:pPr>
        <w:pStyle w:val="BodyText"/>
        <w:rPr>
          <w:rFonts w:ascii="AkzidenzGrotesk"/>
          <w:b/>
          <w:color w:val="FFFFFF" w:themeColor="background1"/>
          <w:sz w:val="20"/>
        </w:rPr>
      </w:pPr>
    </w:p>
    <w:p w14:paraId="761BDE6F" w14:textId="52EA4429" w:rsidR="00E4049F" w:rsidRPr="00CA23FE" w:rsidRDefault="00E4049F">
      <w:pPr>
        <w:pStyle w:val="BodyText"/>
        <w:rPr>
          <w:rFonts w:ascii="AkzidenzGrotesk"/>
          <w:b/>
          <w:color w:val="FFFFFF" w:themeColor="background1"/>
          <w:sz w:val="20"/>
        </w:rPr>
      </w:pPr>
    </w:p>
    <w:p w14:paraId="26314AC7" w14:textId="63B8AC99" w:rsidR="00E4049F" w:rsidRPr="00CA23FE" w:rsidRDefault="00E4049F" w:rsidP="009D5F2A">
      <w:pPr>
        <w:pStyle w:val="BodyText"/>
        <w:rPr>
          <w:rFonts w:ascii="AkzidenzGrotesk"/>
          <w:b/>
          <w:color w:val="FFFFFF" w:themeColor="background1"/>
          <w:sz w:val="20"/>
        </w:rPr>
      </w:pPr>
    </w:p>
    <w:p w14:paraId="4C0E70E9" w14:textId="0B3BDA5F" w:rsidR="00E4049F" w:rsidRPr="002253DB" w:rsidRDefault="00E4049F">
      <w:pPr>
        <w:pStyle w:val="BodyText"/>
        <w:rPr>
          <w:rFonts w:ascii="AkzidenzGrotesk"/>
          <w:b/>
          <w:sz w:val="20"/>
        </w:rPr>
      </w:pPr>
    </w:p>
    <w:p w14:paraId="610E7275" w14:textId="46A28D68" w:rsidR="00E4049F" w:rsidRPr="002253DB" w:rsidRDefault="00E4049F">
      <w:pPr>
        <w:pStyle w:val="BodyText"/>
        <w:rPr>
          <w:rFonts w:ascii="AkzidenzGrotesk"/>
          <w:b/>
          <w:sz w:val="20"/>
        </w:rPr>
      </w:pPr>
    </w:p>
    <w:p w14:paraId="4C03E701" w14:textId="47A35B39" w:rsidR="003F7855" w:rsidRDefault="00A04344" w:rsidP="006C478C">
      <w:pPr>
        <w:pStyle w:val="BodyText"/>
        <w:rPr>
          <w:b/>
          <w:sz w:val="28"/>
          <w:szCs w:val="24"/>
        </w:rPr>
      </w:pPr>
      <w:r w:rsidRPr="00993EAC">
        <w:rPr>
          <w:noProof/>
        </w:rPr>
        <w:drawing>
          <wp:anchor distT="0" distB="0" distL="114300" distR="114300" simplePos="0" relativeHeight="251658247" behindDoc="0" locked="0" layoutInCell="1" allowOverlap="1" wp14:anchorId="5F7DB9E6" wp14:editId="1BA7B6E3">
            <wp:simplePos x="0" y="0"/>
            <wp:positionH relativeFrom="column">
              <wp:posOffset>5529580</wp:posOffset>
            </wp:positionH>
            <wp:positionV relativeFrom="paragraph">
              <wp:posOffset>1384935</wp:posOffset>
            </wp:positionV>
            <wp:extent cx="1221166" cy="401302"/>
            <wp:effectExtent l="0" t="0" r="0" b="0"/>
            <wp:wrapNone/>
            <wp:docPr id="12051894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89441" name="Picture 1">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1221166" cy="401302"/>
                    </a:xfrm>
                    <a:prstGeom prst="rect">
                      <a:avLst/>
                    </a:prstGeom>
                  </pic:spPr>
                </pic:pic>
              </a:graphicData>
            </a:graphic>
            <wp14:sizeRelH relativeFrom="page">
              <wp14:pctWidth>0</wp14:pctWidth>
            </wp14:sizeRelH>
            <wp14:sizeRelV relativeFrom="page">
              <wp14:pctHeight>0</wp14:pctHeight>
            </wp14:sizeRelV>
          </wp:anchor>
        </w:drawing>
      </w:r>
      <w:r w:rsidR="00B07AF0" w:rsidRPr="002253DB">
        <w:rPr>
          <w:b/>
          <w:sz w:val="32"/>
          <w:szCs w:val="32"/>
        </w:rPr>
        <w:t xml:space="preserve">June </w:t>
      </w:r>
      <w:r w:rsidR="009D5F2A" w:rsidRPr="002253DB">
        <w:rPr>
          <w:b/>
          <w:sz w:val="32"/>
          <w:szCs w:val="32"/>
        </w:rPr>
        <w:t>2026</w:t>
      </w:r>
      <w:r w:rsidR="003F7855">
        <w:rPr>
          <w:b/>
          <w:sz w:val="28"/>
          <w:szCs w:val="24"/>
        </w:rPr>
        <w:br w:type="page"/>
      </w:r>
    </w:p>
    <w:p w14:paraId="20AD7BA4" w14:textId="5138B727" w:rsidR="00366AB2" w:rsidRPr="00474FE3" w:rsidRDefault="00366AB2" w:rsidP="00366AB2">
      <w:pPr>
        <w:rPr>
          <w:b/>
          <w:sz w:val="28"/>
          <w:szCs w:val="24"/>
        </w:rPr>
      </w:pPr>
      <w:r w:rsidRPr="00474FE3">
        <w:rPr>
          <w:b/>
          <w:sz w:val="28"/>
          <w:szCs w:val="24"/>
        </w:rPr>
        <w:lastRenderedPageBreak/>
        <w:t xml:space="preserve">Quick </w:t>
      </w:r>
      <w:r w:rsidR="00E141A0">
        <w:rPr>
          <w:b/>
          <w:sz w:val="28"/>
          <w:szCs w:val="24"/>
        </w:rPr>
        <w:t xml:space="preserve">Guide to </w:t>
      </w:r>
      <w:r w:rsidR="00537776">
        <w:rPr>
          <w:b/>
          <w:sz w:val="28"/>
          <w:szCs w:val="24"/>
        </w:rPr>
        <w:t xml:space="preserve">the </w:t>
      </w:r>
      <w:r w:rsidR="00214E29" w:rsidRPr="00214E29">
        <w:rPr>
          <w:b/>
          <w:sz w:val="28"/>
          <w:szCs w:val="24"/>
        </w:rPr>
        <w:t xml:space="preserve">Large-Scale </w:t>
      </w:r>
      <w:r w:rsidR="00214E29">
        <w:rPr>
          <w:b/>
          <w:sz w:val="28"/>
          <w:szCs w:val="24"/>
        </w:rPr>
        <w:t>S</w:t>
      </w:r>
      <w:r w:rsidR="00214E29" w:rsidRPr="00214E29">
        <w:rPr>
          <w:b/>
          <w:sz w:val="28"/>
          <w:szCs w:val="24"/>
        </w:rPr>
        <w:t xml:space="preserve">hared </w:t>
      </w:r>
      <w:r w:rsidR="00214E29">
        <w:rPr>
          <w:b/>
          <w:sz w:val="28"/>
          <w:szCs w:val="24"/>
        </w:rPr>
        <w:t>L</w:t>
      </w:r>
      <w:r w:rsidR="00214E29" w:rsidRPr="00214E29">
        <w:rPr>
          <w:b/>
          <w:sz w:val="28"/>
          <w:szCs w:val="24"/>
        </w:rPr>
        <w:t xml:space="preserve">iving </w:t>
      </w:r>
      <w:r w:rsidR="00214E29">
        <w:rPr>
          <w:b/>
          <w:sz w:val="28"/>
          <w:szCs w:val="24"/>
        </w:rPr>
        <w:t>A</w:t>
      </w:r>
      <w:r w:rsidR="00214E29" w:rsidRPr="00214E29">
        <w:rPr>
          <w:b/>
          <w:sz w:val="28"/>
          <w:szCs w:val="24"/>
        </w:rPr>
        <w:t xml:space="preserve">ccommodation </w:t>
      </w:r>
      <w:r w:rsidR="00214E29">
        <w:rPr>
          <w:b/>
          <w:sz w:val="28"/>
          <w:szCs w:val="24"/>
        </w:rPr>
        <w:t>Informal</w:t>
      </w:r>
      <w:r w:rsidR="00537776">
        <w:rPr>
          <w:b/>
          <w:sz w:val="28"/>
          <w:szCs w:val="24"/>
        </w:rPr>
        <w:t xml:space="preserve"> Planning Guidance document</w:t>
      </w:r>
      <w:r w:rsidRPr="00474FE3">
        <w:rPr>
          <w:b/>
          <w:sz w:val="28"/>
          <w:szCs w:val="24"/>
        </w:rPr>
        <w:t xml:space="preserve"> </w:t>
      </w:r>
    </w:p>
    <w:p w14:paraId="3A6CF5E8" w14:textId="77777777" w:rsidR="00474FE3" w:rsidRPr="00474FE3" w:rsidRDefault="00474FE3" w:rsidP="00366AB2">
      <w:pPr>
        <w:rPr>
          <w:b/>
          <w:sz w:val="24"/>
          <w:szCs w:val="24"/>
        </w:rPr>
      </w:pPr>
    </w:p>
    <w:p w14:paraId="04849E6D" w14:textId="5AE06E2C" w:rsidR="00357839" w:rsidRPr="00357839" w:rsidRDefault="00357839" w:rsidP="3BE093F1">
      <w:pPr>
        <w:rPr>
          <w:sz w:val="24"/>
          <w:szCs w:val="24"/>
        </w:rPr>
      </w:pPr>
      <w:r w:rsidRPr="3BE093F1">
        <w:rPr>
          <w:sz w:val="24"/>
          <w:szCs w:val="24"/>
        </w:rPr>
        <w:t xml:space="preserve">This </w:t>
      </w:r>
      <w:r w:rsidR="00CE6F98" w:rsidRPr="3BE093F1">
        <w:rPr>
          <w:sz w:val="24"/>
          <w:szCs w:val="24"/>
        </w:rPr>
        <w:t>g</w:t>
      </w:r>
      <w:r w:rsidRPr="3BE093F1">
        <w:rPr>
          <w:sz w:val="24"/>
          <w:szCs w:val="24"/>
        </w:rPr>
        <w:t>uidance document provides a</w:t>
      </w:r>
      <w:r w:rsidR="00902A70" w:rsidRPr="3BE093F1">
        <w:rPr>
          <w:sz w:val="24"/>
          <w:szCs w:val="24"/>
        </w:rPr>
        <w:t xml:space="preserve">n interim </w:t>
      </w:r>
      <w:r w:rsidRPr="3BE093F1">
        <w:rPr>
          <w:sz w:val="24"/>
          <w:szCs w:val="24"/>
        </w:rPr>
        <w:t xml:space="preserve">policy framework to address the emerging trend of </w:t>
      </w:r>
      <w:r w:rsidR="00C87A2E">
        <w:rPr>
          <w:rFonts w:ascii="Aptos" w:eastAsia="Aptos" w:hAnsi="Aptos" w:cs="Aptos"/>
          <w:sz w:val="24"/>
          <w:szCs w:val="24"/>
        </w:rPr>
        <w:t>l</w:t>
      </w:r>
      <w:r w:rsidR="009D278F" w:rsidRPr="0042052E">
        <w:rPr>
          <w:rFonts w:ascii="Aptos" w:eastAsia="Aptos" w:hAnsi="Aptos" w:cs="Aptos"/>
          <w:sz w:val="24"/>
          <w:szCs w:val="24"/>
        </w:rPr>
        <w:t>arge-</w:t>
      </w:r>
      <w:r w:rsidR="00C87A2E">
        <w:rPr>
          <w:rFonts w:ascii="Aptos" w:eastAsia="Aptos" w:hAnsi="Aptos" w:cs="Aptos"/>
          <w:sz w:val="24"/>
          <w:szCs w:val="24"/>
        </w:rPr>
        <w:t>s</w:t>
      </w:r>
      <w:r w:rsidR="009D278F" w:rsidRPr="0042052E">
        <w:rPr>
          <w:rFonts w:ascii="Aptos" w:eastAsia="Aptos" w:hAnsi="Aptos" w:cs="Aptos"/>
          <w:sz w:val="24"/>
          <w:szCs w:val="24"/>
        </w:rPr>
        <w:t>cale shared living accommodation</w:t>
      </w:r>
      <w:r w:rsidR="009D278F" w:rsidRPr="3BE093F1">
        <w:rPr>
          <w:sz w:val="24"/>
          <w:szCs w:val="24"/>
        </w:rPr>
        <w:t xml:space="preserve"> </w:t>
      </w:r>
      <w:r w:rsidR="009D278F">
        <w:rPr>
          <w:sz w:val="24"/>
          <w:szCs w:val="24"/>
        </w:rPr>
        <w:t>(</w:t>
      </w:r>
      <w:r w:rsidRPr="3BE093F1">
        <w:rPr>
          <w:sz w:val="24"/>
          <w:szCs w:val="24"/>
        </w:rPr>
        <w:t>co-living</w:t>
      </w:r>
      <w:r w:rsidR="009D278F">
        <w:rPr>
          <w:sz w:val="24"/>
          <w:szCs w:val="24"/>
        </w:rPr>
        <w:t>)</w:t>
      </w:r>
      <w:r w:rsidRPr="3BE093F1">
        <w:rPr>
          <w:sz w:val="24"/>
          <w:szCs w:val="24"/>
        </w:rPr>
        <w:t xml:space="preserve"> developments</w:t>
      </w:r>
      <w:r w:rsidR="007B52A9" w:rsidRPr="3BE093F1">
        <w:rPr>
          <w:sz w:val="24"/>
          <w:szCs w:val="24"/>
        </w:rPr>
        <w:t xml:space="preserve"> </w:t>
      </w:r>
      <w:r w:rsidR="0094629B" w:rsidRPr="3BE093F1">
        <w:rPr>
          <w:sz w:val="24"/>
          <w:szCs w:val="24"/>
        </w:rPr>
        <w:t xml:space="preserve">as </w:t>
      </w:r>
      <w:r w:rsidR="662A1D55" w:rsidRPr="3BE093F1">
        <w:rPr>
          <w:sz w:val="24"/>
          <w:szCs w:val="24"/>
        </w:rPr>
        <w:t>this is</w:t>
      </w:r>
      <w:r w:rsidRPr="3BE093F1">
        <w:rPr>
          <w:sz w:val="24"/>
          <w:szCs w:val="24"/>
        </w:rPr>
        <w:t xml:space="preserve"> not yet fully </w:t>
      </w:r>
      <w:r w:rsidR="00CE6F98" w:rsidRPr="3BE093F1">
        <w:rPr>
          <w:sz w:val="24"/>
          <w:szCs w:val="24"/>
        </w:rPr>
        <w:t>addressed</w:t>
      </w:r>
      <w:r w:rsidRPr="3BE093F1">
        <w:rPr>
          <w:sz w:val="24"/>
          <w:szCs w:val="24"/>
        </w:rPr>
        <w:t xml:space="preserve"> by</w:t>
      </w:r>
      <w:r w:rsidR="00514822" w:rsidRPr="3BE093F1">
        <w:rPr>
          <w:sz w:val="24"/>
          <w:szCs w:val="24"/>
        </w:rPr>
        <w:t xml:space="preserve"> national policy or</w:t>
      </w:r>
      <w:r w:rsidRPr="3BE093F1">
        <w:rPr>
          <w:sz w:val="24"/>
          <w:szCs w:val="24"/>
        </w:rPr>
        <w:t xml:space="preserve"> the adopted </w:t>
      </w:r>
      <w:r w:rsidR="0008666F" w:rsidRPr="3BE093F1">
        <w:rPr>
          <w:sz w:val="24"/>
          <w:szCs w:val="24"/>
        </w:rPr>
        <w:t xml:space="preserve">Nottingham City </w:t>
      </w:r>
      <w:r w:rsidRPr="3BE093F1">
        <w:rPr>
          <w:sz w:val="24"/>
          <w:szCs w:val="24"/>
        </w:rPr>
        <w:t>Local Plan</w:t>
      </w:r>
      <w:r w:rsidR="33952F67" w:rsidRPr="3BE093F1">
        <w:rPr>
          <w:sz w:val="24"/>
          <w:szCs w:val="24"/>
        </w:rPr>
        <w:t xml:space="preserve"> Part 2</w:t>
      </w:r>
      <w:r w:rsidRPr="3BE093F1">
        <w:rPr>
          <w:sz w:val="24"/>
          <w:szCs w:val="24"/>
        </w:rPr>
        <w:t>.</w:t>
      </w:r>
    </w:p>
    <w:p w14:paraId="43E4BB0F" w14:textId="77777777" w:rsidR="00357839" w:rsidRDefault="00357839" w:rsidP="00357839">
      <w:pPr>
        <w:rPr>
          <w:sz w:val="24"/>
        </w:rPr>
      </w:pPr>
    </w:p>
    <w:p w14:paraId="01228905" w14:textId="46C8A6B4" w:rsidR="00E4049F" w:rsidRDefault="00357839" w:rsidP="42F05441">
      <w:pPr>
        <w:rPr>
          <w:sz w:val="24"/>
          <w:szCs w:val="24"/>
        </w:rPr>
      </w:pPr>
      <w:r w:rsidRPr="3BE093F1">
        <w:rPr>
          <w:sz w:val="24"/>
          <w:szCs w:val="24"/>
        </w:rPr>
        <w:t xml:space="preserve">Its purpose is to ensure clarity and consistency in decision-making by outlining expectations, design standards, and assessment criteria for these new forms of </w:t>
      </w:r>
      <w:r w:rsidR="00CE6F98" w:rsidRPr="3BE093F1">
        <w:rPr>
          <w:sz w:val="24"/>
          <w:szCs w:val="24"/>
        </w:rPr>
        <w:t xml:space="preserve">emerging residential </w:t>
      </w:r>
      <w:r w:rsidRPr="3BE093F1">
        <w:rPr>
          <w:sz w:val="24"/>
          <w:szCs w:val="24"/>
        </w:rPr>
        <w:t>development</w:t>
      </w:r>
      <w:r w:rsidR="00CE6F98" w:rsidRPr="3BE093F1">
        <w:rPr>
          <w:sz w:val="24"/>
          <w:szCs w:val="24"/>
        </w:rPr>
        <w:t>s</w:t>
      </w:r>
      <w:r w:rsidRPr="3BE093F1">
        <w:rPr>
          <w:sz w:val="24"/>
          <w:szCs w:val="24"/>
        </w:rPr>
        <w:t xml:space="preserve">. </w:t>
      </w:r>
      <w:r w:rsidR="00C3473C" w:rsidRPr="3BE093F1">
        <w:rPr>
          <w:sz w:val="24"/>
          <w:szCs w:val="24"/>
        </w:rPr>
        <w:t xml:space="preserve">This guidance supplements Policies 2 and 8 of the Aligned Core Strategy (ACS) and Policies DE1, DE2, HO1, HO3, HO4, and IN4 of the Land and Planning Policies Document (LAPP, 2020). </w:t>
      </w:r>
      <w:r w:rsidR="00CE6F98" w:rsidRPr="3BE093F1">
        <w:rPr>
          <w:sz w:val="24"/>
          <w:szCs w:val="24"/>
        </w:rPr>
        <w:t>The</w:t>
      </w:r>
      <w:r w:rsidRPr="3BE093F1">
        <w:rPr>
          <w:sz w:val="24"/>
          <w:szCs w:val="24"/>
        </w:rPr>
        <w:t xml:space="preserve"> guidance will remain in place until the </w:t>
      </w:r>
      <w:r w:rsidR="4FF75D05" w:rsidRPr="3BE093F1">
        <w:rPr>
          <w:sz w:val="24"/>
          <w:szCs w:val="24"/>
        </w:rPr>
        <w:t xml:space="preserve">2020 </w:t>
      </w:r>
      <w:r w:rsidRPr="3BE093F1">
        <w:rPr>
          <w:sz w:val="24"/>
          <w:szCs w:val="24"/>
        </w:rPr>
        <w:t xml:space="preserve">Local Plan </w:t>
      </w:r>
      <w:r w:rsidR="2A9E1F3B" w:rsidRPr="3BE093F1">
        <w:rPr>
          <w:sz w:val="24"/>
          <w:szCs w:val="24"/>
        </w:rPr>
        <w:t xml:space="preserve">Part 2 </w:t>
      </w:r>
      <w:r w:rsidRPr="3BE093F1">
        <w:rPr>
          <w:sz w:val="24"/>
          <w:szCs w:val="24"/>
        </w:rPr>
        <w:t xml:space="preserve">is formally </w:t>
      </w:r>
      <w:r w:rsidR="00CE6F98" w:rsidRPr="3BE093F1">
        <w:rPr>
          <w:sz w:val="24"/>
          <w:szCs w:val="24"/>
        </w:rPr>
        <w:t>revised</w:t>
      </w:r>
      <w:r w:rsidRPr="3BE093F1">
        <w:rPr>
          <w:sz w:val="24"/>
          <w:szCs w:val="24"/>
        </w:rPr>
        <w:t>.</w:t>
      </w:r>
      <w:r w:rsidR="002C636D" w:rsidRPr="3BE093F1">
        <w:rPr>
          <w:sz w:val="24"/>
          <w:szCs w:val="24"/>
        </w:rPr>
        <w:t xml:space="preserve"> </w:t>
      </w:r>
      <w:r w:rsidR="00514822" w:rsidRPr="3BE093F1">
        <w:rPr>
          <w:sz w:val="24"/>
          <w:szCs w:val="24"/>
        </w:rPr>
        <w:t xml:space="preserve">Other policies within the Local Plan may also be applicable depending on the specific nature of the proposed scheme. </w:t>
      </w:r>
    </w:p>
    <w:p w14:paraId="74530E7F" w14:textId="334FF846" w:rsidR="00414451" w:rsidRDefault="00414451" w:rsidP="42F05441">
      <w:pPr>
        <w:rPr>
          <w:sz w:val="24"/>
          <w:szCs w:val="24"/>
        </w:rPr>
      </w:pPr>
    </w:p>
    <w:p w14:paraId="60681EEB" w14:textId="0B4E6D0D" w:rsidR="00E141A0" w:rsidRPr="00511F58" w:rsidRDefault="002D4DA9">
      <w:pPr>
        <w:rPr>
          <w:sz w:val="24"/>
          <w:szCs w:val="24"/>
        </w:rPr>
      </w:pPr>
      <w:r w:rsidRPr="002D4DA9">
        <w:rPr>
          <w:bCs/>
          <w:i/>
          <w:iCs/>
          <w:noProof/>
          <w:sz w:val="20"/>
          <w:szCs w:val="16"/>
        </w:rPr>
        <mc:AlternateContent>
          <mc:Choice Requires="wps">
            <w:drawing>
              <wp:anchor distT="45720" distB="45720" distL="114300" distR="114300" simplePos="0" relativeHeight="251664391" behindDoc="0" locked="0" layoutInCell="1" allowOverlap="1" wp14:anchorId="3AC598FD" wp14:editId="6B75636A">
                <wp:simplePos x="0" y="0"/>
                <wp:positionH relativeFrom="column">
                  <wp:posOffset>4233545</wp:posOffset>
                </wp:positionH>
                <wp:positionV relativeFrom="paragraph">
                  <wp:posOffset>3994785</wp:posOffset>
                </wp:positionV>
                <wp:extent cx="2159000" cy="1404620"/>
                <wp:effectExtent l="0" t="0" r="0" b="5715"/>
                <wp:wrapNone/>
                <wp:docPr id="478239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404620"/>
                        </a:xfrm>
                        <a:prstGeom prst="rect">
                          <a:avLst/>
                        </a:prstGeom>
                        <a:noFill/>
                        <a:ln w="9525">
                          <a:noFill/>
                          <a:miter lim="800000"/>
                          <a:headEnd/>
                          <a:tailEnd/>
                        </a:ln>
                      </wps:spPr>
                      <wps:txbx>
                        <w:txbxContent>
                          <w:p w14:paraId="26A51A4E" w14:textId="48E07A4D" w:rsidR="002D4DA9" w:rsidRPr="002D4DA9" w:rsidRDefault="002D4DA9">
                            <w:pPr>
                              <w:rPr>
                                <w:b/>
                                <w:bCs/>
                                <w:color w:val="FFFFFF" w:themeColor="background1"/>
                              </w:rPr>
                            </w:pPr>
                            <w:r w:rsidRPr="002D4DA9">
                              <w:rPr>
                                <w:b/>
                                <w:bCs/>
                                <w:color w:val="FFFFFF" w:themeColor="background1"/>
                              </w:rPr>
                              <w:t>For illustrative purposes only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AC598FD" id="_x0000_t202" coordsize="21600,21600" o:spt="202" path="m,l,21600r21600,l21600,xe">
                <v:stroke joinstyle="miter"/>
                <v:path gradientshapeok="t" o:connecttype="rect"/>
              </v:shapetype>
              <v:shape id="Text Box 2" o:spid="_x0000_s1026" type="#_x0000_t202" style="position:absolute;margin-left:333.35pt;margin-top:314.55pt;width:170pt;height:110.6pt;z-index:25166439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" filled="f" stroked="f">
                <v:textbox style="mso-fit-shape-to-text:t">
                  <w:txbxContent>
                    <w:p w14:paraId="26A51A4E" w14:textId="48E07A4D" w:rsidR="002D4DA9" w:rsidRPr="002D4DA9" w:rsidRDefault="002D4DA9">
                      <w:pPr>
                        <w:rPr>
                          <w:b/>
                          <w:bCs/>
                          <w:color w:val="FFFFFF" w:themeColor="background1"/>
                        </w:rPr>
                      </w:pPr>
                      <w:r w:rsidRPr="002D4DA9">
                        <w:rPr>
                          <w:b/>
                          <w:bCs/>
                          <w:color w:val="FFFFFF" w:themeColor="background1"/>
                        </w:rPr>
                        <w:t>For illustrative purposes only</w:t>
                      </w:r>
                    </w:p>
                  </w:txbxContent>
                </v:textbox>
              </v:shape>
            </w:pict>
          </mc:Fallback>
        </mc:AlternateContent>
      </w:r>
      <w:r w:rsidR="00D24CA2">
        <w:rPr>
          <w:noProof/>
        </w:rPr>
        <w:drawing>
          <wp:inline distT="0" distB="0" distL="0" distR="0" wp14:anchorId="02B2435A" wp14:editId="3A279556">
            <wp:extent cx="6392732" cy="4261608"/>
            <wp:effectExtent l="0" t="0" r="8255" b="5715"/>
            <wp:docPr id="1028015714" name="Picture 5" descr="Photograph of a modern urban street scene featuring a tram, pedestrians, and multi-story mixed-use buildings with retail spaces and balconies. Buildings display signage for &quot;Collective&quot; and &quot;Collective Kitchen,&quot; with greenery and trees integrated into the streetscape, highlighting a vibrant, transit-oriented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15714" name="Picture 5" descr="Photograph of a modern urban street scene featuring a tram, pedestrians, and multi-story mixed-use buildings with retail spaces and balconies. Buildings display signage for &quot;Collective&quot; and &quot;Collective Kitchen,&quot; with greenery and trees integrated into the streetscape, highlighting a vibrant, transit-oriented communi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01750" cy="4267620"/>
                    </a:xfrm>
                    <a:prstGeom prst="rect">
                      <a:avLst/>
                    </a:prstGeom>
                    <a:noFill/>
                    <a:ln>
                      <a:noFill/>
                    </a:ln>
                  </pic:spPr>
                </pic:pic>
              </a:graphicData>
            </a:graphic>
          </wp:inline>
        </w:drawing>
      </w:r>
    </w:p>
    <w:p w14:paraId="3CF728F2" w14:textId="137127AE" w:rsidR="00E141A0" w:rsidRPr="00CA23FE" w:rsidRDefault="00E141A0">
      <w:pPr>
        <w:rPr>
          <w:rFonts w:ascii="Helvetica Neue"/>
          <w:color w:val="FFFFFF" w:themeColor="background1"/>
          <w:sz w:val="36"/>
        </w:rPr>
        <w:sectPr w:rsidR="00E141A0" w:rsidRPr="00CA23FE">
          <w:headerReference w:type="even" r:id="rId11"/>
          <w:type w:val="continuous"/>
          <w:pgSz w:w="11910" w:h="16840"/>
          <w:pgMar w:top="1040" w:right="880" w:bottom="280" w:left="1020" w:header="720" w:footer="720" w:gutter="0"/>
          <w:cols w:space="720"/>
        </w:sectPr>
      </w:pPr>
    </w:p>
    <w:p w14:paraId="6D126E2C" w14:textId="16B16D8E" w:rsidR="002D4DA9" w:rsidRDefault="002D4DA9">
      <w:pPr>
        <w:rPr>
          <w:b/>
          <w:sz w:val="28"/>
        </w:rPr>
      </w:pPr>
    </w:p>
    <w:p w14:paraId="450F6F05" w14:textId="2448A36C" w:rsidR="002D4DA9" w:rsidRPr="002D4DA9" w:rsidRDefault="002D4DA9">
      <w:pPr>
        <w:rPr>
          <w:bCs/>
          <w:i/>
          <w:iCs/>
          <w:sz w:val="28"/>
        </w:rPr>
      </w:pPr>
      <w:r w:rsidRPr="002D4DA9">
        <w:rPr>
          <w:bCs/>
          <w:i/>
          <w:iCs/>
          <w:sz w:val="20"/>
          <w:szCs w:val="16"/>
        </w:rPr>
        <w:t xml:space="preserve">All images and illustrative material within this document are indicative only and are intended to help visualise how co-living schemes could be delivered. However, they do not imply policy support or acceptability. Each proposal will be assessed on its own merits in accordance with the </w:t>
      </w:r>
      <w:r w:rsidR="00465FB8">
        <w:rPr>
          <w:bCs/>
          <w:i/>
          <w:iCs/>
          <w:sz w:val="20"/>
          <w:szCs w:val="16"/>
        </w:rPr>
        <w:t>local</w:t>
      </w:r>
      <w:r w:rsidRPr="002D4DA9">
        <w:rPr>
          <w:bCs/>
          <w:i/>
          <w:iCs/>
          <w:sz w:val="20"/>
          <w:szCs w:val="16"/>
        </w:rPr>
        <w:t xml:space="preserve"> plan, this guidance, and other material considerations.</w:t>
      </w:r>
      <w:r w:rsidRPr="002D4DA9">
        <w:rPr>
          <w:bCs/>
          <w:i/>
          <w:iCs/>
          <w:sz w:val="28"/>
        </w:rPr>
        <w:br w:type="page"/>
      </w:r>
    </w:p>
    <w:p w14:paraId="6A44206E" w14:textId="77777777" w:rsidR="00065491" w:rsidRDefault="00065491">
      <w:pPr>
        <w:rPr>
          <w:b/>
          <w:sz w:val="28"/>
        </w:rPr>
      </w:pPr>
    </w:p>
    <w:p w14:paraId="097A5979" w14:textId="73CAC5B4" w:rsidR="00E4049F" w:rsidRPr="00E141A0" w:rsidRDefault="00581B9F" w:rsidP="008D7E9D">
      <w:pPr>
        <w:pStyle w:val="BodyText"/>
        <w:rPr>
          <w:b/>
          <w:sz w:val="28"/>
        </w:rPr>
      </w:pPr>
      <w:r w:rsidRPr="00E141A0">
        <w:rPr>
          <w:b/>
          <w:sz w:val="28"/>
        </w:rPr>
        <w:t>Contents</w:t>
      </w:r>
    </w:p>
    <w:p w14:paraId="35C72EE4" w14:textId="77777777" w:rsidR="008D7E9D" w:rsidRDefault="008D7E9D" w:rsidP="00BC1388">
      <w:pPr>
        <w:pStyle w:val="TOC1"/>
        <w:tabs>
          <w:tab w:val="left" w:pos="440"/>
          <w:tab w:val="right" w:leader="dot" w:pos="10000"/>
        </w:tabs>
        <w:rPr>
          <w:sz w:val="20"/>
        </w:rPr>
      </w:pPr>
    </w:p>
    <w:p w14:paraId="2A9FA1DF" w14:textId="394F0E1A" w:rsidR="00B40C0F" w:rsidRDefault="009B3AEB">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r>
        <w:fldChar w:fldCharType="begin"/>
      </w:r>
      <w:r w:rsidR="00BC1388">
        <w:instrText>TOC \o "1-3" \z \u \h</w:instrText>
      </w:r>
      <w:r>
        <w:fldChar w:fldCharType="separate"/>
      </w:r>
      <w:hyperlink w:anchor="_Toc229489643" w:history="1">
        <w:r w:rsidR="00B40C0F" w:rsidRPr="009B392A">
          <w:rPr>
            <w:rStyle w:val="Hyperlink"/>
            <w:noProof/>
          </w:rPr>
          <w:t>1.</w:t>
        </w:r>
        <w:r w:rsidR="00B40C0F">
          <w:rPr>
            <w:rFonts w:asciiTheme="minorHAnsi" w:eastAsiaTheme="minorEastAsia" w:hAnsiTheme="minorHAnsi" w:cstheme="minorBidi"/>
            <w:b w:val="0"/>
            <w:noProof/>
            <w:kern w:val="2"/>
            <w:szCs w:val="24"/>
            <w:lang w:bidi="ar-SA"/>
            <w14:ligatures w14:val="standardContextual"/>
          </w:rPr>
          <w:tab/>
        </w:r>
        <w:r w:rsidR="00B40C0F" w:rsidRPr="009B392A">
          <w:rPr>
            <w:rStyle w:val="Hyperlink"/>
            <w:noProof/>
          </w:rPr>
          <w:t>Purpose and Status of the Document</w:t>
        </w:r>
        <w:r w:rsidR="00B40C0F">
          <w:rPr>
            <w:noProof/>
            <w:webHidden/>
          </w:rPr>
          <w:tab/>
        </w:r>
        <w:r w:rsidR="00B40C0F">
          <w:rPr>
            <w:noProof/>
            <w:webHidden/>
          </w:rPr>
          <w:fldChar w:fldCharType="begin"/>
        </w:r>
        <w:r w:rsidR="00B40C0F">
          <w:rPr>
            <w:noProof/>
            <w:webHidden/>
          </w:rPr>
          <w:instrText xml:space="preserve"> PAGEREF _Toc229489643 \h </w:instrText>
        </w:r>
        <w:r w:rsidR="00B40C0F">
          <w:rPr>
            <w:noProof/>
            <w:webHidden/>
          </w:rPr>
        </w:r>
        <w:r w:rsidR="00B40C0F">
          <w:rPr>
            <w:noProof/>
            <w:webHidden/>
          </w:rPr>
          <w:fldChar w:fldCharType="separate"/>
        </w:r>
        <w:r w:rsidR="00993EAC">
          <w:rPr>
            <w:noProof/>
            <w:webHidden/>
          </w:rPr>
          <w:t>1</w:t>
        </w:r>
        <w:r w:rsidR="00B40C0F">
          <w:rPr>
            <w:noProof/>
            <w:webHidden/>
          </w:rPr>
          <w:fldChar w:fldCharType="end"/>
        </w:r>
      </w:hyperlink>
    </w:p>
    <w:p w14:paraId="4911B5C9" w14:textId="36A9CB35"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44" w:history="1">
        <w:r w:rsidRPr="009B392A">
          <w:rPr>
            <w:rStyle w:val="Hyperlink"/>
            <w:noProof/>
          </w:rPr>
          <w:t>2.</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Consultation</w:t>
        </w:r>
        <w:r>
          <w:rPr>
            <w:noProof/>
            <w:webHidden/>
          </w:rPr>
          <w:tab/>
        </w:r>
        <w:r>
          <w:rPr>
            <w:noProof/>
            <w:webHidden/>
          </w:rPr>
          <w:fldChar w:fldCharType="begin"/>
        </w:r>
        <w:r>
          <w:rPr>
            <w:noProof/>
            <w:webHidden/>
          </w:rPr>
          <w:instrText xml:space="preserve"> PAGEREF _Toc229489644 \h </w:instrText>
        </w:r>
        <w:r>
          <w:rPr>
            <w:noProof/>
            <w:webHidden/>
          </w:rPr>
        </w:r>
        <w:r>
          <w:rPr>
            <w:noProof/>
            <w:webHidden/>
          </w:rPr>
          <w:fldChar w:fldCharType="separate"/>
        </w:r>
        <w:r w:rsidR="00993EAC">
          <w:rPr>
            <w:noProof/>
            <w:webHidden/>
          </w:rPr>
          <w:t>3</w:t>
        </w:r>
        <w:r>
          <w:rPr>
            <w:noProof/>
            <w:webHidden/>
          </w:rPr>
          <w:fldChar w:fldCharType="end"/>
        </w:r>
      </w:hyperlink>
    </w:p>
    <w:p w14:paraId="4777CEB0" w14:textId="7CCB17D3"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45" w:history="1">
        <w:r w:rsidRPr="009B392A">
          <w:rPr>
            <w:rStyle w:val="Hyperlink"/>
            <w:noProof/>
          </w:rPr>
          <w:t>3.</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Introduction</w:t>
        </w:r>
        <w:r>
          <w:rPr>
            <w:noProof/>
            <w:webHidden/>
          </w:rPr>
          <w:tab/>
        </w:r>
        <w:r>
          <w:rPr>
            <w:noProof/>
            <w:webHidden/>
          </w:rPr>
          <w:fldChar w:fldCharType="begin"/>
        </w:r>
        <w:r>
          <w:rPr>
            <w:noProof/>
            <w:webHidden/>
          </w:rPr>
          <w:instrText xml:space="preserve"> PAGEREF _Toc229489645 \h </w:instrText>
        </w:r>
        <w:r>
          <w:rPr>
            <w:noProof/>
            <w:webHidden/>
          </w:rPr>
        </w:r>
        <w:r>
          <w:rPr>
            <w:noProof/>
            <w:webHidden/>
          </w:rPr>
          <w:fldChar w:fldCharType="separate"/>
        </w:r>
        <w:r w:rsidR="00993EAC">
          <w:rPr>
            <w:noProof/>
            <w:webHidden/>
          </w:rPr>
          <w:t>4</w:t>
        </w:r>
        <w:r>
          <w:rPr>
            <w:noProof/>
            <w:webHidden/>
          </w:rPr>
          <w:fldChar w:fldCharType="end"/>
        </w:r>
      </w:hyperlink>
    </w:p>
    <w:p w14:paraId="5A411AA4" w14:textId="7D1240D4"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46" w:history="1">
        <w:r w:rsidRPr="009B392A">
          <w:rPr>
            <w:rStyle w:val="Hyperlink"/>
            <w:noProof/>
          </w:rPr>
          <w:t>4.</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Planning Policy Context</w:t>
        </w:r>
        <w:r>
          <w:rPr>
            <w:noProof/>
            <w:webHidden/>
          </w:rPr>
          <w:tab/>
        </w:r>
        <w:r>
          <w:rPr>
            <w:noProof/>
            <w:webHidden/>
          </w:rPr>
          <w:fldChar w:fldCharType="begin"/>
        </w:r>
        <w:r>
          <w:rPr>
            <w:noProof/>
            <w:webHidden/>
          </w:rPr>
          <w:instrText xml:space="preserve"> PAGEREF _Toc229489646 \h </w:instrText>
        </w:r>
        <w:r>
          <w:rPr>
            <w:noProof/>
            <w:webHidden/>
          </w:rPr>
        </w:r>
        <w:r>
          <w:rPr>
            <w:noProof/>
            <w:webHidden/>
          </w:rPr>
          <w:fldChar w:fldCharType="separate"/>
        </w:r>
        <w:r w:rsidR="00993EAC">
          <w:rPr>
            <w:noProof/>
            <w:webHidden/>
          </w:rPr>
          <w:t>6</w:t>
        </w:r>
        <w:r>
          <w:rPr>
            <w:noProof/>
            <w:webHidden/>
          </w:rPr>
          <w:fldChar w:fldCharType="end"/>
        </w:r>
      </w:hyperlink>
    </w:p>
    <w:p w14:paraId="0EA7E437" w14:textId="6D9E7C9B"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47" w:history="1">
        <w:r w:rsidRPr="009B392A">
          <w:rPr>
            <w:rStyle w:val="Hyperlink"/>
            <w:noProof/>
          </w:rPr>
          <w:t>National Planning Policy Framework (NPPF)</w:t>
        </w:r>
        <w:r>
          <w:rPr>
            <w:noProof/>
            <w:webHidden/>
          </w:rPr>
          <w:tab/>
        </w:r>
        <w:r>
          <w:rPr>
            <w:noProof/>
            <w:webHidden/>
          </w:rPr>
          <w:fldChar w:fldCharType="begin"/>
        </w:r>
        <w:r>
          <w:rPr>
            <w:noProof/>
            <w:webHidden/>
          </w:rPr>
          <w:instrText xml:space="preserve"> PAGEREF _Toc229489647 \h </w:instrText>
        </w:r>
        <w:r>
          <w:rPr>
            <w:noProof/>
            <w:webHidden/>
          </w:rPr>
        </w:r>
        <w:r>
          <w:rPr>
            <w:noProof/>
            <w:webHidden/>
          </w:rPr>
          <w:fldChar w:fldCharType="separate"/>
        </w:r>
        <w:r w:rsidR="00993EAC">
          <w:rPr>
            <w:noProof/>
            <w:webHidden/>
          </w:rPr>
          <w:t>6</w:t>
        </w:r>
        <w:r>
          <w:rPr>
            <w:noProof/>
            <w:webHidden/>
          </w:rPr>
          <w:fldChar w:fldCharType="end"/>
        </w:r>
      </w:hyperlink>
    </w:p>
    <w:p w14:paraId="59EAD544" w14:textId="69E1172E"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48" w:history="1">
        <w:r w:rsidRPr="009B392A">
          <w:rPr>
            <w:rStyle w:val="Hyperlink"/>
            <w:noProof/>
          </w:rPr>
          <w:t>Emerging Draft NPPF December 2025</w:t>
        </w:r>
        <w:r>
          <w:rPr>
            <w:noProof/>
            <w:webHidden/>
          </w:rPr>
          <w:tab/>
        </w:r>
        <w:r>
          <w:rPr>
            <w:noProof/>
            <w:webHidden/>
          </w:rPr>
          <w:fldChar w:fldCharType="begin"/>
        </w:r>
        <w:r>
          <w:rPr>
            <w:noProof/>
            <w:webHidden/>
          </w:rPr>
          <w:instrText xml:space="preserve"> PAGEREF _Toc229489648 \h </w:instrText>
        </w:r>
        <w:r>
          <w:rPr>
            <w:noProof/>
            <w:webHidden/>
          </w:rPr>
        </w:r>
        <w:r>
          <w:rPr>
            <w:noProof/>
            <w:webHidden/>
          </w:rPr>
          <w:fldChar w:fldCharType="separate"/>
        </w:r>
        <w:r w:rsidR="00993EAC">
          <w:rPr>
            <w:noProof/>
            <w:webHidden/>
          </w:rPr>
          <w:t>7</w:t>
        </w:r>
        <w:r>
          <w:rPr>
            <w:noProof/>
            <w:webHidden/>
          </w:rPr>
          <w:fldChar w:fldCharType="end"/>
        </w:r>
      </w:hyperlink>
    </w:p>
    <w:p w14:paraId="21046FE4" w14:textId="2A688082"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49" w:history="1">
        <w:r w:rsidRPr="009B392A">
          <w:rPr>
            <w:rStyle w:val="Hyperlink"/>
            <w:noProof/>
          </w:rPr>
          <w:t>Nottingham City Aligned Core Strategy (ACS) (adopted 2014)</w:t>
        </w:r>
        <w:r>
          <w:rPr>
            <w:noProof/>
            <w:webHidden/>
          </w:rPr>
          <w:tab/>
        </w:r>
        <w:r>
          <w:rPr>
            <w:noProof/>
            <w:webHidden/>
          </w:rPr>
          <w:fldChar w:fldCharType="begin"/>
        </w:r>
        <w:r>
          <w:rPr>
            <w:noProof/>
            <w:webHidden/>
          </w:rPr>
          <w:instrText xml:space="preserve"> PAGEREF _Toc229489649 \h </w:instrText>
        </w:r>
        <w:r>
          <w:rPr>
            <w:noProof/>
            <w:webHidden/>
          </w:rPr>
        </w:r>
        <w:r>
          <w:rPr>
            <w:noProof/>
            <w:webHidden/>
          </w:rPr>
          <w:fldChar w:fldCharType="separate"/>
        </w:r>
        <w:r w:rsidR="00993EAC">
          <w:rPr>
            <w:noProof/>
            <w:webHidden/>
          </w:rPr>
          <w:t>8</w:t>
        </w:r>
        <w:r>
          <w:rPr>
            <w:noProof/>
            <w:webHidden/>
          </w:rPr>
          <w:fldChar w:fldCharType="end"/>
        </w:r>
      </w:hyperlink>
    </w:p>
    <w:p w14:paraId="42453DAB" w14:textId="6907E8D6"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50" w:history="1">
        <w:r w:rsidRPr="009B392A">
          <w:rPr>
            <w:rStyle w:val="Hyperlink"/>
            <w:noProof/>
          </w:rPr>
          <w:t>Local Plan Part 2 - Nottingham City Land and Planning Policies Development Plan Document (LAPP) (adopted 2020)</w:t>
        </w:r>
        <w:r>
          <w:rPr>
            <w:noProof/>
            <w:webHidden/>
          </w:rPr>
          <w:tab/>
        </w:r>
        <w:r>
          <w:rPr>
            <w:noProof/>
            <w:webHidden/>
          </w:rPr>
          <w:fldChar w:fldCharType="begin"/>
        </w:r>
        <w:r>
          <w:rPr>
            <w:noProof/>
            <w:webHidden/>
          </w:rPr>
          <w:instrText xml:space="preserve"> PAGEREF _Toc229489650 \h </w:instrText>
        </w:r>
        <w:r>
          <w:rPr>
            <w:noProof/>
            <w:webHidden/>
          </w:rPr>
        </w:r>
        <w:r>
          <w:rPr>
            <w:noProof/>
            <w:webHidden/>
          </w:rPr>
          <w:fldChar w:fldCharType="separate"/>
        </w:r>
        <w:r w:rsidR="00993EAC">
          <w:rPr>
            <w:noProof/>
            <w:webHidden/>
          </w:rPr>
          <w:t>8</w:t>
        </w:r>
        <w:r>
          <w:rPr>
            <w:noProof/>
            <w:webHidden/>
          </w:rPr>
          <w:fldChar w:fldCharType="end"/>
        </w:r>
      </w:hyperlink>
    </w:p>
    <w:p w14:paraId="755B99AB" w14:textId="7629AA7C"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51" w:history="1">
        <w:r w:rsidRPr="009B392A">
          <w:rPr>
            <w:rStyle w:val="Hyperlink"/>
            <w:noProof/>
          </w:rPr>
          <w:t>Greater Nottingham Strategic Plan (GNSP) Publication Version</w:t>
        </w:r>
        <w:r>
          <w:rPr>
            <w:noProof/>
            <w:webHidden/>
          </w:rPr>
          <w:tab/>
        </w:r>
        <w:r>
          <w:rPr>
            <w:noProof/>
            <w:webHidden/>
          </w:rPr>
          <w:fldChar w:fldCharType="begin"/>
        </w:r>
        <w:r>
          <w:rPr>
            <w:noProof/>
            <w:webHidden/>
          </w:rPr>
          <w:instrText xml:space="preserve"> PAGEREF _Toc229489651 \h </w:instrText>
        </w:r>
        <w:r>
          <w:rPr>
            <w:noProof/>
            <w:webHidden/>
          </w:rPr>
        </w:r>
        <w:r>
          <w:rPr>
            <w:noProof/>
            <w:webHidden/>
          </w:rPr>
          <w:fldChar w:fldCharType="separate"/>
        </w:r>
        <w:r w:rsidR="00993EAC">
          <w:rPr>
            <w:noProof/>
            <w:webHidden/>
          </w:rPr>
          <w:t>10</w:t>
        </w:r>
        <w:r>
          <w:rPr>
            <w:noProof/>
            <w:webHidden/>
          </w:rPr>
          <w:fldChar w:fldCharType="end"/>
        </w:r>
      </w:hyperlink>
    </w:p>
    <w:p w14:paraId="56231913" w14:textId="73E8D1A1"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52" w:history="1">
        <w:r w:rsidRPr="009B392A">
          <w:rPr>
            <w:rStyle w:val="Hyperlink"/>
            <w:noProof/>
          </w:rPr>
          <w:t>Sustainability Appraisal (SA)</w:t>
        </w:r>
        <w:r>
          <w:rPr>
            <w:noProof/>
            <w:webHidden/>
          </w:rPr>
          <w:tab/>
        </w:r>
        <w:r>
          <w:rPr>
            <w:noProof/>
            <w:webHidden/>
          </w:rPr>
          <w:fldChar w:fldCharType="begin"/>
        </w:r>
        <w:r>
          <w:rPr>
            <w:noProof/>
            <w:webHidden/>
          </w:rPr>
          <w:instrText xml:space="preserve"> PAGEREF _Toc229489652 \h </w:instrText>
        </w:r>
        <w:r>
          <w:rPr>
            <w:noProof/>
            <w:webHidden/>
          </w:rPr>
        </w:r>
        <w:r>
          <w:rPr>
            <w:noProof/>
            <w:webHidden/>
          </w:rPr>
          <w:fldChar w:fldCharType="separate"/>
        </w:r>
        <w:r w:rsidR="00993EAC">
          <w:rPr>
            <w:noProof/>
            <w:webHidden/>
          </w:rPr>
          <w:t>10</w:t>
        </w:r>
        <w:r>
          <w:rPr>
            <w:noProof/>
            <w:webHidden/>
          </w:rPr>
          <w:fldChar w:fldCharType="end"/>
        </w:r>
      </w:hyperlink>
    </w:p>
    <w:p w14:paraId="1B85D3BC" w14:textId="04DBD0E4"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53" w:history="1">
        <w:r w:rsidRPr="009B392A">
          <w:rPr>
            <w:rStyle w:val="Hyperlink"/>
            <w:noProof/>
          </w:rPr>
          <w:t>5.</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Co-living Developments in Nottingham</w:t>
        </w:r>
        <w:r>
          <w:rPr>
            <w:noProof/>
            <w:webHidden/>
          </w:rPr>
          <w:tab/>
        </w:r>
        <w:r>
          <w:rPr>
            <w:noProof/>
            <w:webHidden/>
          </w:rPr>
          <w:fldChar w:fldCharType="begin"/>
        </w:r>
        <w:r>
          <w:rPr>
            <w:noProof/>
            <w:webHidden/>
          </w:rPr>
          <w:instrText xml:space="preserve"> PAGEREF _Toc229489653 \h </w:instrText>
        </w:r>
        <w:r>
          <w:rPr>
            <w:noProof/>
            <w:webHidden/>
          </w:rPr>
        </w:r>
        <w:r>
          <w:rPr>
            <w:noProof/>
            <w:webHidden/>
          </w:rPr>
          <w:fldChar w:fldCharType="separate"/>
        </w:r>
        <w:r w:rsidR="00993EAC">
          <w:rPr>
            <w:noProof/>
            <w:webHidden/>
          </w:rPr>
          <w:t>11</w:t>
        </w:r>
        <w:r>
          <w:rPr>
            <w:noProof/>
            <w:webHidden/>
          </w:rPr>
          <w:fldChar w:fldCharType="end"/>
        </w:r>
      </w:hyperlink>
    </w:p>
    <w:p w14:paraId="78188100" w14:textId="4EDAB3C9"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54" w:history="1">
        <w:r w:rsidRPr="009B392A">
          <w:rPr>
            <w:rStyle w:val="Hyperlink"/>
            <w:noProof/>
          </w:rPr>
          <w:t>6.</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Assessment of Need &amp; Suitability</w:t>
        </w:r>
        <w:r>
          <w:rPr>
            <w:noProof/>
            <w:webHidden/>
          </w:rPr>
          <w:tab/>
        </w:r>
        <w:r>
          <w:rPr>
            <w:noProof/>
            <w:webHidden/>
          </w:rPr>
          <w:fldChar w:fldCharType="begin"/>
        </w:r>
        <w:r>
          <w:rPr>
            <w:noProof/>
            <w:webHidden/>
          </w:rPr>
          <w:instrText xml:space="preserve"> PAGEREF _Toc229489654 \h </w:instrText>
        </w:r>
        <w:r>
          <w:rPr>
            <w:noProof/>
            <w:webHidden/>
          </w:rPr>
        </w:r>
        <w:r>
          <w:rPr>
            <w:noProof/>
            <w:webHidden/>
          </w:rPr>
          <w:fldChar w:fldCharType="separate"/>
        </w:r>
        <w:r w:rsidR="00993EAC">
          <w:rPr>
            <w:noProof/>
            <w:webHidden/>
          </w:rPr>
          <w:t>13</w:t>
        </w:r>
        <w:r>
          <w:rPr>
            <w:noProof/>
            <w:webHidden/>
          </w:rPr>
          <w:fldChar w:fldCharType="end"/>
        </w:r>
      </w:hyperlink>
    </w:p>
    <w:p w14:paraId="5F19D58F" w14:textId="50EEE57A"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56" w:history="1">
        <w:r w:rsidRPr="009B392A">
          <w:rPr>
            <w:rStyle w:val="Hyperlink"/>
            <w:noProof/>
          </w:rPr>
          <w:t>7.</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Design of Co-living Developments</w:t>
        </w:r>
        <w:r>
          <w:rPr>
            <w:noProof/>
            <w:webHidden/>
          </w:rPr>
          <w:tab/>
        </w:r>
        <w:r>
          <w:rPr>
            <w:noProof/>
            <w:webHidden/>
          </w:rPr>
          <w:fldChar w:fldCharType="begin"/>
        </w:r>
        <w:r>
          <w:rPr>
            <w:noProof/>
            <w:webHidden/>
          </w:rPr>
          <w:instrText xml:space="preserve"> PAGEREF _Toc229489656 \h </w:instrText>
        </w:r>
        <w:r>
          <w:rPr>
            <w:noProof/>
            <w:webHidden/>
          </w:rPr>
        </w:r>
        <w:r>
          <w:rPr>
            <w:noProof/>
            <w:webHidden/>
          </w:rPr>
          <w:fldChar w:fldCharType="separate"/>
        </w:r>
        <w:r w:rsidR="00993EAC">
          <w:rPr>
            <w:noProof/>
            <w:webHidden/>
          </w:rPr>
          <w:t>14</w:t>
        </w:r>
        <w:r>
          <w:rPr>
            <w:noProof/>
            <w:webHidden/>
          </w:rPr>
          <w:fldChar w:fldCharType="end"/>
        </w:r>
      </w:hyperlink>
    </w:p>
    <w:p w14:paraId="7D22B2D3" w14:textId="6DB0E84D"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57" w:history="1">
        <w:r w:rsidRPr="009B392A">
          <w:rPr>
            <w:rStyle w:val="Hyperlink"/>
            <w:noProof/>
          </w:rPr>
          <w:t>Private and Communal Amenity Space</w:t>
        </w:r>
        <w:r>
          <w:rPr>
            <w:noProof/>
            <w:webHidden/>
          </w:rPr>
          <w:tab/>
        </w:r>
        <w:r>
          <w:rPr>
            <w:noProof/>
            <w:webHidden/>
          </w:rPr>
          <w:fldChar w:fldCharType="begin"/>
        </w:r>
        <w:r>
          <w:rPr>
            <w:noProof/>
            <w:webHidden/>
          </w:rPr>
          <w:instrText xml:space="preserve"> PAGEREF _Toc229489657 \h </w:instrText>
        </w:r>
        <w:r>
          <w:rPr>
            <w:noProof/>
            <w:webHidden/>
          </w:rPr>
        </w:r>
        <w:r>
          <w:rPr>
            <w:noProof/>
            <w:webHidden/>
          </w:rPr>
          <w:fldChar w:fldCharType="separate"/>
        </w:r>
        <w:r w:rsidR="00993EAC">
          <w:rPr>
            <w:noProof/>
            <w:webHidden/>
          </w:rPr>
          <w:t>14</w:t>
        </w:r>
        <w:r>
          <w:rPr>
            <w:noProof/>
            <w:webHidden/>
          </w:rPr>
          <w:fldChar w:fldCharType="end"/>
        </w:r>
      </w:hyperlink>
    </w:p>
    <w:p w14:paraId="37334DBA" w14:textId="346A00AA"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58" w:history="1">
        <w:r w:rsidRPr="009B392A">
          <w:rPr>
            <w:rStyle w:val="Hyperlink"/>
            <w:noProof/>
          </w:rPr>
          <w:t>Unit Mix and Diversity</w:t>
        </w:r>
        <w:r>
          <w:rPr>
            <w:noProof/>
            <w:webHidden/>
          </w:rPr>
          <w:tab/>
        </w:r>
        <w:r>
          <w:rPr>
            <w:noProof/>
            <w:webHidden/>
          </w:rPr>
          <w:fldChar w:fldCharType="begin"/>
        </w:r>
        <w:r>
          <w:rPr>
            <w:noProof/>
            <w:webHidden/>
          </w:rPr>
          <w:instrText xml:space="preserve"> PAGEREF _Toc229489658 \h </w:instrText>
        </w:r>
        <w:r>
          <w:rPr>
            <w:noProof/>
            <w:webHidden/>
          </w:rPr>
        </w:r>
        <w:r>
          <w:rPr>
            <w:noProof/>
            <w:webHidden/>
          </w:rPr>
          <w:fldChar w:fldCharType="separate"/>
        </w:r>
        <w:r w:rsidR="00993EAC">
          <w:rPr>
            <w:noProof/>
            <w:webHidden/>
          </w:rPr>
          <w:t>14</w:t>
        </w:r>
        <w:r>
          <w:rPr>
            <w:noProof/>
            <w:webHidden/>
          </w:rPr>
          <w:fldChar w:fldCharType="end"/>
        </w:r>
      </w:hyperlink>
    </w:p>
    <w:p w14:paraId="4639A2D3" w14:textId="2FDA632D"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59" w:history="1">
        <w:r w:rsidRPr="009B392A">
          <w:rPr>
            <w:rStyle w:val="Hyperlink"/>
            <w:noProof/>
          </w:rPr>
          <w:t>Co-Living Space Standards</w:t>
        </w:r>
        <w:r>
          <w:rPr>
            <w:noProof/>
            <w:webHidden/>
          </w:rPr>
          <w:tab/>
        </w:r>
        <w:r>
          <w:rPr>
            <w:noProof/>
            <w:webHidden/>
          </w:rPr>
          <w:fldChar w:fldCharType="begin"/>
        </w:r>
        <w:r>
          <w:rPr>
            <w:noProof/>
            <w:webHidden/>
          </w:rPr>
          <w:instrText xml:space="preserve"> PAGEREF _Toc229489659 \h </w:instrText>
        </w:r>
        <w:r>
          <w:rPr>
            <w:noProof/>
            <w:webHidden/>
          </w:rPr>
        </w:r>
        <w:r>
          <w:rPr>
            <w:noProof/>
            <w:webHidden/>
          </w:rPr>
          <w:fldChar w:fldCharType="separate"/>
        </w:r>
        <w:r w:rsidR="00993EAC">
          <w:rPr>
            <w:noProof/>
            <w:webHidden/>
          </w:rPr>
          <w:t>15</w:t>
        </w:r>
        <w:r>
          <w:rPr>
            <w:noProof/>
            <w:webHidden/>
          </w:rPr>
          <w:fldChar w:fldCharType="end"/>
        </w:r>
      </w:hyperlink>
    </w:p>
    <w:p w14:paraId="2C2852B8" w14:textId="605F6FF5"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0" w:history="1">
        <w:r w:rsidRPr="009B392A">
          <w:rPr>
            <w:rStyle w:val="Hyperlink"/>
            <w:noProof/>
          </w:rPr>
          <w:t>Designing Effective Internal/External Communal Space</w:t>
        </w:r>
        <w:r>
          <w:rPr>
            <w:noProof/>
            <w:webHidden/>
          </w:rPr>
          <w:tab/>
        </w:r>
        <w:r>
          <w:rPr>
            <w:noProof/>
            <w:webHidden/>
          </w:rPr>
          <w:fldChar w:fldCharType="begin"/>
        </w:r>
        <w:r>
          <w:rPr>
            <w:noProof/>
            <w:webHidden/>
          </w:rPr>
          <w:instrText xml:space="preserve"> PAGEREF _Toc229489660 \h </w:instrText>
        </w:r>
        <w:r>
          <w:rPr>
            <w:noProof/>
            <w:webHidden/>
          </w:rPr>
        </w:r>
        <w:r>
          <w:rPr>
            <w:noProof/>
            <w:webHidden/>
          </w:rPr>
          <w:fldChar w:fldCharType="separate"/>
        </w:r>
        <w:r w:rsidR="00993EAC">
          <w:rPr>
            <w:noProof/>
            <w:webHidden/>
          </w:rPr>
          <w:t>16</w:t>
        </w:r>
        <w:r>
          <w:rPr>
            <w:noProof/>
            <w:webHidden/>
          </w:rPr>
          <w:fldChar w:fldCharType="end"/>
        </w:r>
      </w:hyperlink>
    </w:p>
    <w:p w14:paraId="21FA1D0F" w14:textId="6E6BF70F"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1" w:history="1">
        <w:r w:rsidRPr="009B392A">
          <w:rPr>
            <w:rStyle w:val="Hyperlink"/>
            <w:noProof/>
          </w:rPr>
          <w:t>Accessibility Standards</w:t>
        </w:r>
        <w:r>
          <w:rPr>
            <w:noProof/>
            <w:webHidden/>
          </w:rPr>
          <w:tab/>
        </w:r>
        <w:r>
          <w:rPr>
            <w:noProof/>
            <w:webHidden/>
          </w:rPr>
          <w:fldChar w:fldCharType="begin"/>
        </w:r>
        <w:r>
          <w:rPr>
            <w:noProof/>
            <w:webHidden/>
          </w:rPr>
          <w:instrText xml:space="preserve"> PAGEREF _Toc229489661 \h </w:instrText>
        </w:r>
        <w:r>
          <w:rPr>
            <w:noProof/>
            <w:webHidden/>
          </w:rPr>
        </w:r>
        <w:r>
          <w:rPr>
            <w:noProof/>
            <w:webHidden/>
          </w:rPr>
          <w:fldChar w:fldCharType="separate"/>
        </w:r>
        <w:r w:rsidR="00993EAC">
          <w:rPr>
            <w:noProof/>
            <w:webHidden/>
          </w:rPr>
          <w:t>18</w:t>
        </w:r>
        <w:r>
          <w:rPr>
            <w:noProof/>
            <w:webHidden/>
          </w:rPr>
          <w:fldChar w:fldCharType="end"/>
        </w:r>
      </w:hyperlink>
    </w:p>
    <w:p w14:paraId="1339957B" w14:textId="022D38F3"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2" w:history="1">
        <w:r w:rsidRPr="009B392A">
          <w:rPr>
            <w:rStyle w:val="Hyperlink"/>
            <w:noProof/>
          </w:rPr>
          <w:t>Washing and Drying Amenities</w:t>
        </w:r>
        <w:r>
          <w:rPr>
            <w:noProof/>
            <w:webHidden/>
          </w:rPr>
          <w:tab/>
        </w:r>
        <w:r>
          <w:rPr>
            <w:noProof/>
            <w:webHidden/>
          </w:rPr>
          <w:fldChar w:fldCharType="begin"/>
        </w:r>
        <w:r>
          <w:rPr>
            <w:noProof/>
            <w:webHidden/>
          </w:rPr>
          <w:instrText xml:space="preserve"> PAGEREF _Toc229489662 \h </w:instrText>
        </w:r>
        <w:r>
          <w:rPr>
            <w:noProof/>
            <w:webHidden/>
          </w:rPr>
        </w:r>
        <w:r>
          <w:rPr>
            <w:noProof/>
            <w:webHidden/>
          </w:rPr>
          <w:fldChar w:fldCharType="separate"/>
        </w:r>
        <w:r w:rsidR="00993EAC">
          <w:rPr>
            <w:noProof/>
            <w:webHidden/>
          </w:rPr>
          <w:t>18</w:t>
        </w:r>
        <w:r>
          <w:rPr>
            <w:noProof/>
            <w:webHidden/>
          </w:rPr>
          <w:fldChar w:fldCharType="end"/>
        </w:r>
      </w:hyperlink>
    </w:p>
    <w:p w14:paraId="232838AC" w14:textId="2A5EA6A4"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3" w:history="1">
        <w:r w:rsidRPr="009B392A">
          <w:rPr>
            <w:rStyle w:val="Hyperlink"/>
            <w:noProof/>
          </w:rPr>
          <w:t>Occupancy Profile</w:t>
        </w:r>
        <w:r>
          <w:rPr>
            <w:noProof/>
            <w:webHidden/>
          </w:rPr>
          <w:tab/>
        </w:r>
        <w:r>
          <w:rPr>
            <w:noProof/>
            <w:webHidden/>
          </w:rPr>
          <w:fldChar w:fldCharType="begin"/>
        </w:r>
        <w:r>
          <w:rPr>
            <w:noProof/>
            <w:webHidden/>
          </w:rPr>
          <w:instrText xml:space="preserve"> PAGEREF _Toc229489663 \h </w:instrText>
        </w:r>
        <w:r>
          <w:rPr>
            <w:noProof/>
            <w:webHidden/>
          </w:rPr>
        </w:r>
        <w:r>
          <w:rPr>
            <w:noProof/>
            <w:webHidden/>
          </w:rPr>
          <w:fldChar w:fldCharType="separate"/>
        </w:r>
        <w:r w:rsidR="00993EAC">
          <w:rPr>
            <w:noProof/>
            <w:webHidden/>
          </w:rPr>
          <w:t>18</w:t>
        </w:r>
        <w:r>
          <w:rPr>
            <w:noProof/>
            <w:webHidden/>
          </w:rPr>
          <w:fldChar w:fldCharType="end"/>
        </w:r>
      </w:hyperlink>
    </w:p>
    <w:p w14:paraId="5912DFAC" w14:textId="685BE049"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4" w:history="1">
        <w:r w:rsidRPr="009B392A">
          <w:rPr>
            <w:rStyle w:val="Hyperlink"/>
            <w:noProof/>
          </w:rPr>
          <w:t>Shared Living for Older Persons</w:t>
        </w:r>
        <w:r>
          <w:rPr>
            <w:noProof/>
            <w:webHidden/>
          </w:rPr>
          <w:tab/>
        </w:r>
        <w:r>
          <w:rPr>
            <w:noProof/>
            <w:webHidden/>
          </w:rPr>
          <w:fldChar w:fldCharType="begin"/>
        </w:r>
        <w:r>
          <w:rPr>
            <w:noProof/>
            <w:webHidden/>
          </w:rPr>
          <w:instrText xml:space="preserve"> PAGEREF _Toc229489664 \h </w:instrText>
        </w:r>
        <w:r>
          <w:rPr>
            <w:noProof/>
            <w:webHidden/>
          </w:rPr>
        </w:r>
        <w:r>
          <w:rPr>
            <w:noProof/>
            <w:webHidden/>
          </w:rPr>
          <w:fldChar w:fldCharType="separate"/>
        </w:r>
        <w:r w:rsidR="00993EAC">
          <w:rPr>
            <w:noProof/>
            <w:webHidden/>
          </w:rPr>
          <w:t>19</w:t>
        </w:r>
        <w:r>
          <w:rPr>
            <w:noProof/>
            <w:webHidden/>
          </w:rPr>
          <w:fldChar w:fldCharType="end"/>
        </w:r>
      </w:hyperlink>
    </w:p>
    <w:p w14:paraId="441BA45F" w14:textId="6EF7D245"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5" w:history="1">
        <w:r w:rsidRPr="009B392A">
          <w:rPr>
            <w:rStyle w:val="Hyperlink"/>
            <w:noProof/>
          </w:rPr>
          <w:t>Change of use of existing buildings including Purpose Built Student Accommodation</w:t>
        </w:r>
        <w:r>
          <w:rPr>
            <w:noProof/>
            <w:webHidden/>
          </w:rPr>
          <w:tab/>
        </w:r>
        <w:r>
          <w:rPr>
            <w:noProof/>
            <w:webHidden/>
          </w:rPr>
          <w:fldChar w:fldCharType="begin"/>
        </w:r>
        <w:r>
          <w:rPr>
            <w:noProof/>
            <w:webHidden/>
          </w:rPr>
          <w:instrText xml:space="preserve"> PAGEREF _Toc229489665 \h </w:instrText>
        </w:r>
        <w:r>
          <w:rPr>
            <w:noProof/>
            <w:webHidden/>
          </w:rPr>
        </w:r>
        <w:r>
          <w:rPr>
            <w:noProof/>
            <w:webHidden/>
          </w:rPr>
          <w:fldChar w:fldCharType="separate"/>
        </w:r>
        <w:r w:rsidR="00993EAC">
          <w:rPr>
            <w:noProof/>
            <w:webHidden/>
          </w:rPr>
          <w:t>20</w:t>
        </w:r>
        <w:r>
          <w:rPr>
            <w:noProof/>
            <w:webHidden/>
          </w:rPr>
          <w:fldChar w:fldCharType="end"/>
        </w:r>
      </w:hyperlink>
    </w:p>
    <w:p w14:paraId="737DB703" w14:textId="37ECA39E"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6" w:history="1">
        <w:r w:rsidRPr="009B392A">
          <w:rPr>
            <w:rStyle w:val="Hyperlink"/>
            <w:noProof/>
          </w:rPr>
          <w:t>Part</w:t>
        </w:r>
        <w:r w:rsidRPr="009B392A">
          <w:rPr>
            <w:rStyle w:val="Hyperlink"/>
            <w:noProof/>
          </w:rPr>
          <w:noBreakHyphen/>
          <w:t>conversion of existing PBSA schemes</w:t>
        </w:r>
        <w:r>
          <w:rPr>
            <w:noProof/>
            <w:webHidden/>
          </w:rPr>
          <w:tab/>
        </w:r>
        <w:r>
          <w:rPr>
            <w:noProof/>
            <w:webHidden/>
          </w:rPr>
          <w:fldChar w:fldCharType="begin"/>
        </w:r>
        <w:r>
          <w:rPr>
            <w:noProof/>
            <w:webHidden/>
          </w:rPr>
          <w:instrText xml:space="preserve"> PAGEREF _Toc229489666 \h </w:instrText>
        </w:r>
        <w:r>
          <w:rPr>
            <w:noProof/>
            <w:webHidden/>
          </w:rPr>
        </w:r>
        <w:r>
          <w:rPr>
            <w:noProof/>
            <w:webHidden/>
          </w:rPr>
          <w:fldChar w:fldCharType="separate"/>
        </w:r>
        <w:r w:rsidR="00993EAC">
          <w:rPr>
            <w:noProof/>
            <w:webHidden/>
          </w:rPr>
          <w:t>20</w:t>
        </w:r>
        <w:r>
          <w:rPr>
            <w:noProof/>
            <w:webHidden/>
          </w:rPr>
          <w:fldChar w:fldCharType="end"/>
        </w:r>
      </w:hyperlink>
    </w:p>
    <w:p w14:paraId="38E2DA83" w14:textId="6182695F" w:rsidR="00B40C0F" w:rsidRDefault="00B40C0F">
      <w:pPr>
        <w:pStyle w:val="TOC2"/>
        <w:tabs>
          <w:tab w:val="right" w:leader="dot" w:pos="10000"/>
        </w:tabs>
        <w:rPr>
          <w:rFonts w:asciiTheme="minorHAnsi" w:eastAsiaTheme="minorEastAsia" w:hAnsiTheme="minorHAnsi" w:cstheme="minorBidi"/>
          <w:noProof/>
          <w:kern w:val="2"/>
          <w:sz w:val="24"/>
          <w:szCs w:val="24"/>
          <w:lang w:bidi="ar-SA"/>
          <w14:ligatures w14:val="standardContextual"/>
        </w:rPr>
      </w:pPr>
      <w:hyperlink w:anchor="_Toc229489667" w:history="1">
        <w:r w:rsidRPr="009B392A">
          <w:rPr>
            <w:rStyle w:val="Hyperlink"/>
            <w:noProof/>
          </w:rPr>
          <w:t>Waste and Recycling facilities</w:t>
        </w:r>
        <w:r>
          <w:rPr>
            <w:noProof/>
            <w:webHidden/>
          </w:rPr>
          <w:tab/>
        </w:r>
        <w:r>
          <w:rPr>
            <w:noProof/>
            <w:webHidden/>
          </w:rPr>
          <w:fldChar w:fldCharType="begin"/>
        </w:r>
        <w:r>
          <w:rPr>
            <w:noProof/>
            <w:webHidden/>
          </w:rPr>
          <w:instrText xml:space="preserve"> PAGEREF _Toc229489667 \h </w:instrText>
        </w:r>
        <w:r>
          <w:rPr>
            <w:noProof/>
            <w:webHidden/>
          </w:rPr>
        </w:r>
        <w:r>
          <w:rPr>
            <w:noProof/>
            <w:webHidden/>
          </w:rPr>
          <w:fldChar w:fldCharType="separate"/>
        </w:r>
        <w:r w:rsidR="00993EAC">
          <w:rPr>
            <w:noProof/>
            <w:webHidden/>
          </w:rPr>
          <w:t>21</w:t>
        </w:r>
        <w:r>
          <w:rPr>
            <w:noProof/>
            <w:webHidden/>
          </w:rPr>
          <w:fldChar w:fldCharType="end"/>
        </w:r>
      </w:hyperlink>
    </w:p>
    <w:p w14:paraId="71E5A722" w14:textId="182D2A39"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68" w:history="1">
        <w:r w:rsidRPr="009B392A">
          <w:rPr>
            <w:rStyle w:val="Hyperlink"/>
            <w:noProof/>
          </w:rPr>
          <w:t>8.</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Planning Obligations and Viability</w:t>
        </w:r>
        <w:r>
          <w:rPr>
            <w:noProof/>
            <w:webHidden/>
          </w:rPr>
          <w:tab/>
        </w:r>
        <w:r>
          <w:rPr>
            <w:noProof/>
            <w:webHidden/>
          </w:rPr>
          <w:fldChar w:fldCharType="begin"/>
        </w:r>
        <w:r>
          <w:rPr>
            <w:noProof/>
            <w:webHidden/>
          </w:rPr>
          <w:instrText xml:space="preserve"> PAGEREF _Toc229489668 \h </w:instrText>
        </w:r>
        <w:r>
          <w:rPr>
            <w:noProof/>
            <w:webHidden/>
          </w:rPr>
        </w:r>
        <w:r>
          <w:rPr>
            <w:noProof/>
            <w:webHidden/>
          </w:rPr>
          <w:fldChar w:fldCharType="separate"/>
        </w:r>
        <w:r w:rsidR="00993EAC">
          <w:rPr>
            <w:noProof/>
            <w:webHidden/>
          </w:rPr>
          <w:t>22</w:t>
        </w:r>
        <w:r>
          <w:rPr>
            <w:noProof/>
            <w:webHidden/>
          </w:rPr>
          <w:fldChar w:fldCharType="end"/>
        </w:r>
      </w:hyperlink>
    </w:p>
    <w:p w14:paraId="1249B180" w14:textId="49B3E794" w:rsidR="00B40C0F" w:rsidRDefault="00B40C0F">
      <w:pPr>
        <w:pStyle w:val="TOC1"/>
        <w:tabs>
          <w:tab w:val="left" w:pos="720"/>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69" w:history="1">
        <w:r w:rsidRPr="009B392A">
          <w:rPr>
            <w:rStyle w:val="Hyperlink"/>
            <w:noProof/>
          </w:rPr>
          <w:t>9.</w:t>
        </w:r>
        <w:r>
          <w:rPr>
            <w:rFonts w:asciiTheme="minorHAnsi" w:eastAsiaTheme="minorEastAsia" w:hAnsiTheme="minorHAnsi" w:cstheme="minorBidi"/>
            <w:b w:val="0"/>
            <w:noProof/>
            <w:kern w:val="2"/>
            <w:szCs w:val="24"/>
            <w:lang w:bidi="ar-SA"/>
            <w14:ligatures w14:val="standardContextual"/>
          </w:rPr>
          <w:tab/>
        </w:r>
        <w:r w:rsidRPr="009B392A">
          <w:rPr>
            <w:rStyle w:val="Hyperlink"/>
            <w:noProof/>
          </w:rPr>
          <w:t>Pre-application Advice</w:t>
        </w:r>
        <w:r>
          <w:rPr>
            <w:noProof/>
            <w:webHidden/>
          </w:rPr>
          <w:tab/>
        </w:r>
        <w:r>
          <w:rPr>
            <w:noProof/>
            <w:webHidden/>
          </w:rPr>
          <w:fldChar w:fldCharType="begin"/>
        </w:r>
        <w:r>
          <w:rPr>
            <w:noProof/>
            <w:webHidden/>
          </w:rPr>
          <w:instrText xml:space="preserve"> PAGEREF _Toc229489669 \h </w:instrText>
        </w:r>
        <w:r>
          <w:rPr>
            <w:noProof/>
            <w:webHidden/>
          </w:rPr>
        </w:r>
        <w:r>
          <w:rPr>
            <w:noProof/>
            <w:webHidden/>
          </w:rPr>
          <w:fldChar w:fldCharType="separate"/>
        </w:r>
        <w:r w:rsidR="00993EAC">
          <w:rPr>
            <w:noProof/>
            <w:webHidden/>
          </w:rPr>
          <w:t>24</w:t>
        </w:r>
        <w:r>
          <w:rPr>
            <w:noProof/>
            <w:webHidden/>
          </w:rPr>
          <w:fldChar w:fldCharType="end"/>
        </w:r>
      </w:hyperlink>
    </w:p>
    <w:p w14:paraId="302B2F94" w14:textId="3F905170" w:rsidR="00B40C0F" w:rsidRDefault="00B40C0F">
      <w:pPr>
        <w:pStyle w:val="TOC1"/>
        <w:tabs>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70" w:history="1">
        <w:r w:rsidRPr="009B392A">
          <w:rPr>
            <w:rStyle w:val="Hyperlink"/>
            <w:noProof/>
          </w:rPr>
          <w:t>Glossary</w:t>
        </w:r>
        <w:r>
          <w:rPr>
            <w:noProof/>
            <w:webHidden/>
          </w:rPr>
          <w:tab/>
        </w:r>
        <w:r>
          <w:rPr>
            <w:noProof/>
            <w:webHidden/>
          </w:rPr>
          <w:fldChar w:fldCharType="begin"/>
        </w:r>
        <w:r>
          <w:rPr>
            <w:noProof/>
            <w:webHidden/>
          </w:rPr>
          <w:instrText xml:space="preserve"> PAGEREF _Toc229489670 \h </w:instrText>
        </w:r>
        <w:r>
          <w:rPr>
            <w:noProof/>
            <w:webHidden/>
          </w:rPr>
        </w:r>
        <w:r>
          <w:rPr>
            <w:noProof/>
            <w:webHidden/>
          </w:rPr>
          <w:fldChar w:fldCharType="separate"/>
        </w:r>
        <w:r w:rsidR="00993EAC">
          <w:rPr>
            <w:noProof/>
            <w:webHidden/>
          </w:rPr>
          <w:t>25</w:t>
        </w:r>
        <w:r>
          <w:rPr>
            <w:noProof/>
            <w:webHidden/>
          </w:rPr>
          <w:fldChar w:fldCharType="end"/>
        </w:r>
      </w:hyperlink>
    </w:p>
    <w:p w14:paraId="03CCFD76" w14:textId="23F39CD1" w:rsidR="00B40C0F" w:rsidRDefault="00B40C0F">
      <w:pPr>
        <w:pStyle w:val="TOC1"/>
        <w:tabs>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71" w:history="1">
        <w:r w:rsidRPr="009B392A">
          <w:rPr>
            <w:rStyle w:val="Hyperlink"/>
            <w:noProof/>
          </w:rPr>
          <w:t xml:space="preserve">Appendix A: Evidence and Precedent </w:t>
        </w:r>
        <w:r>
          <w:rPr>
            <w:noProof/>
            <w:webHidden/>
          </w:rPr>
          <w:tab/>
        </w:r>
        <w:r>
          <w:rPr>
            <w:noProof/>
            <w:webHidden/>
          </w:rPr>
          <w:fldChar w:fldCharType="begin"/>
        </w:r>
        <w:r>
          <w:rPr>
            <w:noProof/>
            <w:webHidden/>
          </w:rPr>
          <w:instrText xml:space="preserve"> PAGEREF _Toc229489671 \h </w:instrText>
        </w:r>
        <w:r>
          <w:rPr>
            <w:noProof/>
            <w:webHidden/>
          </w:rPr>
        </w:r>
        <w:r>
          <w:rPr>
            <w:noProof/>
            <w:webHidden/>
          </w:rPr>
          <w:fldChar w:fldCharType="separate"/>
        </w:r>
        <w:r w:rsidR="00993EAC">
          <w:rPr>
            <w:noProof/>
            <w:webHidden/>
          </w:rPr>
          <w:t>27</w:t>
        </w:r>
        <w:r>
          <w:rPr>
            <w:noProof/>
            <w:webHidden/>
          </w:rPr>
          <w:fldChar w:fldCharType="end"/>
        </w:r>
      </w:hyperlink>
    </w:p>
    <w:p w14:paraId="6A245049" w14:textId="6274FA18" w:rsidR="00B40C0F" w:rsidRDefault="00B40C0F">
      <w:pPr>
        <w:pStyle w:val="TOC1"/>
        <w:tabs>
          <w:tab w:val="right" w:leader="dot" w:pos="10000"/>
        </w:tabs>
        <w:rPr>
          <w:rFonts w:asciiTheme="minorHAnsi" w:eastAsiaTheme="minorEastAsia" w:hAnsiTheme="minorHAnsi" w:cstheme="minorBidi"/>
          <w:b w:val="0"/>
          <w:noProof/>
          <w:kern w:val="2"/>
          <w:szCs w:val="24"/>
          <w:lang w:bidi="ar-SA"/>
          <w14:ligatures w14:val="standardContextual"/>
        </w:rPr>
      </w:pPr>
      <w:hyperlink w:anchor="_Toc229489672" w:history="1">
        <w:r w:rsidRPr="009B392A">
          <w:rPr>
            <w:rStyle w:val="Hyperlink"/>
            <w:noProof/>
          </w:rPr>
          <w:t>Appendix B: Illustrative Designs</w:t>
        </w:r>
        <w:r>
          <w:rPr>
            <w:noProof/>
            <w:webHidden/>
          </w:rPr>
          <w:tab/>
        </w:r>
        <w:r>
          <w:rPr>
            <w:noProof/>
            <w:webHidden/>
          </w:rPr>
          <w:fldChar w:fldCharType="begin"/>
        </w:r>
        <w:r>
          <w:rPr>
            <w:noProof/>
            <w:webHidden/>
          </w:rPr>
          <w:instrText xml:space="preserve"> PAGEREF _Toc229489672 \h </w:instrText>
        </w:r>
        <w:r>
          <w:rPr>
            <w:noProof/>
            <w:webHidden/>
          </w:rPr>
        </w:r>
        <w:r>
          <w:rPr>
            <w:noProof/>
            <w:webHidden/>
          </w:rPr>
          <w:fldChar w:fldCharType="separate"/>
        </w:r>
        <w:r w:rsidR="00993EAC">
          <w:rPr>
            <w:noProof/>
            <w:webHidden/>
          </w:rPr>
          <w:t>31</w:t>
        </w:r>
        <w:r>
          <w:rPr>
            <w:noProof/>
            <w:webHidden/>
          </w:rPr>
          <w:fldChar w:fldCharType="end"/>
        </w:r>
      </w:hyperlink>
    </w:p>
    <w:p w14:paraId="44EEE9E4" w14:textId="02376BE1" w:rsidR="00585C1A" w:rsidRDefault="009B3AEB" w:rsidP="00511F58">
      <w:pPr>
        <w:pStyle w:val="TOC1"/>
        <w:tabs>
          <w:tab w:val="right" w:leader="dot" w:pos="9990"/>
        </w:tabs>
        <w:sectPr w:rsidR="00585C1A" w:rsidSect="007520AF">
          <w:headerReference w:type="even" r:id="rId12"/>
          <w:headerReference w:type="default" r:id="rId13"/>
          <w:footerReference w:type="default" r:id="rId14"/>
          <w:type w:val="continuous"/>
          <w:pgSz w:w="11910" w:h="16840"/>
          <w:pgMar w:top="284" w:right="880" w:bottom="620" w:left="1020" w:header="1346" w:footer="424" w:gutter="0"/>
          <w:cols w:space="720"/>
        </w:sectPr>
      </w:pPr>
      <w:r>
        <w:fldChar w:fldCharType="end"/>
      </w:r>
    </w:p>
    <w:p w14:paraId="487B805D" w14:textId="24C80139" w:rsidR="00E4049F" w:rsidRPr="007E191E" w:rsidRDefault="7337CCE1" w:rsidP="00417C47">
      <w:pPr>
        <w:pStyle w:val="Heading1"/>
        <w:tabs>
          <w:tab w:val="clear" w:pos="833"/>
          <w:tab w:val="left" w:pos="709"/>
        </w:tabs>
        <w:ind w:left="567" w:hanging="567"/>
      </w:pPr>
      <w:bookmarkStart w:id="0" w:name="_Toc34736319"/>
      <w:bookmarkStart w:id="1" w:name="_Toc205205414"/>
      <w:bookmarkStart w:id="2" w:name="_Toc229489643"/>
      <w:r>
        <w:lastRenderedPageBreak/>
        <w:t>Purpose and S</w:t>
      </w:r>
      <w:r w:rsidR="734DA9D3">
        <w:t xml:space="preserve">tatus </w:t>
      </w:r>
      <w:r>
        <w:t>of the D</w:t>
      </w:r>
      <w:r w:rsidR="734DA9D3">
        <w:t>ocument</w:t>
      </w:r>
      <w:bookmarkEnd w:id="0"/>
      <w:bookmarkEnd w:id="1"/>
      <w:bookmarkEnd w:id="2"/>
    </w:p>
    <w:p w14:paraId="44F85191" w14:textId="77777777" w:rsidR="00E4049F" w:rsidRDefault="00E4049F" w:rsidP="005A0839">
      <w:pPr>
        <w:pStyle w:val="BodyText"/>
        <w:tabs>
          <w:tab w:val="left" w:pos="709"/>
        </w:tabs>
        <w:spacing w:before="9"/>
        <w:ind w:left="709" w:hanging="709"/>
        <w:rPr>
          <w:rFonts w:ascii="HelveticaNeueLTStd-Roman"/>
          <w:sz w:val="24"/>
        </w:rPr>
      </w:pPr>
    </w:p>
    <w:p w14:paraId="282F6AB2" w14:textId="0149D698" w:rsidR="00BC5D09" w:rsidRDefault="008809A3" w:rsidP="00BC5D09">
      <w:pPr>
        <w:pStyle w:val="BodyText"/>
        <w:numPr>
          <w:ilvl w:val="1"/>
          <w:numId w:val="1"/>
        </w:numPr>
        <w:spacing w:before="6"/>
        <w:ind w:left="567" w:hanging="567"/>
        <w:rPr>
          <w:sz w:val="24"/>
          <w:szCs w:val="24"/>
        </w:rPr>
      </w:pPr>
      <w:r w:rsidRPr="008809A3">
        <w:rPr>
          <w:sz w:val="24"/>
          <w:szCs w:val="24"/>
        </w:rPr>
        <w:t>Large-</w:t>
      </w:r>
      <w:r w:rsidR="00C87A2E">
        <w:rPr>
          <w:sz w:val="24"/>
          <w:szCs w:val="24"/>
        </w:rPr>
        <w:t>s</w:t>
      </w:r>
      <w:r w:rsidRPr="008809A3">
        <w:rPr>
          <w:sz w:val="24"/>
          <w:szCs w:val="24"/>
        </w:rPr>
        <w:t>cale shared living accommodation</w:t>
      </w:r>
      <w:r w:rsidRPr="04AA396C">
        <w:rPr>
          <w:sz w:val="24"/>
          <w:szCs w:val="24"/>
        </w:rPr>
        <w:t xml:space="preserve"> </w:t>
      </w:r>
      <w:r>
        <w:rPr>
          <w:sz w:val="24"/>
          <w:szCs w:val="24"/>
        </w:rPr>
        <w:t xml:space="preserve">(referred to as </w:t>
      </w:r>
      <w:r w:rsidR="00C87A2E">
        <w:rPr>
          <w:sz w:val="24"/>
          <w:szCs w:val="24"/>
        </w:rPr>
        <w:t>c</w:t>
      </w:r>
      <w:r w:rsidR="00BC5D09" w:rsidRPr="04AA396C">
        <w:rPr>
          <w:sz w:val="24"/>
          <w:szCs w:val="24"/>
        </w:rPr>
        <w:t xml:space="preserve">o-living </w:t>
      </w:r>
      <w:r w:rsidR="00306BEA">
        <w:rPr>
          <w:sz w:val="24"/>
          <w:szCs w:val="24"/>
        </w:rPr>
        <w:t xml:space="preserve">throughout </w:t>
      </w:r>
      <w:r>
        <w:rPr>
          <w:sz w:val="24"/>
          <w:szCs w:val="24"/>
        </w:rPr>
        <w:t xml:space="preserve">this document) </w:t>
      </w:r>
      <w:r w:rsidR="00BC5D09" w:rsidRPr="04AA396C">
        <w:rPr>
          <w:sz w:val="24"/>
          <w:szCs w:val="24"/>
        </w:rPr>
        <w:t>is an emerging housing model with no standard definition in</w:t>
      </w:r>
      <w:r w:rsidR="0039505B">
        <w:rPr>
          <w:sz w:val="24"/>
          <w:szCs w:val="24"/>
        </w:rPr>
        <w:t xml:space="preserve"> adapted</w:t>
      </w:r>
      <w:r w:rsidR="00BC5D09" w:rsidRPr="04AA396C">
        <w:rPr>
          <w:sz w:val="24"/>
          <w:szCs w:val="24"/>
        </w:rPr>
        <w:t xml:space="preserve"> national planning policy. Nottingham City Council does not currently have a dedicated policy for co-living schemes within its adopted Local Plan, creating a need for</w:t>
      </w:r>
      <w:r w:rsidR="00B447E8" w:rsidRPr="04AA396C">
        <w:rPr>
          <w:sz w:val="24"/>
          <w:szCs w:val="24"/>
        </w:rPr>
        <w:t xml:space="preserve"> this</w:t>
      </w:r>
      <w:r w:rsidR="00BC5D09" w:rsidRPr="04AA396C">
        <w:rPr>
          <w:sz w:val="24"/>
          <w:szCs w:val="24"/>
        </w:rPr>
        <w:t xml:space="preserve"> interim guidance to inform planning decisions.</w:t>
      </w:r>
    </w:p>
    <w:p w14:paraId="79410107" w14:textId="77777777" w:rsidR="00BC5D09" w:rsidRDefault="00BC5D09" w:rsidP="00BC5D09">
      <w:pPr>
        <w:pStyle w:val="BodyText"/>
        <w:spacing w:before="6"/>
        <w:ind w:left="567"/>
        <w:rPr>
          <w:sz w:val="24"/>
          <w:szCs w:val="24"/>
        </w:rPr>
      </w:pPr>
    </w:p>
    <w:p w14:paraId="191EFB29" w14:textId="77777777" w:rsidR="004A227B" w:rsidRDefault="004A227B" w:rsidP="00BC5D09">
      <w:pPr>
        <w:pStyle w:val="BodyText"/>
        <w:numPr>
          <w:ilvl w:val="1"/>
          <w:numId w:val="1"/>
        </w:numPr>
        <w:spacing w:before="6"/>
        <w:ind w:left="567" w:hanging="567"/>
        <w:rPr>
          <w:sz w:val="24"/>
          <w:szCs w:val="24"/>
        </w:rPr>
      </w:pPr>
      <w:r w:rsidRPr="004A227B">
        <w:rPr>
          <w:sz w:val="24"/>
          <w:szCs w:val="24"/>
        </w:rPr>
        <w:t>This guidance adopts a clear and consistent decision</w:t>
      </w:r>
      <w:r w:rsidRPr="004A227B">
        <w:rPr>
          <w:rFonts w:ascii="Cambria Math" w:hAnsi="Cambria Math" w:cs="Cambria Math"/>
          <w:sz w:val="24"/>
          <w:szCs w:val="24"/>
        </w:rPr>
        <w:t>‑</w:t>
      </w:r>
      <w:r w:rsidRPr="004A227B">
        <w:rPr>
          <w:sz w:val="24"/>
          <w:szCs w:val="24"/>
        </w:rPr>
        <w:t>making approach by setting out measurable expectations for the design, quality and appropriateness of co</w:t>
      </w:r>
      <w:r w:rsidRPr="004A227B">
        <w:rPr>
          <w:rFonts w:ascii="Cambria Math" w:hAnsi="Cambria Math" w:cs="Cambria Math"/>
          <w:sz w:val="24"/>
          <w:szCs w:val="24"/>
        </w:rPr>
        <w:t>‑</w:t>
      </w:r>
      <w:r w:rsidRPr="004A227B">
        <w:rPr>
          <w:sz w:val="24"/>
          <w:szCs w:val="24"/>
        </w:rPr>
        <w:t>living schemes. It provides a transparent framework for assessing proposals in accessible and sustainable locations, ensuring high</w:t>
      </w:r>
      <w:r w:rsidRPr="004A227B">
        <w:rPr>
          <w:rFonts w:ascii="Cambria Math" w:hAnsi="Cambria Math" w:cs="Cambria Math"/>
          <w:sz w:val="24"/>
          <w:szCs w:val="24"/>
        </w:rPr>
        <w:t>‑</w:t>
      </w:r>
      <w:r w:rsidRPr="004A227B">
        <w:rPr>
          <w:sz w:val="24"/>
          <w:szCs w:val="24"/>
        </w:rPr>
        <w:t xml:space="preserve">quality accommodation and efficient use of land. </w:t>
      </w:r>
    </w:p>
    <w:p w14:paraId="5496045F" w14:textId="77777777" w:rsidR="004A227B" w:rsidRDefault="004A227B" w:rsidP="004A227B">
      <w:pPr>
        <w:pStyle w:val="ListParagraph"/>
        <w:rPr>
          <w:sz w:val="24"/>
          <w:szCs w:val="24"/>
        </w:rPr>
      </w:pPr>
    </w:p>
    <w:p w14:paraId="0EED3FB8" w14:textId="3C15A692" w:rsidR="00BC5D09" w:rsidRDefault="00BC5D09" w:rsidP="00BC5D09">
      <w:pPr>
        <w:pStyle w:val="BodyText"/>
        <w:numPr>
          <w:ilvl w:val="1"/>
          <w:numId w:val="1"/>
        </w:numPr>
        <w:spacing w:before="6"/>
        <w:ind w:left="567" w:hanging="567"/>
        <w:rPr>
          <w:sz w:val="24"/>
          <w:szCs w:val="24"/>
        </w:rPr>
      </w:pPr>
      <w:r w:rsidRPr="2943A7C3">
        <w:rPr>
          <w:sz w:val="24"/>
          <w:szCs w:val="24"/>
        </w:rPr>
        <w:t xml:space="preserve">This document serves as a </w:t>
      </w:r>
      <w:r w:rsidR="001207B1">
        <w:rPr>
          <w:sz w:val="24"/>
          <w:szCs w:val="24"/>
        </w:rPr>
        <w:t>p</w:t>
      </w:r>
      <w:r w:rsidRPr="2943A7C3">
        <w:rPr>
          <w:sz w:val="24"/>
          <w:szCs w:val="24"/>
        </w:rPr>
        <w:t xml:space="preserve">osition </w:t>
      </w:r>
      <w:r w:rsidR="001207B1">
        <w:rPr>
          <w:sz w:val="24"/>
          <w:szCs w:val="24"/>
        </w:rPr>
        <w:t>s</w:t>
      </w:r>
      <w:r w:rsidRPr="2943A7C3">
        <w:rPr>
          <w:sz w:val="24"/>
          <w:szCs w:val="24"/>
        </w:rPr>
        <w:t xml:space="preserve">tatement, setting out how existing Local Plan policies will be interpreted when assessing co-living proposals. It outlines expectations around design, amenity, sustainability, occupancy, and developer contributions. While not carrying the statutory weight of </w:t>
      </w:r>
      <w:r w:rsidR="0008666F" w:rsidRPr="2943A7C3">
        <w:rPr>
          <w:sz w:val="24"/>
          <w:szCs w:val="24"/>
        </w:rPr>
        <w:t xml:space="preserve">policies within </w:t>
      </w:r>
      <w:r w:rsidRPr="2943A7C3">
        <w:rPr>
          <w:sz w:val="24"/>
          <w:szCs w:val="24"/>
        </w:rPr>
        <w:t>an adopted Local Plan or Supplementary Planning Document, it will be treated as a material consideration in planning decisions until a specific co-living policy is adopted</w:t>
      </w:r>
      <w:r w:rsidR="003D13FB" w:rsidRPr="2943A7C3">
        <w:rPr>
          <w:sz w:val="24"/>
          <w:szCs w:val="24"/>
        </w:rPr>
        <w:t xml:space="preserve"> in the revised </w:t>
      </w:r>
      <w:r w:rsidR="086611C0" w:rsidRPr="2943A7C3">
        <w:rPr>
          <w:sz w:val="24"/>
          <w:szCs w:val="24"/>
        </w:rPr>
        <w:t>L</w:t>
      </w:r>
      <w:r w:rsidR="003D13FB" w:rsidRPr="2943A7C3">
        <w:rPr>
          <w:sz w:val="24"/>
          <w:szCs w:val="24"/>
        </w:rPr>
        <w:t xml:space="preserve">ocal </w:t>
      </w:r>
      <w:r w:rsidR="5C8D6A9E" w:rsidRPr="2943A7C3">
        <w:rPr>
          <w:sz w:val="24"/>
          <w:szCs w:val="24"/>
        </w:rPr>
        <w:t>P</w:t>
      </w:r>
      <w:r w:rsidR="003D13FB" w:rsidRPr="2943A7C3">
        <w:rPr>
          <w:sz w:val="24"/>
          <w:szCs w:val="24"/>
        </w:rPr>
        <w:t>lan</w:t>
      </w:r>
      <w:r w:rsidRPr="2943A7C3">
        <w:rPr>
          <w:sz w:val="24"/>
          <w:szCs w:val="24"/>
        </w:rPr>
        <w:t>.</w:t>
      </w:r>
    </w:p>
    <w:p w14:paraId="3EB22041" w14:textId="77777777" w:rsidR="00BC5D09" w:rsidRDefault="00BC5D09" w:rsidP="00BC5D09">
      <w:pPr>
        <w:pStyle w:val="ListParagraph"/>
        <w:rPr>
          <w:sz w:val="24"/>
          <w:szCs w:val="24"/>
        </w:rPr>
      </w:pPr>
    </w:p>
    <w:p w14:paraId="7F1904DA" w14:textId="77777777" w:rsidR="00BC5D09" w:rsidRDefault="00BC5D09" w:rsidP="00BC5D09">
      <w:pPr>
        <w:pStyle w:val="BodyText"/>
        <w:numPr>
          <w:ilvl w:val="1"/>
          <w:numId w:val="1"/>
        </w:numPr>
        <w:spacing w:before="6"/>
        <w:ind w:left="567" w:hanging="567"/>
        <w:rPr>
          <w:sz w:val="24"/>
          <w:szCs w:val="24"/>
        </w:rPr>
      </w:pPr>
      <w:r w:rsidRPr="00BC5D09">
        <w:rPr>
          <w:sz w:val="24"/>
          <w:szCs w:val="24"/>
        </w:rPr>
        <w:t>In the absence of national or local policy on co-living, this guidance provides a consistent framework for interpreting relevant policies. Nottingham City Council recognises the varied approaches taken by other authorities and aims to ensure transparency and consistency in its own decision-making.</w:t>
      </w:r>
    </w:p>
    <w:p w14:paraId="7DDC2E01" w14:textId="77777777" w:rsidR="00BC5D09" w:rsidRDefault="00BC5D09" w:rsidP="00BC5D09">
      <w:pPr>
        <w:pStyle w:val="ListParagraph"/>
        <w:rPr>
          <w:sz w:val="24"/>
          <w:szCs w:val="24"/>
        </w:rPr>
      </w:pPr>
    </w:p>
    <w:p w14:paraId="70219766" w14:textId="77777777" w:rsidR="00BC5D09" w:rsidRDefault="00BC5D09" w:rsidP="00BC5D09">
      <w:pPr>
        <w:pStyle w:val="BodyText"/>
        <w:numPr>
          <w:ilvl w:val="1"/>
          <w:numId w:val="1"/>
        </w:numPr>
        <w:spacing w:before="6"/>
        <w:ind w:left="567" w:hanging="567"/>
        <w:rPr>
          <w:sz w:val="24"/>
          <w:szCs w:val="24"/>
        </w:rPr>
      </w:pPr>
      <w:r w:rsidRPr="00BC5D09">
        <w:rPr>
          <w:sz w:val="24"/>
          <w:szCs w:val="24"/>
        </w:rPr>
        <w:t>The guidance supplements policies in the Nottingham City Aligned Core Strategy (ACS, 2014) and the Land and Planning Policies Document (LAPP, 2020), particularly those relating to housing mix, design quality, sustainability, and infrastructure. It is intended to bridge the current policy gap until the Local Plan is formally updated.</w:t>
      </w:r>
    </w:p>
    <w:p w14:paraId="53BA29A7" w14:textId="77777777" w:rsidR="00BC5D09" w:rsidRDefault="00BC5D09" w:rsidP="00BC5D09">
      <w:pPr>
        <w:pStyle w:val="ListParagraph"/>
        <w:rPr>
          <w:sz w:val="24"/>
          <w:szCs w:val="24"/>
        </w:rPr>
      </w:pPr>
    </w:p>
    <w:p w14:paraId="23A3A0C9" w14:textId="08BA2AE9" w:rsidR="00BC5D09" w:rsidRDefault="00BC5D09" w:rsidP="00BC5D09">
      <w:pPr>
        <w:pStyle w:val="BodyText"/>
        <w:numPr>
          <w:ilvl w:val="1"/>
          <w:numId w:val="1"/>
        </w:numPr>
        <w:spacing w:before="6"/>
        <w:ind w:left="567" w:hanging="567"/>
        <w:rPr>
          <w:sz w:val="24"/>
          <w:szCs w:val="24"/>
        </w:rPr>
      </w:pPr>
      <w:r w:rsidRPr="00BC5D09">
        <w:rPr>
          <w:sz w:val="24"/>
          <w:szCs w:val="24"/>
        </w:rPr>
        <w:t xml:space="preserve">Co-living proposals will be assessed on a case-by-case basis. In general, well-designed schemes that meet the standards set out in this guidance and </w:t>
      </w:r>
      <w:proofErr w:type="gramStart"/>
      <w:r w:rsidRPr="00BC5D09">
        <w:rPr>
          <w:sz w:val="24"/>
          <w:szCs w:val="24"/>
        </w:rPr>
        <w:t>are located in</w:t>
      </w:r>
      <w:proofErr w:type="gramEnd"/>
      <w:r w:rsidRPr="00BC5D09">
        <w:rPr>
          <w:sz w:val="24"/>
          <w:szCs w:val="24"/>
        </w:rPr>
        <w:t xml:space="preserve"> </w:t>
      </w:r>
      <w:r w:rsidR="00DB6048">
        <w:rPr>
          <w:sz w:val="24"/>
          <w:szCs w:val="24"/>
        </w:rPr>
        <w:t xml:space="preserve">accessible locations </w:t>
      </w:r>
      <w:r w:rsidRPr="00BC5D09">
        <w:rPr>
          <w:sz w:val="24"/>
          <w:szCs w:val="24"/>
        </w:rPr>
        <w:t xml:space="preserve">with good access to services and employment via walking, cycling, and public transport </w:t>
      </w:r>
      <w:r w:rsidR="00D5141F" w:rsidRPr="00D5141F">
        <w:rPr>
          <w:sz w:val="24"/>
          <w:szCs w:val="24"/>
        </w:rPr>
        <w:t xml:space="preserve">will normally be supported, subject to compliance with the </w:t>
      </w:r>
      <w:r w:rsidR="00D5141F">
        <w:rPr>
          <w:sz w:val="24"/>
          <w:szCs w:val="24"/>
        </w:rPr>
        <w:t>national and local planning policy</w:t>
      </w:r>
      <w:r w:rsidR="00D5141F" w:rsidRPr="00D5141F">
        <w:rPr>
          <w:sz w:val="24"/>
          <w:szCs w:val="24"/>
        </w:rPr>
        <w:t xml:space="preserve"> and other material considerations.</w:t>
      </w:r>
    </w:p>
    <w:p w14:paraId="575C103E" w14:textId="77777777" w:rsidR="00BC5D09" w:rsidRDefault="00BC5D09" w:rsidP="00BC5D09">
      <w:pPr>
        <w:pStyle w:val="ListParagraph"/>
        <w:rPr>
          <w:sz w:val="24"/>
          <w:szCs w:val="24"/>
        </w:rPr>
      </w:pPr>
    </w:p>
    <w:p w14:paraId="71DE31BD" w14:textId="77777777" w:rsidR="00CE5A88" w:rsidRDefault="00BC5D09" w:rsidP="00CE5A88">
      <w:pPr>
        <w:pStyle w:val="BodyText"/>
        <w:numPr>
          <w:ilvl w:val="1"/>
          <w:numId w:val="1"/>
        </w:numPr>
        <w:spacing w:before="6"/>
        <w:ind w:left="567" w:hanging="567"/>
        <w:rPr>
          <w:sz w:val="24"/>
          <w:szCs w:val="24"/>
        </w:rPr>
      </w:pPr>
      <w:r w:rsidRPr="00BC5D09">
        <w:rPr>
          <w:sz w:val="24"/>
          <w:szCs w:val="24"/>
        </w:rPr>
        <w:t xml:space="preserve">Rather than prescribing specific design formats, the guidance establishes minimum standards to ensure quality, functionality, and resident wellbeing. It encourages flexibility and innovation in response to the unique characteristics of </w:t>
      </w:r>
      <w:r w:rsidR="001D4BE5">
        <w:rPr>
          <w:sz w:val="24"/>
          <w:szCs w:val="24"/>
        </w:rPr>
        <w:t xml:space="preserve">emerging </w:t>
      </w:r>
      <w:r w:rsidRPr="00BC5D09">
        <w:rPr>
          <w:sz w:val="24"/>
          <w:szCs w:val="24"/>
        </w:rPr>
        <w:t>co-living developments.</w:t>
      </w:r>
    </w:p>
    <w:p w14:paraId="74270DE0" w14:textId="77777777" w:rsidR="00CE5A88" w:rsidRDefault="00CE5A88" w:rsidP="00CE5A88">
      <w:pPr>
        <w:pStyle w:val="ListParagraph"/>
        <w:rPr>
          <w:sz w:val="24"/>
          <w:szCs w:val="24"/>
        </w:rPr>
      </w:pPr>
    </w:p>
    <w:p w14:paraId="0EE55AA1" w14:textId="2F7A553A" w:rsidR="00C3473C" w:rsidRPr="00CE5A88" w:rsidRDefault="00BC5D09" w:rsidP="00CE5A88">
      <w:pPr>
        <w:pStyle w:val="BodyText"/>
        <w:numPr>
          <w:ilvl w:val="1"/>
          <w:numId w:val="1"/>
        </w:numPr>
        <w:spacing w:before="6"/>
        <w:ind w:left="567" w:hanging="567"/>
        <w:rPr>
          <w:sz w:val="24"/>
          <w:szCs w:val="24"/>
        </w:rPr>
      </w:pPr>
      <w:r w:rsidRPr="00CE5A88">
        <w:rPr>
          <w:sz w:val="24"/>
          <w:szCs w:val="24"/>
        </w:rPr>
        <w:t xml:space="preserve">This guidance does not introduce new policy requirements but clarifies how existing </w:t>
      </w:r>
      <w:r w:rsidR="004C5ACC">
        <w:rPr>
          <w:sz w:val="24"/>
          <w:szCs w:val="24"/>
        </w:rPr>
        <w:t xml:space="preserve">local plan </w:t>
      </w:r>
      <w:r w:rsidRPr="00CE5A88">
        <w:rPr>
          <w:sz w:val="24"/>
          <w:szCs w:val="24"/>
        </w:rPr>
        <w:t>policies will be applied to co-living schemes to support consistent and transparent decision-making.</w:t>
      </w:r>
    </w:p>
    <w:p w14:paraId="79B64523" w14:textId="77777777" w:rsidR="00BC5D09" w:rsidRDefault="00BC5D09" w:rsidP="00A4027A">
      <w:pPr>
        <w:pStyle w:val="BodyText"/>
        <w:spacing w:before="6"/>
        <w:rPr>
          <w:b/>
          <w:bCs/>
          <w:sz w:val="24"/>
          <w:szCs w:val="24"/>
        </w:rPr>
      </w:pPr>
    </w:p>
    <w:p w14:paraId="2E0FA5EC" w14:textId="62F8B14A" w:rsidR="00A4027A" w:rsidRPr="00A4027A" w:rsidRDefault="00A4027A" w:rsidP="00A4027A">
      <w:pPr>
        <w:pStyle w:val="BodyText"/>
        <w:spacing w:before="6"/>
        <w:rPr>
          <w:b/>
          <w:bCs/>
          <w:sz w:val="24"/>
          <w:szCs w:val="24"/>
        </w:rPr>
      </w:pPr>
      <w:r w:rsidRPr="00A4027A">
        <w:rPr>
          <w:b/>
          <w:bCs/>
          <w:sz w:val="24"/>
          <w:szCs w:val="24"/>
        </w:rPr>
        <w:t>Conversion of Existing Buildings Including PBSA</w:t>
      </w:r>
    </w:p>
    <w:p w14:paraId="52EB5553" w14:textId="77777777" w:rsidR="00A4027A" w:rsidRPr="00A4027A" w:rsidRDefault="00A4027A" w:rsidP="00A4027A">
      <w:pPr>
        <w:pStyle w:val="BodyText"/>
        <w:spacing w:before="6"/>
        <w:rPr>
          <w:sz w:val="24"/>
          <w:szCs w:val="24"/>
        </w:rPr>
      </w:pPr>
    </w:p>
    <w:p w14:paraId="47571124" w14:textId="77777777" w:rsidR="00767722" w:rsidRDefault="00A4027A" w:rsidP="00A4027A">
      <w:pPr>
        <w:pStyle w:val="BodyText"/>
        <w:numPr>
          <w:ilvl w:val="1"/>
          <w:numId w:val="1"/>
        </w:numPr>
        <w:spacing w:before="6"/>
        <w:ind w:left="567" w:hanging="567"/>
        <w:rPr>
          <w:sz w:val="24"/>
          <w:szCs w:val="24"/>
        </w:rPr>
      </w:pPr>
      <w:r w:rsidRPr="00A4027A">
        <w:rPr>
          <w:sz w:val="24"/>
          <w:szCs w:val="24"/>
        </w:rPr>
        <w:t xml:space="preserve">In addition to guiding new co-living developments, this document also provides a framework for assessing proposals involving the conversion of existing buildings, particularly </w:t>
      </w:r>
      <w:proofErr w:type="gramStart"/>
      <w:r w:rsidRPr="00A4027A">
        <w:rPr>
          <w:sz w:val="24"/>
          <w:szCs w:val="24"/>
        </w:rPr>
        <w:t>Purpose Built</w:t>
      </w:r>
      <w:proofErr w:type="gramEnd"/>
      <w:r w:rsidRPr="00A4027A">
        <w:rPr>
          <w:sz w:val="24"/>
          <w:szCs w:val="24"/>
        </w:rPr>
        <w:t xml:space="preserve"> Student Accommodation (PBSA). </w:t>
      </w:r>
    </w:p>
    <w:p w14:paraId="203B848E" w14:textId="77777777" w:rsidR="00767722" w:rsidRDefault="00767722" w:rsidP="00767722">
      <w:pPr>
        <w:pStyle w:val="BodyText"/>
        <w:spacing w:before="6"/>
        <w:ind w:left="567"/>
        <w:rPr>
          <w:sz w:val="24"/>
          <w:szCs w:val="24"/>
        </w:rPr>
      </w:pPr>
    </w:p>
    <w:p w14:paraId="3D6629FA" w14:textId="77777777" w:rsidR="0047749F" w:rsidRDefault="0047749F" w:rsidP="00767722">
      <w:pPr>
        <w:pStyle w:val="BodyText"/>
        <w:spacing w:before="6"/>
        <w:ind w:left="567"/>
        <w:rPr>
          <w:sz w:val="24"/>
          <w:szCs w:val="24"/>
        </w:rPr>
      </w:pPr>
    </w:p>
    <w:p w14:paraId="16C8A276" w14:textId="1D3A4F2F" w:rsidR="00A4027A" w:rsidRPr="009B240A" w:rsidRDefault="00A4027A" w:rsidP="009B240A">
      <w:pPr>
        <w:pStyle w:val="BodyText"/>
        <w:numPr>
          <w:ilvl w:val="1"/>
          <w:numId w:val="1"/>
        </w:numPr>
        <w:spacing w:before="6" w:line="259" w:lineRule="auto"/>
        <w:ind w:left="567" w:hanging="567"/>
        <w:rPr>
          <w:sz w:val="24"/>
          <w:szCs w:val="24"/>
        </w:rPr>
      </w:pPr>
      <w:r w:rsidRPr="00A4027A">
        <w:rPr>
          <w:sz w:val="24"/>
          <w:szCs w:val="24"/>
        </w:rPr>
        <w:lastRenderedPageBreak/>
        <w:t xml:space="preserve">PBSA schemes, typically designed for short-term student occupancy, differ significantly from co-living in terms of layout, amenity provision, and management. As such, conversions to co-living use will generally require substantial adaptation to meet the expectations of longer-term residents such as working professionals. </w:t>
      </w:r>
      <w:r w:rsidR="53263091" w:rsidRPr="1AE859CD">
        <w:rPr>
          <w:sz w:val="24"/>
          <w:szCs w:val="24"/>
        </w:rPr>
        <w:t>Whilst internal works may not require planning permission</w:t>
      </w:r>
      <w:r w:rsidR="00A364ED">
        <w:rPr>
          <w:sz w:val="24"/>
          <w:szCs w:val="24"/>
        </w:rPr>
        <w:t>,</w:t>
      </w:r>
      <w:r w:rsidR="53263091" w:rsidRPr="1AE859CD">
        <w:rPr>
          <w:sz w:val="24"/>
          <w:szCs w:val="24"/>
        </w:rPr>
        <w:t xml:space="preserve"> </w:t>
      </w:r>
      <w:r w:rsidR="00233C9B">
        <w:rPr>
          <w:sz w:val="24"/>
          <w:szCs w:val="24"/>
        </w:rPr>
        <w:t>the change of use of PBSA is</w:t>
      </w:r>
      <w:r w:rsidRPr="1AE859CD">
        <w:rPr>
          <w:sz w:val="24"/>
          <w:szCs w:val="24"/>
        </w:rPr>
        <w:t xml:space="preserve"> </w:t>
      </w:r>
      <w:r w:rsidR="19D28FDB" w:rsidRPr="1AE859CD">
        <w:rPr>
          <w:sz w:val="24"/>
          <w:szCs w:val="24"/>
        </w:rPr>
        <w:t>likely to</w:t>
      </w:r>
      <w:r w:rsidRPr="00A4027A">
        <w:rPr>
          <w:sz w:val="24"/>
          <w:szCs w:val="24"/>
        </w:rPr>
        <w:t xml:space="preserve"> represent a material change and </w:t>
      </w:r>
      <w:r w:rsidR="00A83E31">
        <w:rPr>
          <w:sz w:val="24"/>
          <w:szCs w:val="24"/>
        </w:rPr>
        <w:t>in most cases</w:t>
      </w:r>
      <w:r w:rsidRPr="00A4027A">
        <w:rPr>
          <w:sz w:val="24"/>
          <w:szCs w:val="24"/>
        </w:rPr>
        <w:t xml:space="preserve"> </w:t>
      </w:r>
      <w:r w:rsidR="00A83E31">
        <w:rPr>
          <w:sz w:val="24"/>
          <w:szCs w:val="24"/>
        </w:rPr>
        <w:t xml:space="preserve">will </w:t>
      </w:r>
      <w:r w:rsidRPr="009B240A">
        <w:rPr>
          <w:sz w:val="24"/>
          <w:szCs w:val="24"/>
        </w:rPr>
        <w:t xml:space="preserve">require planning permission. The guidance outlines the design, policy, and infrastructure considerations necessary to ensure such conversions are feasible, sustainable, and </w:t>
      </w:r>
      <w:r w:rsidR="0008666F" w:rsidRPr="009B240A">
        <w:rPr>
          <w:sz w:val="24"/>
          <w:szCs w:val="24"/>
        </w:rPr>
        <w:t>policy compliant</w:t>
      </w:r>
      <w:r w:rsidRPr="009B240A">
        <w:rPr>
          <w:sz w:val="24"/>
          <w:szCs w:val="24"/>
        </w:rPr>
        <w:t>. Additional developer obligations (e.g. Section 106 contributions) may also apply and will be assessed on a case-by-case basis.</w:t>
      </w:r>
    </w:p>
    <w:p w14:paraId="3504E138" w14:textId="2D20E00A" w:rsidR="00DB19CF" w:rsidRPr="00585C1A" w:rsidRDefault="00DB19CF" w:rsidP="00585C1A">
      <w:pPr>
        <w:pStyle w:val="BodyText"/>
        <w:spacing w:before="6" w:line="259" w:lineRule="auto"/>
        <w:ind w:left="567"/>
        <w:rPr>
          <w:sz w:val="24"/>
          <w:szCs w:val="24"/>
        </w:rPr>
      </w:pPr>
    </w:p>
    <w:p w14:paraId="4286F60A" w14:textId="77777777" w:rsidR="00C17224" w:rsidRPr="00585C1A" w:rsidRDefault="00C17224" w:rsidP="00585C1A">
      <w:pPr>
        <w:pStyle w:val="BodyText"/>
        <w:numPr>
          <w:ilvl w:val="1"/>
          <w:numId w:val="1"/>
        </w:numPr>
        <w:spacing w:before="6" w:line="259" w:lineRule="auto"/>
        <w:ind w:left="567" w:hanging="567"/>
        <w:rPr>
          <w:sz w:val="24"/>
          <w:szCs w:val="24"/>
        </w:rPr>
      </w:pPr>
      <w:r w:rsidRPr="00585C1A">
        <w:rPr>
          <w:sz w:val="24"/>
          <w:szCs w:val="24"/>
        </w:rPr>
        <w:t>This interim planning guidance document will be kept under review and updated as appropriate. Any new government legislation/guidance or other evidence will supplement the information contained within this document.</w:t>
      </w:r>
    </w:p>
    <w:p w14:paraId="1740F771" w14:textId="5D7B54F8" w:rsidR="00CB7A68" w:rsidRDefault="00CB7A68" w:rsidP="00D24CA2">
      <w:pPr>
        <w:tabs>
          <w:tab w:val="left" w:pos="709"/>
        </w:tabs>
        <w:rPr>
          <w:sz w:val="20"/>
        </w:rPr>
      </w:pPr>
    </w:p>
    <w:p w14:paraId="1B55FCFF" w14:textId="5F778695" w:rsidR="00CB7A68" w:rsidRDefault="005E133A">
      <w:pPr>
        <w:rPr>
          <w:sz w:val="20"/>
        </w:rPr>
      </w:pPr>
      <w:r w:rsidRPr="002D4DA9">
        <w:rPr>
          <w:bCs/>
          <w:i/>
          <w:iCs/>
          <w:noProof/>
          <w:sz w:val="20"/>
          <w:szCs w:val="16"/>
        </w:rPr>
        <mc:AlternateContent>
          <mc:Choice Requires="wps">
            <w:drawing>
              <wp:anchor distT="45720" distB="45720" distL="114300" distR="114300" simplePos="0" relativeHeight="251666439" behindDoc="0" locked="0" layoutInCell="1" allowOverlap="1" wp14:anchorId="3F082B2B" wp14:editId="53559A57">
                <wp:simplePos x="0" y="0"/>
                <wp:positionH relativeFrom="column">
                  <wp:posOffset>4154805</wp:posOffset>
                </wp:positionH>
                <wp:positionV relativeFrom="paragraph">
                  <wp:posOffset>6097905</wp:posOffset>
                </wp:positionV>
                <wp:extent cx="2202314" cy="1404620"/>
                <wp:effectExtent l="0" t="0" r="0" b="5715"/>
                <wp:wrapNone/>
                <wp:docPr id="20111550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314" cy="1404620"/>
                        </a:xfrm>
                        <a:prstGeom prst="rect">
                          <a:avLst/>
                        </a:prstGeom>
                        <a:noFill/>
                        <a:ln w="9525">
                          <a:noFill/>
                          <a:miter lim="800000"/>
                          <a:headEnd/>
                          <a:tailEnd/>
                        </a:ln>
                      </wps:spPr>
                      <wps:txbx>
                        <w:txbxContent>
                          <w:p w14:paraId="2A2B5D5A" w14:textId="77777777" w:rsidR="002D4DA9" w:rsidRPr="002D4DA9" w:rsidRDefault="002D4DA9" w:rsidP="005E133A">
                            <w:pPr>
                              <w:jc w:val="right"/>
                              <w:rPr>
                                <w:b/>
                                <w:bCs/>
                                <w:color w:val="FFFFFF" w:themeColor="background1"/>
                              </w:rPr>
                            </w:pPr>
                            <w:r w:rsidRPr="002D4DA9">
                              <w:rPr>
                                <w:b/>
                                <w:bCs/>
                                <w:color w:val="FFFFFF" w:themeColor="background1"/>
                              </w:rPr>
                              <w:t>For illustrative purposes only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082B2B" id="_x0000_s1027" type="#_x0000_t202" style="position:absolute;margin-left:327.15pt;margin-top:480.15pt;width:173.4pt;height:110.6pt;z-index:25166643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" filled="f" stroked="f">
                <v:textbox style="mso-fit-shape-to-text:t">
                  <w:txbxContent>
                    <w:p w14:paraId="2A2B5D5A" w14:textId="77777777" w:rsidR="002D4DA9" w:rsidRPr="002D4DA9" w:rsidRDefault="002D4DA9" w:rsidP="005E133A">
                      <w:pPr>
                        <w:jc w:val="right"/>
                        <w:rPr>
                          <w:b/>
                          <w:bCs/>
                          <w:color w:val="FFFFFF" w:themeColor="background1"/>
                        </w:rPr>
                      </w:pPr>
                      <w:r w:rsidRPr="002D4DA9">
                        <w:rPr>
                          <w:b/>
                          <w:bCs/>
                          <w:color w:val="FFFFFF" w:themeColor="background1"/>
                        </w:rPr>
                        <w:t>For illustrative purposes only</w:t>
                      </w:r>
                    </w:p>
                  </w:txbxContent>
                </v:textbox>
              </v:shape>
            </w:pict>
          </mc:Fallback>
        </mc:AlternateContent>
      </w:r>
      <w:r>
        <w:rPr>
          <w:noProof/>
        </w:rPr>
        <w:drawing>
          <wp:inline distT="0" distB="0" distL="0" distR="0" wp14:anchorId="7C1151C6" wp14:editId="7CD9B56B">
            <wp:extent cx="6356350" cy="6356350"/>
            <wp:effectExtent l="0" t="0" r="6350" b="6350"/>
            <wp:docPr id="31693377" name="Picture 1" descr="Photograph of a modern multi-story residential and commercial building with large windows, balconies, and rooftop greenery, situated at a busy urban street intersection. A green tram labeled &quot;Phoenix Park&quot; travels on tracks in front, while pedestrians and cyclists navigate the area, highlighting a vibrant, transit-oriented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3377" name="Picture 1" descr="Photograph of a modern multi-story residential and commercial building with large windows, balconies, and rooftop greenery, situated at a busy urban street intersection. A green tram labeled &quot;Phoenix Park&quot; travels on tracks in front, while pedestrians and cyclists navigate the area, highlighting a vibrant, transit-oriented communit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56350" cy="6356350"/>
                    </a:xfrm>
                    <a:prstGeom prst="rect">
                      <a:avLst/>
                    </a:prstGeom>
                    <a:noFill/>
                    <a:ln>
                      <a:noFill/>
                    </a:ln>
                  </pic:spPr>
                </pic:pic>
              </a:graphicData>
            </a:graphic>
          </wp:inline>
        </w:drawing>
      </w:r>
      <w:r w:rsidR="00CB7A68">
        <w:rPr>
          <w:sz w:val="20"/>
        </w:rPr>
        <w:br w:type="page"/>
      </w:r>
    </w:p>
    <w:p w14:paraId="174266D7" w14:textId="663B8307" w:rsidR="00422FEA" w:rsidRDefault="5001D9F1" w:rsidP="00422FEA">
      <w:pPr>
        <w:pStyle w:val="Heading1"/>
        <w:tabs>
          <w:tab w:val="clear" w:pos="833"/>
          <w:tab w:val="left" w:pos="709"/>
        </w:tabs>
        <w:ind w:left="709" w:hanging="709"/>
      </w:pPr>
      <w:bookmarkStart w:id="3" w:name="_Toc205205415"/>
      <w:bookmarkStart w:id="4" w:name="_Toc229489644"/>
      <w:r>
        <w:lastRenderedPageBreak/>
        <w:t>Consultation</w:t>
      </w:r>
      <w:bookmarkEnd w:id="3"/>
      <w:bookmarkEnd w:id="4"/>
    </w:p>
    <w:p w14:paraId="5EC1363A" w14:textId="50D8D767" w:rsidR="00422FEA" w:rsidRDefault="00422FEA" w:rsidP="00422FEA">
      <w:pPr>
        <w:pStyle w:val="ListParagraph"/>
        <w:widowControl/>
        <w:tabs>
          <w:tab w:val="left" w:pos="0"/>
        </w:tabs>
        <w:autoSpaceDE/>
        <w:autoSpaceDN/>
        <w:spacing w:after="200" w:line="276" w:lineRule="auto"/>
        <w:ind w:left="720" w:firstLine="0"/>
        <w:contextualSpacing/>
        <w:jc w:val="left"/>
      </w:pPr>
    </w:p>
    <w:p w14:paraId="78B6F6D4" w14:textId="1A5AC8FF" w:rsidR="004B0CCB" w:rsidRDefault="008326DA" w:rsidP="004B0CCB">
      <w:pPr>
        <w:pStyle w:val="ListParagraph"/>
        <w:widowControl/>
        <w:numPr>
          <w:ilvl w:val="1"/>
          <w:numId w:val="1"/>
        </w:numPr>
        <w:autoSpaceDE/>
        <w:autoSpaceDN/>
        <w:spacing w:after="200" w:line="276" w:lineRule="auto"/>
        <w:ind w:left="709" w:hanging="709"/>
        <w:contextualSpacing/>
        <w:jc w:val="left"/>
        <w:rPr>
          <w:sz w:val="24"/>
          <w:szCs w:val="24"/>
        </w:rPr>
      </w:pPr>
      <w:r w:rsidRPr="008326DA">
        <w:rPr>
          <w:sz w:val="24"/>
          <w:szCs w:val="24"/>
        </w:rPr>
        <w:t>This Informal Planning Guidance (IPG) has been subject to public consultation, in line with the Council’s approach to the preparation of non</w:t>
      </w:r>
      <w:r w:rsidRPr="008326DA">
        <w:rPr>
          <w:rFonts w:ascii="Cambria Math" w:hAnsi="Cambria Math" w:cs="Cambria Math"/>
          <w:sz w:val="24"/>
          <w:szCs w:val="24"/>
        </w:rPr>
        <w:t>‑</w:t>
      </w:r>
      <w:r w:rsidRPr="008326DA">
        <w:rPr>
          <w:sz w:val="24"/>
          <w:szCs w:val="24"/>
        </w:rPr>
        <w:t xml:space="preserve">statutory planning guidance. </w:t>
      </w:r>
      <w:r w:rsidR="0002776A">
        <w:rPr>
          <w:sz w:val="24"/>
          <w:szCs w:val="24"/>
        </w:rPr>
        <w:t xml:space="preserve">The consultation ran </w:t>
      </w:r>
      <w:r w:rsidR="0002776A" w:rsidRPr="0002776A">
        <w:rPr>
          <w:sz w:val="24"/>
          <w:szCs w:val="24"/>
        </w:rPr>
        <w:t>from 12 March and Friday 17 April</w:t>
      </w:r>
      <w:r w:rsidR="0002776A">
        <w:rPr>
          <w:sz w:val="24"/>
          <w:szCs w:val="24"/>
        </w:rPr>
        <w:t xml:space="preserve"> 2026</w:t>
      </w:r>
      <w:r w:rsidR="0002776A" w:rsidRPr="0002776A">
        <w:rPr>
          <w:sz w:val="24"/>
          <w:szCs w:val="24"/>
        </w:rPr>
        <w:t xml:space="preserve">, with an extension on the original 4-week period being made on the original closing date (9 April). </w:t>
      </w:r>
      <w:r w:rsidR="0002776A" w:rsidRPr="003D79C1">
        <w:rPr>
          <w:rStyle w:val="NormalRChar"/>
        </w:rPr>
        <w:t>The Council sought to engage with a broad range of stakeholders, including residents, statutory bodies, professional interests, institutional stakeholders</w:t>
      </w:r>
      <w:r w:rsidR="0002776A">
        <w:rPr>
          <w:rStyle w:val="NormalRChar"/>
        </w:rPr>
        <w:t>, known national co-living providers</w:t>
      </w:r>
      <w:r w:rsidR="0002776A" w:rsidRPr="003D79C1">
        <w:rPr>
          <w:rStyle w:val="NormalRChar"/>
        </w:rPr>
        <w:t xml:space="preserve"> and elected members, to ensure that the guidance was informed by a wide spectrum of perspectives.</w:t>
      </w:r>
    </w:p>
    <w:p w14:paraId="023B4B5B" w14:textId="77777777" w:rsidR="004B0CCB" w:rsidRDefault="004B0CCB" w:rsidP="004B0CCB">
      <w:pPr>
        <w:pStyle w:val="ListParagraph"/>
        <w:widowControl/>
        <w:autoSpaceDE/>
        <w:autoSpaceDN/>
        <w:spacing w:after="200" w:line="276" w:lineRule="auto"/>
        <w:ind w:left="709" w:firstLine="0"/>
        <w:contextualSpacing/>
        <w:jc w:val="left"/>
        <w:rPr>
          <w:sz w:val="24"/>
          <w:szCs w:val="24"/>
        </w:rPr>
      </w:pPr>
    </w:p>
    <w:p w14:paraId="35193BC4" w14:textId="77AAF8F8" w:rsidR="00422FEA" w:rsidRPr="004B0CCB" w:rsidRDefault="00EB6E5C" w:rsidP="00F25A3C">
      <w:pPr>
        <w:pStyle w:val="ListParagraph"/>
        <w:widowControl/>
        <w:numPr>
          <w:ilvl w:val="1"/>
          <w:numId w:val="1"/>
        </w:numPr>
        <w:autoSpaceDE/>
        <w:autoSpaceDN/>
        <w:spacing w:after="200" w:line="276" w:lineRule="auto"/>
        <w:ind w:left="709" w:hanging="709"/>
        <w:contextualSpacing/>
        <w:jc w:val="left"/>
        <w:rPr>
          <w:sz w:val="24"/>
          <w:szCs w:val="24"/>
        </w:rPr>
      </w:pPr>
      <w:r w:rsidRPr="00EB6E5C">
        <w:rPr>
          <w:sz w:val="24"/>
          <w:szCs w:val="24"/>
        </w:rPr>
        <w:t xml:space="preserve">The comments received through the consultation process have been carefully considered and have informed </w:t>
      </w:r>
      <w:proofErr w:type="gramStart"/>
      <w:r w:rsidRPr="00EB6E5C">
        <w:rPr>
          <w:sz w:val="24"/>
          <w:szCs w:val="24"/>
        </w:rPr>
        <w:t>a number of</w:t>
      </w:r>
      <w:proofErr w:type="gramEnd"/>
      <w:r w:rsidRPr="00EB6E5C">
        <w:rPr>
          <w:sz w:val="24"/>
          <w:szCs w:val="24"/>
        </w:rPr>
        <w:t xml:space="preserve"> refinements and amendments to the IPG, as set out in the accompanying </w:t>
      </w:r>
      <w:r w:rsidR="00943DF0">
        <w:rPr>
          <w:sz w:val="24"/>
          <w:szCs w:val="24"/>
        </w:rPr>
        <w:t>Report of Consultation</w:t>
      </w:r>
      <w:r w:rsidR="00B177F7">
        <w:rPr>
          <w:sz w:val="24"/>
          <w:szCs w:val="24"/>
        </w:rPr>
        <w:t xml:space="preserve"> (</w:t>
      </w:r>
      <w:proofErr w:type="spellStart"/>
      <w:r w:rsidR="00B177F7">
        <w:rPr>
          <w:sz w:val="24"/>
          <w:szCs w:val="24"/>
        </w:rPr>
        <w:t>RofC</w:t>
      </w:r>
      <w:proofErr w:type="spellEnd"/>
      <w:r w:rsidR="00B177F7">
        <w:rPr>
          <w:sz w:val="24"/>
          <w:szCs w:val="24"/>
        </w:rPr>
        <w:t>)</w:t>
      </w:r>
      <w:r w:rsidRPr="00EB6E5C">
        <w:rPr>
          <w:sz w:val="24"/>
          <w:szCs w:val="24"/>
        </w:rPr>
        <w:t>.</w:t>
      </w:r>
      <w:r w:rsidR="00F25A3C">
        <w:rPr>
          <w:sz w:val="24"/>
          <w:szCs w:val="24"/>
        </w:rPr>
        <w:t xml:space="preserve"> This</w:t>
      </w:r>
      <w:r w:rsidR="0047749F">
        <w:rPr>
          <w:sz w:val="24"/>
          <w:szCs w:val="24"/>
        </w:rPr>
        <w:t xml:space="preserve"> </w:t>
      </w:r>
      <w:r w:rsidRPr="00EB6E5C">
        <w:rPr>
          <w:sz w:val="24"/>
          <w:szCs w:val="24"/>
        </w:rPr>
        <w:t>summaris</w:t>
      </w:r>
      <w:r w:rsidR="0047749F">
        <w:rPr>
          <w:sz w:val="24"/>
          <w:szCs w:val="24"/>
        </w:rPr>
        <w:t>es</w:t>
      </w:r>
      <w:r w:rsidRPr="00EB6E5C">
        <w:rPr>
          <w:sz w:val="24"/>
          <w:szCs w:val="24"/>
        </w:rPr>
        <w:t xml:space="preserve"> the representations received and the Council’s responses, </w:t>
      </w:r>
      <w:r w:rsidR="00111204">
        <w:rPr>
          <w:sz w:val="24"/>
          <w:szCs w:val="24"/>
        </w:rPr>
        <w:t xml:space="preserve">it </w:t>
      </w:r>
      <w:r w:rsidRPr="00EB6E5C">
        <w:rPr>
          <w:sz w:val="24"/>
          <w:szCs w:val="24"/>
        </w:rPr>
        <w:t>is published separately and is available on the Council’s website alongside this IPG.</w:t>
      </w:r>
      <w:r w:rsidR="00422FEA" w:rsidRPr="004B0CCB">
        <w:rPr>
          <w:sz w:val="24"/>
          <w:szCs w:val="24"/>
        </w:rPr>
        <w:br w:type="page"/>
      </w:r>
    </w:p>
    <w:p w14:paraId="5E0E418A" w14:textId="5AF4DA42" w:rsidR="00C54DD1" w:rsidRPr="008B0A17" w:rsidRDefault="4976DE85" w:rsidP="00BC5D09">
      <w:pPr>
        <w:pStyle w:val="Heading1"/>
        <w:tabs>
          <w:tab w:val="clear" w:pos="833"/>
          <w:tab w:val="left" w:pos="567"/>
        </w:tabs>
        <w:ind w:left="567" w:hanging="567"/>
      </w:pPr>
      <w:bookmarkStart w:id="5" w:name="_Toc205205416"/>
      <w:bookmarkStart w:id="6" w:name="_Toc229489645"/>
      <w:r>
        <w:lastRenderedPageBreak/>
        <w:t>Introduction</w:t>
      </w:r>
      <w:bookmarkEnd w:id="5"/>
      <w:bookmarkEnd w:id="6"/>
    </w:p>
    <w:p w14:paraId="63F52DD0" w14:textId="77777777" w:rsidR="00827BE6" w:rsidRPr="008B0A17" w:rsidRDefault="00827BE6" w:rsidP="005A0839">
      <w:pPr>
        <w:tabs>
          <w:tab w:val="left" w:pos="709"/>
        </w:tabs>
        <w:ind w:left="709" w:hanging="709"/>
        <w:rPr>
          <w:sz w:val="24"/>
          <w:szCs w:val="24"/>
        </w:rPr>
      </w:pPr>
    </w:p>
    <w:p w14:paraId="35C56C8A" w14:textId="5A4ED2BA" w:rsidR="00595EE3" w:rsidRDefault="00595EE3" w:rsidP="2724D6AB">
      <w:pPr>
        <w:pStyle w:val="BodyText"/>
        <w:numPr>
          <w:ilvl w:val="1"/>
          <w:numId w:val="1"/>
        </w:numPr>
        <w:spacing w:before="6"/>
        <w:ind w:left="567" w:hanging="567"/>
        <w:rPr>
          <w:sz w:val="24"/>
          <w:szCs w:val="24"/>
        </w:rPr>
      </w:pPr>
      <w:r w:rsidRPr="04AA396C">
        <w:rPr>
          <w:sz w:val="24"/>
          <w:szCs w:val="24"/>
        </w:rPr>
        <w:t xml:space="preserve">Co-living is an emerging </w:t>
      </w:r>
      <w:r w:rsidR="0033035A" w:rsidRPr="04AA396C">
        <w:rPr>
          <w:sz w:val="24"/>
          <w:szCs w:val="24"/>
        </w:rPr>
        <w:t xml:space="preserve">new </w:t>
      </w:r>
      <w:r w:rsidRPr="04AA396C">
        <w:rPr>
          <w:sz w:val="24"/>
          <w:szCs w:val="24"/>
        </w:rPr>
        <w:t>form of residential development. Although all schemes vary, they typically comprise large-scale</w:t>
      </w:r>
      <w:r w:rsidR="0008666F" w:rsidRPr="04AA396C">
        <w:rPr>
          <w:sz w:val="24"/>
          <w:szCs w:val="24"/>
        </w:rPr>
        <w:t xml:space="preserve"> (50 or more beds)</w:t>
      </w:r>
      <w:r w:rsidRPr="04AA396C">
        <w:rPr>
          <w:sz w:val="24"/>
          <w:szCs w:val="24"/>
        </w:rPr>
        <w:t xml:space="preserve">, purpose-built, and professionally managed accommodation that fosters communal living. Such schemes </w:t>
      </w:r>
      <w:r w:rsidR="00B5078A" w:rsidRPr="04AA396C">
        <w:rPr>
          <w:sz w:val="24"/>
          <w:szCs w:val="24"/>
        </w:rPr>
        <w:t>generally</w:t>
      </w:r>
      <w:r w:rsidRPr="04AA396C">
        <w:rPr>
          <w:sz w:val="24"/>
          <w:szCs w:val="24"/>
        </w:rPr>
        <w:t xml:space="preserve"> include a combination of private living spaces</w:t>
      </w:r>
      <w:r w:rsidR="0008666F" w:rsidRPr="04AA396C">
        <w:rPr>
          <w:sz w:val="24"/>
          <w:szCs w:val="24"/>
        </w:rPr>
        <w:t xml:space="preserve"> </w:t>
      </w:r>
      <w:r w:rsidRPr="04AA396C">
        <w:rPr>
          <w:sz w:val="24"/>
          <w:szCs w:val="24"/>
        </w:rPr>
        <w:t xml:space="preserve">such as studio units with </w:t>
      </w:r>
      <w:r w:rsidR="0008666F" w:rsidRPr="04AA396C">
        <w:rPr>
          <w:sz w:val="24"/>
          <w:szCs w:val="24"/>
        </w:rPr>
        <w:t xml:space="preserve">private </w:t>
      </w:r>
      <w:r w:rsidRPr="04AA396C">
        <w:rPr>
          <w:sz w:val="24"/>
          <w:szCs w:val="24"/>
        </w:rPr>
        <w:t>ensuite and cooking facilities</w:t>
      </w:r>
      <w:r w:rsidR="0008666F" w:rsidRPr="04AA396C">
        <w:rPr>
          <w:sz w:val="24"/>
          <w:szCs w:val="24"/>
        </w:rPr>
        <w:t xml:space="preserve"> </w:t>
      </w:r>
      <w:r w:rsidRPr="04AA396C">
        <w:rPr>
          <w:sz w:val="24"/>
          <w:szCs w:val="24"/>
        </w:rPr>
        <w:t>and shared units, where multiple residents occupy a single housing unit with private bedrooms but share common areas like bathrooms, kitchens, or living spaces within the unit itself, similar to a shared flat or House in Multiple Occupation (HMO).</w:t>
      </w:r>
    </w:p>
    <w:p w14:paraId="5DB90381" w14:textId="77777777" w:rsidR="00D53206" w:rsidRDefault="00D53206" w:rsidP="00B413B1">
      <w:pPr>
        <w:pStyle w:val="BodyText"/>
        <w:spacing w:before="6"/>
        <w:ind w:left="567"/>
        <w:rPr>
          <w:sz w:val="24"/>
        </w:rPr>
      </w:pPr>
    </w:p>
    <w:p w14:paraId="706EF6BB" w14:textId="29013DF7" w:rsidR="00460EF5" w:rsidRDefault="00460EF5" w:rsidP="005A78B0">
      <w:pPr>
        <w:pStyle w:val="BodyText"/>
        <w:numPr>
          <w:ilvl w:val="1"/>
          <w:numId w:val="1"/>
        </w:numPr>
        <w:ind w:left="567" w:hanging="567"/>
        <w:rPr>
          <w:sz w:val="24"/>
        </w:rPr>
      </w:pPr>
      <w:r w:rsidRPr="00460EF5">
        <w:rPr>
          <w:sz w:val="24"/>
        </w:rPr>
        <w:t>Co</w:t>
      </w:r>
      <w:r w:rsidRPr="00460EF5">
        <w:rPr>
          <w:rFonts w:ascii="Cambria Math" w:hAnsi="Cambria Math" w:cs="Cambria Math"/>
          <w:sz w:val="24"/>
        </w:rPr>
        <w:t>‑</w:t>
      </w:r>
      <w:r w:rsidRPr="00460EF5">
        <w:rPr>
          <w:sz w:val="24"/>
        </w:rPr>
        <w:t>living is most suited to locations where higher</w:t>
      </w:r>
      <w:r w:rsidRPr="00460EF5">
        <w:rPr>
          <w:rFonts w:ascii="Cambria Math" w:hAnsi="Cambria Math" w:cs="Cambria Math"/>
          <w:sz w:val="24"/>
        </w:rPr>
        <w:t>‑</w:t>
      </w:r>
      <w:r w:rsidRPr="00460EF5">
        <w:rPr>
          <w:sz w:val="24"/>
        </w:rPr>
        <w:t>density residential development can be supported by strong access to public transport, employment and services. This approach aligns with wider national objectives to optimise land use in well</w:t>
      </w:r>
      <w:r w:rsidRPr="00460EF5">
        <w:rPr>
          <w:rFonts w:ascii="Cambria Math" w:hAnsi="Cambria Math" w:cs="Cambria Math"/>
          <w:sz w:val="24"/>
        </w:rPr>
        <w:t>‑</w:t>
      </w:r>
      <w:r w:rsidRPr="00460EF5">
        <w:rPr>
          <w:sz w:val="24"/>
        </w:rPr>
        <w:t xml:space="preserve">connected urban areas and support </w:t>
      </w:r>
      <w:r w:rsidR="00256938">
        <w:rPr>
          <w:sz w:val="24"/>
        </w:rPr>
        <w:t>high density forms</w:t>
      </w:r>
      <w:r w:rsidRPr="00460EF5">
        <w:rPr>
          <w:sz w:val="24"/>
        </w:rPr>
        <w:t xml:space="preserve"> of development. </w:t>
      </w:r>
    </w:p>
    <w:p w14:paraId="6BFC4CD5" w14:textId="77777777" w:rsidR="00460EF5" w:rsidRDefault="00460EF5" w:rsidP="00460EF5">
      <w:pPr>
        <w:pStyle w:val="ListParagraph"/>
        <w:rPr>
          <w:sz w:val="24"/>
        </w:rPr>
      </w:pPr>
    </w:p>
    <w:p w14:paraId="39EF4482" w14:textId="4F043B97" w:rsidR="005A78B0" w:rsidRDefault="005A78B0" w:rsidP="005A78B0">
      <w:pPr>
        <w:pStyle w:val="BodyText"/>
        <w:numPr>
          <w:ilvl w:val="1"/>
          <w:numId w:val="1"/>
        </w:numPr>
        <w:ind w:left="567" w:hanging="567"/>
        <w:rPr>
          <w:sz w:val="24"/>
        </w:rPr>
      </w:pPr>
      <w:r w:rsidRPr="005A78B0">
        <w:rPr>
          <w:sz w:val="24"/>
        </w:rPr>
        <w:t xml:space="preserve">For the purposes of this guidance, a development will be regarded as co-living (and therefore sui generis) only where </w:t>
      </w:r>
      <w:proofErr w:type="gramStart"/>
      <w:r w:rsidRPr="005A78B0">
        <w:rPr>
          <w:sz w:val="24"/>
        </w:rPr>
        <w:t>all of</w:t>
      </w:r>
      <w:proofErr w:type="gramEnd"/>
      <w:r w:rsidRPr="005A78B0">
        <w:rPr>
          <w:sz w:val="24"/>
        </w:rPr>
        <w:t xml:space="preserve"> the following characteristics are present:</w:t>
      </w:r>
    </w:p>
    <w:p w14:paraId="2E963AA2" w14:textId="77777777" w:rsidR="005A78B0" w:rsidRPr="005A78B0" w:rsidRDefault="005A78B0" w:rsidP="00B413B1">
      <w:pPr>
        <w:pStyle w:val="BodyText"/>
        <w:ind w:left="567"/>
        <w:rPr>
          <w:sz w:val="24"/>
        </w:rPr>
      </w:pPr>
    </w:p>
    <w:p w14:paraId="2B2410DC" w14:textId="77777777" w:rsidR="005A78B0" w:rsidRPr="005A78B0" w:rsidRDefault="005A78B0" w:rsidP="0002776A">
      <w:pPr>
        <w:pStyle w:val="BodyText"/>
        <w:numPr>
          <w:ilvl w:val="0"/>
          <w:numId w:val="3"/>
        </w:numPr>
        <w:ind w:hanging="436"/>
        <w:rPr>
          <w:sz w:val="24"/>
        </w:rPr>
      </w:pPr>
      <w:r w:rsidRPr="005A78B0">
        <w:rPr>
          <w:sz w:val="24"/>
        </w:rPr>
        <w:t>The scheme is purpose-built or results from the conversion of a non-residential building (e.g. office, hotel, or other commercial building) or Purpose-Built Student Accommodation; it does not include the subdivision or change of use of an existing C3 dwellinghouse (including a former single-family house) unless the building has already been in lawful use as a large HMO (7+ occupiers) or PBSA.</w:t>
      </w:r>
    </w:p>
    <w:p w14:paraId="21A79566" w14:textId="77777777" w:rsidR="005A78B0" w:rsidRPr="005A78B0" w:rsidRDefault="005A78B0" w:rsidP="0002776A">
      <w:pPr>
        <w:pStyle w:val="BodyText"/>
        <w:numPr>
          <w:ilvl w:val="0"/>
          <w:numId w:val="3"/>
        </w:numPr>
        <w:ind w:hanging="436"/>
        <w:rPr>
          <w:sz w:val="24"/>
        </w:rPr>
      </w:pPr>
      <w:r w:rsidRPr="005A78B0">
        <w:rPr>
          <w:sz w:val="24"/>
        </w:rPr>
        <w:t>It comprises 50 or more bedspaces under single professional management.</w:t>
      </w:r>
    </w:p>
    <w:p w14:paraId="351B3CDA" w14:textId="751E41B2" w:rsidR="005A78B0" w:rsidRPr="005A78B0" w:rsidRDefault="005A78B0" w:rsidP="0002776A">
      <w:pPr>
        <w:pStyle w:val="BodyText"/>
        <w:numPr>
          <w:ilvl w:val="0"/>
          <w:numId w:val="3"/>
        </w:numPr>
        <w:ind w:hanging="436"/>
        <w:rPr>
          <w:sz w:val="24"/>
          <w:szCs w:val="24"/>
        </w:rPr>
      </w:pPr>
      <w:r w:rsidRPr="04AA396C">
        <w:rPr>
          <w:sz w:val="24"/>
          <w:szCs w:val="24"/>
        </w:rPr>
        <w:t>It provides extensive communal amenity facilities that are integral to the concept and operation of the scheme</w:t>
      </w:r>
      <w:r w:rsidR="007D34DE">
        <w:rPr>
          <w:sz w:val="24"/>
          <w:szCs w:val="24"/>
        </w:rPr>
        <w:t>.</w:t>
      </w:r>
    </w:p>
    <w:p w14:paraId="70FA4604" w14:textId="77777777" w:rsidR="005A78B0" w:rsidRPr="005A78B0" w:rsidRDefault="005A78B0" w:rsidP="0002776A">
      <w:pPr>
        <w:pStyle w:val="BodyText"/>
        <w:numPr>
          <w:ilvl w:val="0"/>
          <w:numId w:val="3"/>
        </w:numPr>
        <w:ind w:hanging="436"/>
        <w:rPr>
          <w:sz w:val="24"/>
          <w:szCs w:val="24"/>
        </w:rPr>
      </w:pPr>
      <w:r w:rsidRPr="04AA396C">
        <w:rPr>
          <w:sz w:val="24"/>
          <w:szCs w:val="24"/>
        </w:rPr>
        <w:t>Private units (studios or bedrooms in shared flats) are predominantly let on individual licences/tenancies with a minimum stay of 3 months and are supported by the communal facilities as the primary means of meeting daily living needs (cooking, dining, socialising, working, recreation).</w:t>
      </w:r>
    </w:p>
    <w:p w14:paraId="4C5D0AF4" w14:textId="3511F719" w:rsidR="005A78B0" w:rsidRPr="005A78B0" w:rsidRDefault="005A78B0" w:rsidP="0002776A">
      <w:pPr>
        <w:pStyle w:val="BodyText"/>
        <w:numPr>
          <w:ilvl w:val="0"/>
          <w:numId w:val="3"/>
        </w:numPr>
        <w:ind w:hanging="436"/>
        <w:rPr>
          <w:sz w:val="24"/>
          <w:szCs w:val="24"/>
        </w:rPr>
      </w:pPr>
      <w:r w:rsidRPr="04AA396C">
        <w:rPr>
          <w:sz w:val="24"/>
          <w:szCs w:val="24"/>
        </w:rPr>
        <w:t xml:space="preserve">The accommodation is marketed and managed as a co-living product aimed primarily at working </w:t>
      </w:r>
      <w:r w:rsidR="00B5361F" w:rsidRPr="04AA396C">
        <w:rPr>
          <w:sz w:val="24"/>
          <w:szCs w:val="24"/>
        </w:rPr>
        <w:t xml:space="preserve">young </w:t>
      </w:r>
      <w:r w:rsidRPr="04AA396C">
        <w:rPr>
          <w:sz w:val="24"/>
          <w:szCs w:val="24"/>
        </w:rPr>
        <w:t>adults rather than families with children.</w:t>
      </w:r>
    </w:p>
    <w:p w14:paraId="7E7B29DD" w14:textId="77777777" w:rsidR="00595EE3" w:rsidRDefault="00595EE3" w:rsidP="006E4712">
      <w:pPr>
        <w:pStyle w:val="BodyText"/>
        <w:spacing w:before="6"/>
        <w:rPr>
          <w:sz w:val="24"/>
        </w:rPr>
      </w:pPr>
    </w:p>
    <w:p w14:paraId="2378757C" w14:textId="37C67861" w:rsidR="007907F9" w:rsidRDefault="007907F9" w:rsidP="007907F9">
      <w:pPr>
        <w:pStyle w:val="BodyText"/>
        <w:numPr>
          <w:ilvl w:val="1"/>
          <w:numId w:val="1"/>
        </w:numPr>
        <w:spacing w:before="6"/>
        <w:ind w:left="567" w:hanging="567"/>
        <w:rPr>
          <w:sz w:val="24"/>
        </w:rPr>
      </w:pPr>
      <w:r w:rsidRPr="00320714">
        <w:rPr>
          <w:sz w:val="24"/>
        </w:rPr>
        <w:t>Proposals that do not meet all of the above criteria will normally be assessed as C3 dwellinghouses, C4 HMOs, or large (sui generis) HMOs as appropriate, and will be expected to comply fully with Nationally Described Space Standards</w:t>
      </w:r>
      <w:r w:rsidR="00715FE5">
        <w:rPr>
          <w:sz w:val="24"/>
        </w:rPr>
        <w:t xml:space="preserve"> (NDSS)</w:t>
      </w:r>
      <w:r w:rsidRPr="00320714">
        <w:rPr>
          <w:sz w:val="24"/>
        </w:rPr>
        <w:t xml:space="preserve"> and normal private amenity requirements without recourse to the aggregated amenity approach set out in this guidance.</w:t>
      </w:r>
    </w:p>
    <w:p w14:paraId="257C0BDC" w14:textId="77777777" w:rsidR="00763992" w:rsidRDefault="00763992" w:rsidP="006E4712">
      <w:pPr>
        <w:pStyle w:val="BodyText"/>
        <w:spacing w:before="6"/>
        <w:ind w:left="567"/>
        <w:rPr>
          <w:sz w:val="24"/>
        </w:rPr>
      </w:pPr>
    </w:p>
    <w:p w14:paraId="6067F756" w14:textId="6817A72E" w:rsidR="00595EE3" w:rsidRDefault="00595EE3" w:rsidP="00595EE3">
      <w:pPr>
        <w:pStyle w:val="BodyText"/>
        <w:numPr>
          <w:ilvl w:val="1"/>
          <w:numId w:val="1"/>
        </w:numPr>
        <w:spacing w:before="6"/>
        <w:ind w:left="567" w:hanging="567"/>
        <w:rPr>
          <w:sz w:val="24"/>
        </w:rPr>
      </w:pPr>
      <w:r w:rsidRPr="00595EE3">
        <w:rPr>
          <w:sz w:val="24"/>
        </w:rPr>
        <w:t xml:space="preserve">A key aspect of </w:t>
      </w:r>
      <w:r w:rsidR="007907F9">
        <w:rPr>
          <w:sz w:val="24"/>
        </w:rPr>
        <w:t>Co-living</w:t>
      </w:r>
      <w:r w:rsidRPr="00595EE3">
        <w:rPr>
          <w:sz w:val="24"/>
        </w:rPr>
        <w:t xml:space="preserve"> developments is the extensive shared communal amenities, such as communal kitchens, lounges, workspaces, gyms, laundry rooms, </w:t>
      </w:r>
      <w:r w:rsidR="007365DE" w:rsidRPr="007365DE">
        <w:rPr>
          <w:sz w:val="24"/>
        </w:rPr>
        <w:t xml:space="preserve">roof terraces </w:t>
      </w:r>
      <w:r w:rsidRPr="00595EE3">
        <w:rPr>
          <w:sz w:val="24"/>
        </w:rPr>
        <w:t>and other social or recreational areas, which are integral to the daily living of the occupiers.</w:t>
      </w:r>
    </w:p>
    <w:p w14:paraId="0F8878E9" w14:textId="77777777" w:rsidR="00595EE3" w:rsidRDefault="00595EE3" w:rsidP="00595EE3">
      <w:pPr>
        <w:pStyle w:val="ListParagraph"/>
        <w:rPr>
          <w:sz w:val="24"/>
        </w:rPr>
      </w:pPr>
    </w:p>
    <w:p w14:paraId="03183FCB" w14:textId="39FCD515" w:rsidR="00595EE3" w:rsidRDefault="00595EE3" w:rsidP="00595EE3">
      <w:pPr>
        <w:pStyle w:val="BodyText"/>
        <w:numPr>
          <w:ilvl w:val="1"/>
          <w:numId w:val="1"/>
        </w:numPr>
        <w:spacing w:before="6"/>
        <w:ind w:left="567" w:hanging="567"/>
        <w:rPr>
          <w:sz w:val="24"/>
        </w:rPr>
      </w:pPr>
      <w:r w:rsidRPr="00595EE3">
        <w:rPr>
          <w:sz w:val="24"/>
        </w:rPr>
        <w:t>Co-living schemes are operated under a single management regime, with flexible but professionally managed tenancies, usually requiring a minimum stay of three months or more. They are generally aimed at working professionals, graduates, or key workers, but can also include some students. They are not typically designed for families and are intended to support high-density, urban lifestyles in well-connected and accessible locations.</w:t>
      </w:r>
    </w:p>
    <w:p w14:paraId="5453F3AF" w14:textId="77777777" w:rsidR="00595EE3" w:rsidRDefault="00595EE3" w:rsidP="00595EE3">
      <w:pPr>
        <w:pStyle w:val="ListParagraph"/>
        <w:rPr>
          <w:sz w:val="24"/>
        </w:rPr>
      </w:pPr>
    </w:p>
    <w:p w14:paraId="0F337160" w14:textId="4BD152B4" w:rsidR="00595EE3" w:rsidRPr="00595EE3" w:rsidRDefault="00595EE3" w:rsidP="00595EE3">
      <w:pPr>
        <w:pStyle w:val="BodyText"/>
        <w:numPr>
          <w:ilvl w:val="1"/>
          <w:numId w:val="1"/>
        </w:numPr>
        <w:spacing w:before="6"/>
        <w:ind w:left="567" w:hanging="567"/>
        <w:rPr>
          <w:sz w:val="24"/>
        </w:rPr>
      </w:pPr>
      <w:r w:rsidRPr="00595EE3">
        <w:rPr>
          <w:sz w:val="24"/>
        </w:rPr>
        <w:lastRenderedPageBreak/>
        <w:t xml:space="preserve">This document considers the requirements for new-build co-living development as well as the repurposing of existing buildings, including the change of use of </w:t>
      </w:r>
      <w:r w:rsidR="009E4B1E">
        <w:rPr>
          <w:sz w:val="24"/>
        </w:rPr>
        <w:t xml:space="preserve">established </w:t>
      </w:r>
      <w:proofErr w:type="gramStart"/>
      <w:r w:rsidRPr="00595EE3">
        <w:rPr>
          <w:sz w:val="24"/>
        </w:rPr>
        <w:t>Purpose Built</w:t>
      </w:r>
      <w:proofErr w:type="gramEnd"/>
      <w:r w:rsidRPr="00595EE3">
        <w:rPr>
          <w:sz w:val="24"/>
        </w:rPr>
        <w:t xml:space="preserve"> Student Accommodation (PBSA).</w:t>
      </w:r>
    </w:p>
    <w:p w14:paraId="0B45E2A7" w14:textId="77777777" w:rsidR="00595EE3" w:rsidRDefault="00595EE3" w:rsidP="00595EE3">
      <w:pPr>
        <w:pStyle w:val="BodyText"/>
        <w:spacing w:before="6"/>
        <w:rPr>
          <w:sz w:val="24"/>
        </w:rPr>
      </w:pPr>
    </w:p>
    <w:p w14:paraId="331FB8B2" w14:textId="34FDE4F9" w:rsidR="00595EE3" w:rsidRPr="00595EE3" w:rsidRDefault="00595EE3" w:rsidP="00595EE3">
      <w:pPr>
        <w:pStyle w:val="BodyText"/>
        <w:spacing w:before="6"/>
        <w:rPr>
          <w:b/>
          <w:bCs/>
          <w:sz w:val="24"/>
        </w:rPr>
      </w:pPr>
      <w:r w:rsidRPr="00595EE3">
        <w:rPr>
          <w:b/>
          <w:bCs/>
          <w:sz w:val="24"/>
        </w:rPr>
        <w:t>Build to Rent (BtR)</w:t>
      </w:r>
    </w:p>
    <w:p w14:paraId="232F2931" w14:textId="77777777" w:rsidR="00595EE3" w:rsidRDefault="00595EE3" w:rsidP="00595EE3">
      <w:pPr>
        <w:pStyle w:val="BodyText"/>
        <w:spacing w:before="6"/>
        <w:rPr>
          <w:sz w:val="24"/>
        </w:rPr>
      </w:pPr>
    </w:p>
    <w:p w14:paraId="53554445" w14:textId="42D3DFC9" w:rsidR="00245E7B" w:rsidRDefault="00595EE3" w:rsidP="00595EE3">
      <w:pPr>
        <w:pStyle w:val="BodyText"/>
        <w:numPr>
          <w:ilvl w:val="1"/>
          <w:numId w:val="1"/>
        </w:numPr>
        <w:spacing w:before="6"/>
        <w:ind w:left="567" w:hanging="567"/>
        <w:rPr>
          <w:sz w:val="24"/>
        </w:rPr>
      </w:pPr>
      <w:r w:rsidRPr="00595EE3">
        <w:rPr>
          <w:sz w:val="24"/>
        </w:rPr>
        <w:t>Build to Rent (</w:t>
      </w:r>
      <w:proofErr w:type="spellStart"/>
      <w:r w:rsidRPr="00595EE3">
        <w:rPr>
          <w:sz w:val="24"/>
        </w:rPr>
        <w:t>BtR</w:t>
      </w:r>
      <w:proofErr w:type="spellEnd"/>
      <w:r w:rsidRPr="00595EE3">
        <w:rPr>
          <w:sz w:val="24"/>
        </w:rPr>
        <w:t>) developments are a</w:t>
      </w:r>
      <w:r>
        <w:rPr>
          <w:sz w:val="24"/>
        </w:rPr>
        <w:t>nother</w:t>
      </w:r>
      <w:r w:rsidRPr="00595EE3">
        <w:rPr>
          <w:sz w:val="24"/>
        </w:rPr>
        <w:t xml:space="preserve"> distinct form of residential accommodation within the private rented sector (PRS). They are typically professionally managed, purpose-built rental homes held in single ownership, often including shared amenities </w:t>
      </w:r>
      <w:proofErr w:type="gramStart"/>
      <w:r>
        <w:rPr>
          <w:sz w:val="24"/>
        </w:rPr>
        <w:t>similar to</w:t>
      </w:r>
      <w:proofErr w:type="gramEnd"/>
      <w:r>
        <w:rPr>
          <w:sz w:val="24"/>
        </w:rPr>
        <w:t xml:space="preserve"> co</w:t>
      </w:r>
      <w:r w:rsidR="00502464">
        <w:rPr>
          <w:sz w:val="24"/>
        </w:rPr>
        <w:t>-</w:t>
      </w:r>
      <w:r>
        <w:rPr>
          <w:sz w:val="24"/>
        </w:rPr>
        <w:t xml:space="preserve">living </w:t>
      </w:r>
      <w:r w:rsidRPr="00595EE3">
        <w:rPr>
          <w:sz w:val="24"/>
        </w:rPr>
        <w:t xml:space="preserve">such as lounges, co-working spaces, gyms, and concierge services. While BtR and co-living schemes share characteristics such as communal facilities and professional management, BtR developments are generally designed for longer-term occupancy </w:t>
      </w:r>
      <w:r w:rsidR="001462A1">
        <w:rPr>
          <w:sz w:val="24"/>
        </w:rPr>
        <w:t xml:space="preserve">for single households </w:t>
      </w:r>
      <w:r w:rsidRPr="00595EE3">
        <w:rPr>
          <w:sz w:val="24"/>
        </w:rPr>
        <w:t xml:space="preserve">and typically comply with the </w:t>
      </w:r>
      <w:r w:rsidR="007706E5">
        <w:rPr>
          <w:sz w:val="24"/>
        </w:rPr>
        <w:t xml:space="preserve">NDSS </w:t>
      </w:r>
      <w:r w:rsidRPr="00595EE3">
        <w:rPr>
          <w:sz w:val="24"/>
        </w:rPr>
        <w:t>ensuring adequate internal space and amenity provision. As such, in most cases, this guidance will not apply to Build to Rent schemes, unless the proposal deviates from NDSS or raises specific concerns around amenity, tenure mix, or community integration.</w:t>
      </w:r>
    </w:p>
    <w:p w14:paraId="726FA797" w14:textId="42912849" w:rsidR="00A57672" w:rsidRDefault="00A57672" w:rsidP="00A57672">
      <w:pPr>
        <w:pStyle w:val="Heading1"/>
        <w:numPr>
          <w:ilvl w:val="0"/>
          <w:numId w:val="0"/>
        </w:numPr>
      </w:pPr>
    </w:p>
    <w:p w14:paraId="30287363" w14:textId="553CE84D" w:rsidR="00A57672" w:rsidRDefault="002D4DA9" w:rsidP="00A57672">
      <w:pPr>
        <w:pStyle w:val="Heading1"/>
        <w:numPr>
          <w:ilvl w:val="0"/>
          <w:numId w:val="0"/>
        </w:numPr>
      </w:pPr>
      <w:r w:rsidRPr="002D4DA9">
        <w:rPr>
          <w:bCs/>
          <w:i/>
          <w:iCs/>
          <w:noProof/>
          <w:sz w:val="20"/>
          <w:szCs w:val="16"/>
        </w:rPr>
        <mc:AlternateContent>
          <mc:Choice Requires="wps">
            <w:drawing>
              <wp:anchor distT="45720" distB="45720" distL="114300" distR="114300" simplePos="0" relativeHeight="251668487" behindDoc="0" locked="0" layoutInCell="1" allowOverlap="1" wp14:anchorId="752746AA" wp14:editId="64265F55">
                <wp:simplePos x="0" y="0"/>
                <wp:positionH relativeFrom="column">
                  <wp:posOffset>4197350</wp:posOffset>
                </wp:positionH>
                <wp:positionV relativeFrom="paragraph">
                  <wp:posOffset>3981450</wp:posOffset>
                </wp:positionV>
                <wp:extent cx="2159000" cy="1404620"/>
                <wp:effectExtent l="0" t="0" r="0" b="5715"/>
                <wp:wrapNone/>
                <wp:docPr id="2058237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404620"/>
                        </a:xfrm>
                        <a:prstGeom prst="rect">
                          <a:avLst/>
                        </a:prstGeom>
                        <a:noFill/>
                        <a:ln w="9525">
                          <a:noFill/>
                          <a:miter lim="800000"/>
                          <a:headEnd/>
                          <a:tailEnd/>
                        </a:ln>
                      </wps:spPr>
                      <wps:txbx>
                        <w:txbxContent>
                          <w:p w14:paraId="303A7DF6" w14:textId="77777777" w:rsidR="002D4DA9" w:rsidRPr="002D4DA9" w:rsidRDefault="002D4DA9" w:rsidP="005E133A">
                            <w:pPr>
                              <w:jc w:val="right"/>
                              <w:rPr>
                                <w:b/>
                                <w:bCs/>
                                <w:color w:val="FFFFFF" w:themeColor="background1"/>
                              </w:rPr>
                            </w:pPr>
                            <w:r w:rsidRPr="002D4DA9">
                              <w:rPr>
                                <w:b/>
                                <w:bCs/>
                                <w:color w:val="FFFFFF" w:themeColor="background1"/>
                              </w:rPr>
                              <w:t>For illustrative purposes only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2746AA" id="_x0000_s1028" type="#_x0000_t202" style="position:absolute;margin-left:330.5pt;margin-top:313.5pt;width:170pt;height:110.6pt;z-index:25166848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" filled="f" stroked="f">
                <v:textbox style="mso-fit-shape-to-text:t">
                  <w:txbxContent>
                    <w:p w14:paraId="303A7DF6" w14:textId="77777777" w:rsidR="002D4DA9" w:rsidRPr="002D4DA9" w:rsidRDefault="002D4DA9" w:rsidP="005E133A">
                      <w:pPr>
                        <w:jc w:val="right"/>
                        <w:rPr>
                          <w:b/>
                          <w:bCs/>
                          <w:color w:val="FFFFFF" w:themeColor="background1"/>
                        </w:rPr>
                      </w:pPr>
                      <w:r w:rsidRPr="002D4DA9">
                        <w:rPr>
                          <w:b/>
                          <w:bCs/>
                          <w:color w:val="FFFFFF" w:themeColor="background1"/>
                        </w:rPr>
                        <w:t>For illustrative purposes only</w:t>
                      </w:r>
                    </w:p>
                  </w:txbxContent>
                </v:textbox>
              </v:shape>
            </w:pict>
          </mc:Fallback>
        </mc:AlternateContent>
      </w:r>
      <w:r w:rsidR="00A57672">
        <w:rPr>
          <w:noProof/>
        </w:rPr>
        <w:drawing>
          <wp:inline distT="0" distB="0" distL="0" distR="0" wp14:anchorId="06BC5EC5" wp14:editId="67DF3ABC">
            <wp:extent cx="6356350" cy="4237355"/>
            <wp:effectExtent l="0" t="0" r="6350" b="0"/>
            <wp:docPr id="354865038" name="Picture 7" descr="Photograph of a modern coworking space featuring large windows, industrial ceiling, and mixed seating areas with couches, tables, and chairs. Warm lighting highlights a neon sign reading &quot;LIVE CONNECT COLLABORATE,&quot; while people work and socialize, creating a collaborative and inviting atm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65038" name="Picture 7" descr="Photograph of a modern coworking space featuring large windows, industrial ceiling, and mixed seating areas with couches, tables, and chairs. Warm lighting highlights a neon sign reading &quot;LIVE CONNECT COLLABORATE,&quot; while people work and socialize, creating a collaborative and inviting atmosphe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56350" cy="4237355"/>
                    </a:xfrm>
                    <a:prstGeom prst="rect">
                      <a:avLst/>
                    </a:prstGeom>
                    <a:noFill/>
                    <a:ln>
                      <a:noFill/>
                    </a:ln>
                  </pic:spPr>
                </pic:pic>
              </a:graphicData>
            </a:graphic>
          </wp:inline>
        </w:drawing>
      </w:r>
    </w:p>
    <w:p w14:paraId="3898B687" w14:textId="77777777" w:rsidR="00245E7B" w:rsidRDefault="00245E7B">
      <w:pPr>
        <w:rPr>
          <w:sz w:val="24"/>
        </w:rPr>
      </w:pPr>
      <w:r>
        <w:rPr>
          <w:sz w:val="24"/>
        </w:rPr>
        <w:br w:type="page"/>
      </w:r>
    </w:p>
    <w:p w14:paraId="08FC2223" w14:textId="7D4596F5" w:rsidR="00E4049F" w:rsidRPr="007E191E" w:rsidRDefault="734DA9D3" w:rsidP="00595EE3">
      <w:pPr>
        <w:pStyle w:val="Heading1"/>
        <w:tabs>
          <w:tab w:val="clear" w:pos="833"/>
          <w:tab w:val="left" w:pos="567"/>
        </w:tabs>
        <w:ind w:hanging="1353"/>
      </w:pPr>
      <w:bookmarkStart w:id="7" w:name="_Toc34736320"/>
      <w:bookmarkStart w:id="8" w:name="_Toc205205417"/>
      <w:bookmarkStart w:id="9" w:name="_Toc229489646"/>
      <w:r>
        <w:lastRenderedPageBreak/>
        <w:t>Planning Policy Context</w:t>
      </w:r>
      <w:bookmarkEnd w:id="7"/>
      <w:bookmarkEnd w:id="8"/>
      <w:bookmarkEnd w:id="9"/>
    </w:p>
    <w:p w14:paraId="4BB65661" w14:textId="77777777" w:rsidR="00581B9F" w:rsidRDefault="00581B9F">
      <w:pPr>
        <w:pStyle w:val="BodyText"/>
        <w:spacing w:before="6"/>
        <w:rPr>
          <w:sz w:val="20"/>
        </w:rPr>
      </w:pPr>
    </w:p>
    <w:p w14:paraId="71E12251" w14:textId="77777777" w:rsidR="00770951" w:rsidRDefault="00770951" w:rsidP="00770951">
      <w:pPr>
        <w:rPr>
          <w:b/>
          <w:bCs/>
          <w:i/>
          <w:iCs/>
          <w:sz w:val="24"/>
          <w:szCs w:val="24"/>
        </w:rPr>
      </w:pPr>
      <w:bookmarkStart w:id="10" w:name="_Toc205205418"/>
      <w:bookmarkStart w:id="11" w:name="_Toc34736321"/>
    </w:p>
    <w:p w14:paraId="3901B2F0" w14:textId="62FD6C3C" w:rsidR="00770951" w:rsidRDefault="00770951" w:rsidP="00770951">
      <w:pPr>
        <w:rPr>
          <w:b/>
          <w:bCs/>
          <w:i/>
          <w:iCs/>
          <w:sz w:val="24"/>
          <w:szCs w:val="24"/>
        </w:rPr>
      </w:pPr>
      <w:r>
        <w:rPr>
          <w:b/>
          <w:bCs/>
          <w:i/>
          <w:iCs/>
          <w:sz w:val="24"/>
          <w:szCs w:val="24"/>
        </w:rPr>
        <w:t>National</w:t>
      </w:r>
      <w:r w:rsidRPr="00251F0D">
        <w:rPr>
          <w:b/>
          <w:bCs/>
          <w:i/>
          <w:iCs/>
          <w:sz w:val="24"/>
          <w:szCs w:val="24"/>
        </w:rPr>
        <w:t xml:space="preserve"> Policy Context</w:t>
      </w:r>
    </w:p>
    <w:p w14:paraId="1912F0D4" w14:textId="77777777" w:rsidR="00770951" w:rsidRPr="00251F0D" w:rsidRDefault="00770951" w:rsidP="00770951">
      <w:pPr>
        <w:rPr>
          <w:b/>
          <w:bCs/>
          <w:i/>
          <w:iCs/>
          <w:sz w:val="24"/>
          <w:szCs w:val="24"/>
        </w:rPr>
      </w:pPr>
    </w:p>
    <w:p w14:paraId="2D1CB3E3" w14:textId="74D8CED9" w:rsidR="00E4049F" w:rsidRPr="0077754F" w:rsidRDefault="734DA9D3" w:rsidP="00DB547F">
      <w:pPr>
        <w:pStyle w:val="Heading2"/>
      </w:pPr>
      <w:bookmarkStart w:id="12" w:name="_Toc205205419"/>
      <w:bookmarkStart w:id="13" w:name="_Toc229489647"/>
      <w:bookmarkStart w:id="14" w:name="_Hlk221877985"/>
      <w:bookmarkEnd w:id="10"/>
      <w:r w:rsidRPr="0077754F">
        <w:t>National</w:t>
      </w:r>
      <w:r w:rsidR="7611F24C" w:rsidRPr="0077754F">
        <w:t xml:space="preserve"> Pla</w:t>
      </w:r>
      <w:r w:rsidRPr="0077754F">
        <w:t>nning Policy Framework</w:t>
      </w:r>
      <w:bookmarkEnd w:id="11"/>
      <w:bookmarkEnd w:id="12"/>
      <w:r w:rsidR="00426E30" w:rsidRPr="0077754F">
        <w:t xml:space="preserve"> (NPPF)</w:t>
      </w:r>
      <w:bookmarkEnd w:id="13"/>
    </w:p>
    <w:bookmarkEnd w:id="14"/>
    <w:p w14:paraId="412DCD7A" w14:textId="77777777" w:rsidR="00E4049F" w:rsidRPr="006A7782" w:rsidRDefault="00E4049F" w:rsidP="006A7782">
      <w:pPr>
        <w:pStyle w:val="BodyText"/>
      </w:pPr>
    </w:p>
    <w:p w14:paraId="15309C23" w14:textId="5E2ACE05" w:rsidR="000F7C4A" w:rsidRPr="00B310CA" w:rsidRDefault="00E855F7" w:rsidP="003D0221">
      <w:pPr>
        <w:pStyle w:val="BodyText"/>
        <w:numPr>
          <w:ilvl w:val="1"/>
          <w:numId w:val="1"/>
        </w:numPr>
        <w:spacing w:before="6"/>
        <w:ind w:left="567" w:hanging="567"/>
        <w:rPr>
          <w:sz w:val="24"/>
          <w:szCs w:val="24"/>
        </w:rPr>
      </w:pPr>
      <w:r w:rsidRPr="00B310CA">
        <w:rPr>
          <w:sz w:val="24"/>
          <w:szCs w:val="24"/>
        </w:rPr>
        <w:t xml:space="preserve">The </w:t>
      </w:r>
      <w:hyperlink r:id="rId17" w:history="1">
        <w:r w:rsidR="00DA77E8" w:rsidRPr="00374F5B">
          <w:rPr>
            <w:rStyle w:val="Hyperlink"/>
            <w:sz w:val="24"/>
            <w:szCs w:val="24"/>
          </w:rPr>
          <w:t>National Planning Policy Framework</w:t>
        </w:r>
      </w:hyperlink>
      <w:r w:rsidR="00DA77E8" w:rsidRPr="00374F5B">
        <w:rPr>
          <w:sz w:val="24"/>
          <w:szCs w:val="24"/>
        </w:rPr>
        <w:t xml:space="preserve"> (NPPF)</w:t>
      </w:r>
      <w:r w:rsidR="00DA2FB7" w:rsidRPr="00374F5B">
        <w:rPr>
          <w:sz w:val="24"/>
          <w:szCs w:val="24"/>
        </w:rPr>
        <w:t xml:space="preserve"> </w:t>
      </w:r>
      <w:r w:rsidR="00DA77E8" w:rsidRPr="00374F5B">
        <w:rPr>
          <w:sz w:val="24"/>
          <w:szCs w:val="24"/>
        </w:rPr>
        <w:t xml:space="preserve">(2024) does not </w:t>
      </w:r>
      <w:r w:rsidR="006E0B22" w:rsidRPr="00374F5B">
        <w:rPr>
          <w:sz w:val="24"/>
          <w:szCs w:val="24"/>
        </w:rPr>
        <w:t xml:space="preserve">explicitly </w:t>
      </w:r>
      <w:r w:rsidR="00DA77E8" w:rsidRPr="00374F5B">
        <w:rPr>
          <w:sz w:val="24"/>
          <w:szCs w:val="24"/>
        </w:rPr>
        <w:t xml:space="preserve">address co-living but </w:t>
      </w:r>
      <w:r w:rsidR="00884173" w:rsidRPr="00374F5B">
        <w:rPr>
          <w:sz w:val="24"/>
          <w:szCs w:val="24"/>
        </w:rPr>
        <w:t>provides broader guidance that local planning authorities (LPAs) can apply to assess co-living proposals, focusing on meeting diverse housing needs and ensuring quality accommodation</w:t>
      </w:r>
      <w:r w:rsidR="009216D8" w:rsidRPr="00374F5B">
        <w:rPr>
          <w:sz w:val="24"/>
          <w:szCs w:val="24"/>
        </w:rPr>
        <w:t>.</w:t>
      </w:r>
    </w:p>
    <w:p w14:paraId="04E2A3E4" w14:textId="77777777" w:rsidR="000F7C4A" w:rsidRDefault="000F7C4A" w:rsidP="00CE3DB1">
      <w:pPr>
        <w:pStyle w:val="BodyText"/>
        <w:spacing w:before="6"/>
        <w:ind w:left="567"/>
        <w:rPr>
          <w:sz w:val="24"/>
        </w:rPr>
      </w:pPr>
    </w:p>
    <w:p w14:paraId="05B605A6" w14:textId="729A8AE7" w:rsidR="00E4049F" w:rsidRDefault="007161C0" w:rsidP="003D0221">
      <w:pPr>
        <w:pStyle w:val="BodyText"/>
        <w:numPr>
          <w:ilvl w:val="1"/>
          <w:numId w:val="1"/>
        </w:numPr>
        <w:spacing w:before="6"/>
        <w:ind w:left="567" w:hanging="567"/>
        <w:rPr>
          <w:sz w:val="24"/>
        </w:rPr>
      </w:pPr>
      <w:r>
        <w:rPr>
          <w:sz w:val="24"/>
        </w:rPr>
        <w:t>T</w:t>
      </w:r>
      <w:r w:rsidRPr="007161C0">
        <w:rPr>
          <w:sz w:val="24"/>
        </w:rPr>
        <w:t>he NPPF (</w:t>
      </w:r>
      <w:hyperlink r:id="rId18" w:anchor="page-17" w:history="1">
        <w:r w:rsidRPr="00725947">
          <w:rPr>
            <w:rStyle w:val="Hyperlink"/>
            <w:sz w:val="24"/>
          </w:rPr>
          <w:t>paragraph 6</w:t>
        </w:r>
        <w:r w:rsidR="00725947" w:rsidRPr="00725947">
          <w:rPr>
            <w:rStyle w:val="Hyperlink"/>
            <w:sz w:val="24"/>
          </w:rPr>
          <w:t>3</w:t>
        </w:r>
      </w:hyperlink>
      <w:r w:rsidRPr="007161C0">
        <w:rPr>
          <w:sz w:val="24"/>
        </w:rPr>
        <w:t>) emphasi</w:t>
      </w:r>
      <w:r>
        <w:rPr>
          <w:sz w:val="24"/>
        </w:rPr>
        <w:t>s</w:t>
      </w:r>
      <w:r w:rsidRPr="007161C0">
        <w:rPr>
          <w:sz w:val="24"/>
        </w:rPr>
        <w:t xml:space="preserve">es </w:t>
      </w:r>
      <w:r>
        <w:rPr>
          <w:sz w:val="24"/>
        </w:rPr>
        <w:t xml:space="preserve">the need to </w:t>
      </w:r>
      <w:r w:rsidRPr="007161C0">
        <w:rPr>
          <w:sz w:val="24"/>
        </w:rPr>
        <w:t>address</w:t>
      </w:r>
      <w:r>
        <w:rPr>
          <w:sz w:val="24"/>
        </w:rPr>
        <w:t xml:space="preserve"> </w:t>
      </w:r>
      <w:r w:rsidRPr="007161C0">
        <w:rPr>
          <w:sz w:val="24"/>
        </w:rPr>
        <w:t xml:space="preserve">the housing needs of specific groups, including young professionals, who are often </w:t>
      </w:r>
      <w:r w:rsidR="0052325E">
        <w:rPr>
          <w:sz w:val="24"/>
        </w:rPr>
        <w:t>a</w:t>
      </w:r>
      <w:r w:rsidRPr="007161C0">
        <w:rPr>
          <w:sz w:val="24"/>
        </w:rPr>
        <w:t xml:space="preserve"> target demographic for co-living. LPAs are encouraged to assess local housing needs, which can include demand for co-living arrangements, as part of their development plans</w:t>
      </w:r>
    </w:p>
    <w:p w14:paraId="7BFA9631" w14:textId="77777777" w:rsidR="007161C0" w:rsidRDefault="007161C0" w:rsidP="007161C0">
      <w:pPr>
        <w:pStyle w:val="ListParagraph"/>
        <w:rPr>
          <w:sz w:val="24"/>
        </w:rPr>
      </w:pPr>
    </w:p>
    <w:p w14:paraId="33035E0A" w14:textId="499EC022" w:rsidR="00FB2F53" w:rsidRDefault="000B1B41" w:rsidP="780399E3">
      <w:pPr>
        <w:pStyle w:val="BodyText"/>
        <w:numPr>
          <w:ilvl w:val="1"/>
          <w:numId w:val="1"/>
        </w:numPr>
        <w:spacing w:before="6"/>
        <w:ind w:left="567" w:hanging="567"/>
        <w:rPr>
          <w:sz w:val="24"/>
        </w:rPr>
      </w:pPr>
      <w:r w:rsidRPr="000B1B41">
        <w:rPr>
          <w:sz w:val="24"/>
        </w:rPr>
        <w:t xml:space="preserve">National planning guidance does not explicitly define or </w:t>
      </w:r>
      <w:r w:rsidR="009216D8">
        <w:rPr>
          <w:sz w:val="24"/>
        </w:rPr>
        <w:t xml:space="preserve">directly </w:t>
      </w:r>
      <w:r w:rsidRPr="000B1B41">
        <w:rPr>
          <w:sz w:val="24"/>
        </w:rPr>
        <w:t xml:space="preserve">promote “co-living” (as it </w:t>
      </w:r>
      <w:r w:rsidRPr="009A1092">
        <w:rPr>
          <w:sz w:val="24"/>
        </w:rPr>
        <w:t>does for Build to Rent or HMOs</w:t>
      </w:r>
      <w:r w:rsidRPr="000B1B41">
        <w:rPr>
          <w:sz w:val="24"/>
        </w:rPr>
        <w:t>), but local authorities can count co-living schemes towards housing supply targets when justified</w:t>
      </w:r>
      <w:r w:rsidR="009216D8">
        <w:rPr>
          <w:sz w:val="24"/>
        </w:rPr>
        <w:t xml:space="preserve"> </w:t>
      </w:r>
      <w:r w:rsidRPr="000B1B41">
        <w:rPr>
          <w:sz w:val="24"/>
        </w:rPr>
        <w:t>based on established planning principles and interpretations of the NPPF</w:t>
      </w:r>
      <w:r w:rsidR="00BA7BBB">
        <w:rPr>
          <w:sz w:val="24"/>
        </w:rPr>
        <w:t xml:space="preserve"> providing flexibility in housing delivery</w:t>
      </w:r>
      <w:r w:rsidRPr="000B1B41">
        <w:rPr>
          <w:sz w:val="24"/>
        </w:rPr>
        <w:t>.</w:t>
      </w:r>
    </w:p>
    <w:p w14:paraId="36C0F8CE" w14:textId="77777777" w:rsidR="00BA7BBB" w:rsidRDefault="00BA7BBB" w:rsidP="00BA7BBB">
      <w:pPr>
        <w:pStyle w:val="ListParagraph"/>
        <w:rPr>
          <w:sz w:val="24"/>
        </w:rPr>
      </w:pPr>
    </w:p>
    <w:p w14:paraId="71CF7390" w14:textId="181402B5" w:rsidR="004E3481" w:rsidRDefault="0035126F" w:rsidP="0047749F">
      <w:pPr>
        <w:pStyle w:val="NormP"/>
      </w:pPr>
      <w:r w:rsidRPr="247D8779">
        <w:t>Co-living is</w:t>
      </w:r>
      <w:r w:rsidRPr="1AE859CD">
        <w:t xml:space="preserve"> </w:t>
      </w:r>
      <w:r w:rsidR="4B6295A8" w:rsidRPr="1AE859CD">
        <w:t>likely to be</w:t>
      </w:r>
      <w:r w:rsidRPr="247D8779">
        <w:t xml:space="preserve"> </w:t>
      </w:r>
      <w:r w:rsidR="00B171CE">
        <w:t xml:space="preserve">considered </w:t>
      </w:r>
      <w:r w:rsidRPr="247D8779">
        <w:t>‘Sui Generis</w:t>
      </w:r>
      <w:r w:rsidR="00DE76E9" w:rsidRPr="247D8779">
        <w:t>,’</w:t>
      </w:r>
      <w:r w:rsidRPr="247D8779">
        <w:t xml:space="preserve"> as it does not fit within standard residential (C3), houses in multiple occupation (C4), or other use classes. This means full planning permission is </w:t>
      </w:r>
      <w:r w:rsidR="789FF489" w:rsidRPr="1AE859CD">
        <w:t xml:space="preserve">generally </w:t>
      </w:r>
      <w:r w:rsidRPr="247D8779">
        <w:t>required for co-living developments or conversions</w:t>
      </w:r>
      <w:r w:rsidR="0052325E" w:rsidRPr="247D8779">
        <w:t xml:space="preserve"> of such schemes</w:t>
      </w:r>
      <w:r w:rsidRPr="247D8779">
        <w:t>, allowing LPAs to scrutinise proposals thoroughly</w:t>
      </w:r>
      <w:r w:rsidR="00363807" w:rsidRPr="247D8779">
        <w:t>.</w:t>
      </w:r>
    </w:p>
    <w:p w14:paraId="3BDD8445" w14:textId="77777777" w:rsidR="004E3481" w:rsidRDefault="004E3481" w:rsidP="0047749F">
      <w:pPr>
        <w:pStyle w:val="NormP"/>
        <w:numPr>
          <w:ilvl w:val="0"/>
          <w:numId w:val="0"/>
        </w:numPr>
        <w:ind w:left="567"/>
      </w:pPr>
    </w:p>
    <w:p w14:paraId="6E784CE6" w14:textId="62CA82EF" w:rsidR="00363807" w:rsidRDefault="1789DF1A" w:rsidP="0047749F">
      <w:pPr>
        <w:pStyle w:val="NormP"/>
      </w:pPr>
      <w:r w:rsidRPr="757DF662">
        <w:t xml:space="preserve">The NPPF stresses delivering high-quality, well-designed housing that supports residential amenity. </w:t>
      </w:r>
      <w:r w:rsidR="45E6725D" w:rsidRPr="757DF662">
        <w:t>Therefore,</w:t>
      </w:r>
      <w:r w:rsidRPr="757DF662">
        <w:t xml:space="preserve"> co-living developments should provide sufficient communal spaces (</w:t>
      </w:r>
      <w:r w:rsidR="00B03333" w:rsidRPr="757DF662">
        <w:t>e.g.</w:t>
      </w:r>
      <w:r w:rsidRPr="757DF662">
        <w:t>, kitchens, lounges) and private units that meet basic functional needs (</w:t>
      </w:r>
      <w:r w:rsidR="00B03333" w:rsidRPr="757DF662">
        <w:t>e.g.</w:t>
      </w:r>
      <w:r w:rsidR="74B7E607" w:rsidRPr="757DF662">
        <w:t xml:space="preserve"> </w:t>
      </w:r>
      <w:r w:rsidRPr="757DF662">
        <w:t>sleeping, bathroom, storage). LPAs are expected</w:t>
      </w:r>
      <w:r w:rsidR="387D3F37" w:rsidRPr="757DF662">
        <w:t xml:space="preserve"> with all residential development</w:t>
      </w:r>
      <w:r w:rsidRPr="757DF662">
        <w:t xml:space="preserve"> to assess the quality of accommodation, including accessibility and integration with local communities</w:t>
      </w:r>
      <w:r w:rsidR="387D3F37" w:rsidRPr="757DF662">
        <w:t xml:space="preserve">. </w:t>
      </w:r>
    </w:p>
    <w:p w14:paraId="2B365E4D" w14:textId="77777777" w:rsidR="00514081" w:rsidRDefault="00514081" w:rsidP="00852F3C">
      <w:pPr>
        <w:pStyle w:val="BodyText"/>
        <w:spacing w:before="6"/>
        <w:ind w:left="567"/>
        <w:rPr>
          <w:sz w:val="24"/>
          <w:szCs w:val="24"/>
        </w:rPr>
      </w:pPr>
    </w:p>
    <w:p w14:paraId="43EF38D1" w14:textId="4B2CD151" w:rsidR="00157B07" w:rsidRDefault="00C7720F" w:rsidP="0047749F">
      <w:pPr>
        <w:pStyle w:val="NormP"/>
      </w:pPr>
      <w:r>
        <w:t>In particular,</w:t>
      </w:r>
      <w:r w:rsidR="00157B07" w:rsidRPr="00450CE8">
        <w:t xml:space="preserve"> policy </w:t>
      </w:r>
      <w:hyperlink r:id="rId19" w:anchor="page=40" w:history="1">
        <w:r w:rsidR="00157B07" w:rsidRPr="000B71E4">
          <w:rPr>
            <w:rStyle w:val="Hyperlink"/>
          </w:rPr>
          <w:t>135(f)</w:t>
        </w:r>
      </w:hyperlink>
      <w:r w:rsidR="00157B07" w:rsidRPr="00450CE8">
        <w:t xml:space="preserve"> states that: </w:t>
      </w:r>
      <w:r w:rsidR="00D35A4F">
        <w:t>‘</w:t>
      </w:r>
      <w:r w:rsidR="00157B07" w:rsidRPr="0076367A">
        <w:rPr>
          <w:i/>
          <w:iCs/>
        </w:rPr>
        <w:t>planning policies and decisions should ensure that developments: … f) create places that are safe, inclusive and accessible and which promote health and well-being, with a high standard of amenity for existing and future users.</w:t>
      </w:r>
      <w:r w:rsidR="00D35A4F">
        <w:rPr>
          <w:i/>
          <w:iCs/>
        </w:rPr>
        <w:t>’</w:t>
      </w:r>
      <w:r w:rsidR="00157B07" w:rsidRPr="00450CE8">
        <w:t xml:space="preserve"> In footnote 51 it then references the NDSS, ‘</w:t>
      </w:r>
      <w:r w:rsidR="00157B07" w:rsidRPr="0076367A">
        <w:rPr>
          <w:i/>
          <w:iCs/>
        </w:rPr>
        <w:t>where the need for an internal space standard can be justified</w:t>
      </w:r>
      <w:r w:rsidR="00157B07" w:rsidRPr="00450CE8">
        <w:t>.’</w:t>
      </w:r>
    </w:p>
    <w:p w14:paraId="0CCB3FDB" w14:textId="77777777" w:rsidR="00C7720F" w:rsidRDefault="00C7720F" w:rsidP="00DB547F">
      <w:pPr>
        <w:pStyle w:val="ListParagraph"/>
        <w:ind w:left="567"/>
      </w:pPr>
    </w:p>
    <w:p w14:paraId="16F0DEF5" w14:textId="5C447FBE" w:rsidR="00514081" w:rsidRPr="0076367A" w:rsidRDefault="00157B07" w:rsidP="0047749F">
      <w:pPr>
        <w:pStyle w:val="NormP"/>
      </w:pPr>
      <w:r w:rsidRPr="00450CE8">
        <w:t>This is expanded upon in the National Design Guide. Paragraph 126 states that: “</w:t>
      </w:r>
      <w:r w:rsidRPr="0076367A">
        <w:t>Well-designed homes and communal areas within buildings provide a good standard and quality of internal space. This includes room sizes, floor-to-ceiling heights, internal and external storage, sunlight, daylight and ventilation. The quality of internal space needs careful consideration in higher density developments, particularly for family accommodation, where access, privacy, daylight and external amenity space are also important.”</w:t>
      </w:r>
    </w:p>
    <w:p w14:paraId="01B3A49E" w14:textId="77777777" w:rsidR="00FF2510" w:rsidRDefault="00FF2510" w:rsidP="00DB547F">
      <w:pPr>
        <w:pStyle w:val="ListParagraph"/>
        <w:ind w:left="567"/>
      </w:pPr>
    </w:p>
    <w:p w14:paraId="1C349E70" w14:textId="36AB8DDE" w:rsidR="00DE432C" w:rsidRPr="00080F0D" w:rsidRDefault="00080F0D" w:rsidP="0047749F">
      <w:pPr>
        <w:pStyle w:val="NormP"/>
      </w:pPr>
      <w:r>
        <w:t>This sets a clear policy requirement of ensuring that any new developments, including co-living, ‘</w:t>
      </w:r>
      <w:r w:rsidRPr="00080F0D">
        <w:rPr>
          <w:i/>
          <w:iCs/>
        </w:rPr>
        <w:t xml:space="preserve">promote health and well-being,’ </w:t>
      </w:r>
      <w:r w:rsidRPr="0076367A">
        <w:t>and have a</w:t>
      </w:r>
      <w:r w:rsidRPr="00080F0D">
        <w:rPr>
          <w:i/>
          <w:iCs/>
        </w:rPr>
        <w:t xml:space="preserve"> ‘high standard of amenity.’ </w:t>
      </w:r>
    </w:p>
    <w:p w14:paraId="196E4C51" w14:textId="77777777" w:rsidR="00D35A4F" w:rsidRDefault="00D35A4F" w:rsidP="00DB547F">
      <w:pPr>
        <w:pStyle w:val="ListParagraph"/>
        <w:ind w:left="567"/>
        <w:rPr>
          <w:sz w:val="24"/>
          <w:szCs w:val="24"/>
        </w:rPr>
      </w:pPr>
    </w:p>
    <w:p w14:paraId="597BE5BB" w14:textId="77777777" w:rsidR="00A369E7" w:rsidRDefault="00A369E7" w:rsidP="00B03333">
      <w:pPr>
        <w:pStyle w:val="ListParagraph"/>
        <w:rPr>
          <w:sz w:val="24"/>
          <w:szCs w:val="24"/>
        </w:rPr>
      </w:pPr>
    </w:p>
    <w:p w14:paraId="2F0C149F" w14:textId="0F2AF3C9" w:rsidR="48B61D6A" w:rsidRPr="0077754F" w:rsidRDefault="48B61D6A" w:rsidP="00DB547F">
      <w:pPr>
        <w:pStyle w:val="Heading2"/>
      </w:pPr>
      <w:bookmarkStart w:id="15" w:name="_Toc229489648"/>
      <w:r w:rsidRPr="0077754F">
        <w:t>Emerging Draft NPPF December 2025</w:t>
      </w:r>
      <w:bookmarkEnd w:id="15"/>
    </w:p>
    <w:p w14:paraId="41C3E716" w14:textId="77777777" w:rsidR="00B84180" w:rsidRPr="0052152A" w:rsidRDefault="00B84180" w:rsidP="00455D2E">
      <w:pPr>
        <w:pStyle w:val="BodyText"/>
        <w:spacing w:before="6"/>
        <w:ind w:left="567" w:hanging="567"/>
        <w:rPr>
          <w:sz w:val="24"/>
          <w:szCs w:val="24"/>
        </w:rPr>
      </w:pPr>
    </w:p>
    <w:p w14:paraId="3A8289C3" w14:textId="35ADAB2D" w:rsidR="00363807" w:rsidRPr="0052152A" w:rsidRDefault="22CA315E" w:rsidP="757DF662">
      <w:pPr>
        <w:pStyle w:val="BodyText"/>
        <w:numPr>
          <w:ilvl w:val="1"/>
          <w:numId w:val="1"/>
        </w:numPr>
        <w:spacing w:before="6"/>
        <w:ind w:left="567" w:hanging="567"/>
        <w:rPr>
          <w:rFonts w:eastAsia="Aptos"/>
          <w:sz w:val="24"/>
          <w:szCs w:val="24"/>
        </w:rPr>
      </w:pPr>
      <w:r w:rsidRPr="0052152A">
        <w:rPr>
          <w:rFonts w:eastAsia="Aptos"/>
          <w:sz w:val="24"/>
          <w:szCs w:val="24"/>
        </w:rPr>
        <w:t xml:space="preserve">The Government released </w:t>
      </w:r>
      <w:hyperlink r:id="rId20" w:history="1">
        <w:r w:rsidRPr="0062557A">
          <w:rPr>
            <w:rStyle w:val="Hyperlink"/>
            <w:rFonts w:eastAsia="Aptos"/>
            <w:sz w:val="24"/>
            <w:szCs w:val="24"/>
          </w:rPr>
          <w:t>a new draft National Planning Policy Framework</w:t>
        </w:r>
      </w:hyperlink>
      <w:r w:rsidRPr="0052152A">
        <w:rPr>
          <w:rFonts w:eastAsia="Aptos"/>
          <w:sz w:val="24"/>
          <w:szCs w:val="24"/>
        </w:rPr>
        <w:t xml:space="preserve"> (NPPF) in December 2025. Whilst the draft document is not afforded the weight of adopted National Policy, it can still be a material consideration, with weight given depending on the stage of consultation of an emerging plan, the extent of unresolved objections and alignment with adopted local policy. </w:t>
      </w:r>
    </w:p>
    <w:p w14:paraId="73994CA8" w14:textId="77777777" w:rsidR="00171B0A" w:rsidRPr="0052152A" w:rsidRDefault="00171B0A" w:rsidP="00455D2E">
      <w:pPr>
        <w:pStyle w:val="BodyText"/>
        <w:spacing w:before="6"/>
        <w:ind w:left="567"/>
        <w:rPr>
          <w:rFonts w:eastAsia="Aptos"/>
          <w:sz w:val="24"/>
          <w:szCs w:val="24"/>
        </w:rPr>
      </w:pPr>
    </w:p>
    <w:p w14:paraId="26AE7A36" w14:textId="0D4528A7" w:rsidR="00CB2E09" w:rsidRPr="0052152A" w:rsidRDefault="0042052E" w:rsidP="757DF662">
      <w:pPr>
        <w:pStyle w:val="BodyText"/>
        <w:numPr>
          <w:ilvl w:val="1"/>
          <w:numId w:val="1"/>
        </w:numPr>
        <w:spacing w:before="6"/>
        <w:ind w:left="567" w:hanging="567"/>
        <w:rPr>
          <w:rFonts w:eastAsia="Aptos"/>
          <w:sz w:val="24"/>
          <w:szCs w:val="24"/>
        </w:rPr>
      </w:pPr>
      <w:r w:rsidRPr="0052152A">
        <w:rPr>
          <w:rFonts w:eastAsia="Aptos"/>
          <w:sz w:val="24"/>
          <w:szCs w:val="24"/>
        </w:rPr>
        <w:t>The glossary to the Draft document includes definition of ‘</w:t>
      </w:r>
      <w:r w:rsidR="00EF5D12">
        <w:rPr>
          <w:rFonts w:eastAsia="Aptos"/>
          <w:sz w:val="24"/>
          <w:szCs w:val="24"/>
        </w:rPr>
        <w:t>l</w:t>
      </w:r>
      <w:r w:rsidRPr="0052152A">
        <w:rPr>
          <w:rFonts w:eastAsia="Aptos"/>
          <w:sz w:val="24"/>
          <w:szCs w:val="24"/>
        </w:rPr>
        <w:t>arge-</w:t>
      </w:r>
      <w:r w:rsidR="00EF5D12">
        <w:rPr>
          <w:rFonts w:eastAsia="Aptos"/>
          <w:sz w:val="24"/>
          <w:szCs w:val="24"/>
        </w:rPr>
        <w:t>s</w:t>
      </w:r>
      <w:r w:rsidRPr="0052152A">
        <w:rPr>
          <w:rFonts w:eastAsia="Aptos"/>
          <w:sz w:val="24"/>
          <w:szCs w:val="24"/>
        </w:rPr>
        <w:t xml:space="preserve">cale shared living accommodation’ as a distinct non-C3 use. This can be considered the term used to describe </w:t>
      </w:r>
      <w:r w:rsidR="00BA0E16">
        <w:rPr>
          <w:rFonts w:eastAsia="Aptos"/>
          <w:sz w:val="24"/>
          <w:szCs w:val="24"/>
        </w:rPr>
        <w:t>c</w:t>
      </w:r>
      <w:r w:rsidRPr="0052152A">
        <w:rPr>
          <w:rFonts w:eastAsia="Aptos"/>
          <w:sz w:val="24"/>
          <w:szCs w:val="24"/>
        </w:rPr>
        <w:t xml:space="preserve">o-living developments. The exact NPPF definition of </w:t>
      </w:r>
      <w:r w:rsidR="00C87A2E">
        <w:rPr>
          <w:rFonts w:eastAsia="Aptos"/>
          <w:sz w:val="24"/>
          <w:szCs w:val="24"/>
        </w:rPr>
        <w:t>l</w:t>
      </w:r>
      <w:r w:rsidRPr="0052152A">
        <w:rPr>
          <w:rFonts w:eastAsia="Aptos"/>
          <w:sz w:val="24"/>
          <w:szCs w:val="24"/>
        </w:rPr>
        <w:t>arge-</w:t>
      </w:r>
      <w:r w:rsidR="00C87A2E">
        <w:rPr>
          <w:rFonts w:eastAsia="Aptos"/>
          <w:sz w:val="24"/>
          <w:szCs w:val="24"/>
        </w:rPr>
        <w:t>s</w:t>
      </w:r>
      <w:r w:rsidRPr="0052152A">
        <w:rPr>
          <w:rFonts w:eastAsia="Aptos"/>
          <w:sz w:val="24"/>
          <w:szCs w:val="24"/>
        </w:rPr>
        <w:t>cale shared living accommodation’ is:</w:t>
      </w:r>
    </w:p>
    <w:p w14:paraId="62AAAFA5" w14:textId="449AB39E" w:rsidR="00363807" w:rsidRPr="0052152A" w:rsidRDefault="00363807" w:rsidP="00455D2E">
      <w:pPr>
        <w:pStyle w:val="ListParagraph"/>
        <w:ind w:left="1230" w:firstLine="0"/>
        <w:rPr>
          <w:sz w:val="24"/>
          <w:szCs w:val="24"/>
        </w:rPr>
      </w:pPr>
    </w:p>
    <w:p w14:paraId="351C9F04" w14:textId="0A653443" w:rsidR="00363807" w:rsidRPr="00BE0D73" w:rsidRDefault="00446659" w:rsidP="00BE0D73">
      <w:pPr>
        <w:pStyle w:val="ListParagraph"/>
        <w:ind w:left="709" w:firstLine="0"/>
        <w:rPr>
          <w:i/>
          <w:iCs/>
          <w:sz w:val="24"/>
          <w:szCs w:val="24"/>
        </w:rPr>
      </w:pPr>
      <w:r w:rsidRPr="00BE0D73">
        <w:rPr>
          <w:i/>
          <w:iCs/>
          <w:sz w:val="24"/>
          <w:szCs w:val="24"/>
        </w:rPr>
        <w:t>‘Non</w:t>
      </w:r>
      <w:r w:rsidRPr="00BE0D73">
        <w:rPr>
          <w:rFonts w:ascii="Cambria Math" w:hAnsi="Cambria Math" w:cs="Cambria Math"/>
          <w:i/>
          <w:iCs/>
          <w:sz w:val="24"/>
          <w:szCs w:val="24"/>
        </w:rPr>
        <w:t>‑</w:t>
      </w:r>
      <w:r w:rsidRPr="00BE0D73">
        <w:rPr>
          <w:i/>
          <w:iCs/>
          <w:sz w:val="24"/>
          <w:szCs w:val="24"/>
        </w:rPr>
        <w:t>self</w:t>
      </w:r>
      <w:r w:rsidRPr="00BE0D73">
        <w:rPr>
          <w:rFonts w:ascii="Cambria Math" w:hAnsi="Cambria Math" w:cs="Cambria Math"/>
          <w:i/>
          <w:iCs/>
          <w:sz w:val="24"/>
          <w:szCs w:val="24"/>
        </w:rPr>
        <w:t>‑</w:t>
      </w:r>
      <w:r w:rsidRPr="00BE0D73">
        <w:rPr>
          <w:i/>
          <w:iCs/>
          <w:sz w:val="24"/>
          <w:szCs w:val="24"/>
        </w:rPr>
        <w:t>contained accommodation which provides private rooms alongside shared communal spaces and facilities. This type of accommodation does not constitute self</w:t>
      </w:r>
      <w:r w:rsidRPr="00BE0D73">
        <w:rPr>
          <w:rFonts w:ascii="Cambria Math" w:hAnsi="Cambria Math" w:cs="Cambria Math"/>
          <w:i/>
          <w:iCs/>
          <w:sz w:val="24"/>
          <w:szCs w:val="24"/>
        </w:rPr>
        <w:t>‑</w:t>
      </w:r>
      <w:r w:rsidRPr="00BE0D73">
        <w:rPr>
          <w:i/>
          <w:iCs/>
          <w:sz w:val="24"/>
          <w:szCs w:val="24"/>
        </w:rPr>
        <w:t>contained dwellings (use class C3), HMOs, student accommodation, hotels, or other residential institutions. Tenancies should be for a minimum of 3 months.’</w:t>
      </w:r>
    </w:p>
    <w:p w14:paraId="2CA2AAD5" w14:textId="77777777" w:rsidR="006B12E0" w:rsidRPr="0052152A" w:rsidRDefault="006B12E0" w:rsidP="00455D2E">
      <w:pPr>
        <w:pStyle w:val="ListParagraph"/>
        <w:ind w:left="1230" w:firstLine="0"/>
        <w:rPr>
          <w:sz w:val="24"/>
          <w:szCs w:val="24"/>
        </w:rPr>
      </w:pPr>
    </w:p>
    <w:p w14:paraId="49849638" w14:textId="18133B15" w:rsidR="005D740A" w:rsidRPr="003D1042" w:rsidRDefault="005D740A" w:rsidP="00AE0B37">
      <w:pPr>
        <w:pStyle w:val="ListParagraph"/>
        <w:numPr>
          <w:ilvl w:val="1"/>
          <w:numId w:val="1"/>
        </w:numPr>
        <w:ind w:left="567" w:hanging="567"/>
        <w:rPr>
          <w:sz w:val="24"/>
          <w:szCs w:val="24"/>
        </w:rPr>
      </w:pPr>
      <w:r w:rsidRPr="003D1042">
        <w:rPr>
          <w:sz w:val="24"/>
          <w:szCs w:val="24"/>
        </w:rPr>
        <w:t xml:space="preserve">On Living Standards and Internal/Communal Space the </w:t>
      </w:r>
      <w:r w:rsidR="00E876CE">
        <w:rPr>
          <w:sz w:val="24"/>
          <w:szCs w:val="24"/>
        </w:rPr>
        <w:t xml:space="preserve">draft </w:t>
      </w:r>
      <w:r w:rsidRPr="003D1042">
        <w:rPr>
          <w:sz w:val="24"/>
          <w:szCs w:val="24"/>
        </w:rPr>
        <w:t>NPPF states that:</w:t>
      </w:r>
    </w:p>
    <w:p w14:paraId="7E83C745" w14:textId="77777777" w:rsidR="005D740A" w:rsidRDefault="005D740A" w:rsidP="00AE0B37">
      <w:pPr>
        <w:pStyle w:val="ListParagraph"/>
        <w:rPr>
          <w:sz w:val="24"/>
          <w:szCs w:val="24"/>
        </w:rPr>
      </w:pPr>
    </w:p>
    <w:p w14:paraId="04C73240" w14:textId="59485DAB" w:rsidR="00E876CE" w:rsidRPr="009574BB" w:rsidRDefault="00E876CE" w:rsidP="00AE0B37">
      <w:pPr>
        <w:pStyle w:val="ListParagraph"/>
        <w:rPr>
          <w:b/>
          <w:bCs/>
          <w:i/>
          <w:iCs/>
          <w:sz w:val="24"/>
          <w:szCs w:val="24"/>
        </w:rPr>
      </w:pPr>
      <w:r w:rsidRPr="009574BB">
        <w:rPr>
          <w:b/>
          <w:bCs/>
          <w:i/>
          <w:iCs/>
          <w:sz w:val="24"/>
          <w:szCs w:val="24"/>
        </w:rPr>
        <w:t>HO9: Specialist forms of accommodation</w:t>
      </w:r>
    </w:p>
    <w:p w14:paraId="15A0D424" w14:textId="77777777" w:rsidR="00E876CE" w:rsidRPr="003D1042" w:rsidRDefault="00E876CE" w:rsidP="00AE0B37">
      <w:pPr>
        <w:pStyle w:val="ListParagraph"/>
        <w:rPr>
          <w:sz w:val="24"/>
          <w:szCs w:val="24"/>
        </w:rPr>
      </w:pPr>
    </w:p>
    <w:p w14:paraId="35425DE5" w14:textId="77777777" w:rsidR="000F2B9A" w:rsidRDefault="00366DD7" w:rsidP="00543D16">
      <w:pPr>
        <w:pStyle w:val="BodyText"/>
        <w:ind w:left="567"/>
        <w:rPr>
          <w:i/>
          <w:iCs/>
          <w:sz w:val="24"/>
          <w:szCs w:val="24"/>
        </w:rPr>
      </w:pPr>
      <w:r>
        <w:rPr>
          <w:i/>
          <w:iCs/>
          <w:sz w:val="24"/>
          <w:szCs w:val="24"/>
        </w:rPr>
        <w:t xml:space="preserve">1. </w:t>
      </w:r>
      <w:r w:rsidR="005D740A" w:rsidRPr="009574BB">
        <w:rPr>
          <w:i/>
          <w:iCs/>
          <w:sz w:val="24"/>
          <w:szCs w:val="24"/>
        </w:rPr>
        <w:t xml:space="preserve">Development proposals to address specialist housing needs should provide living conditions and access to services which are appropriate to the needs of their residents and users. This </w:t>
      </w:r>
      <w:r w:rsidR="00433C64" w:rsidRPr="00433C64">
        <w:rPr>
          <w:i/>
          <w:iCs/>
          <w:sz w:val="24"/>
          <w:szCs w:val="24"/>
        </w:rPr>
        <w:t xml:space="preserve">includes: </w:t>
      </w:r>
    </w:p>
    <w:p w14:paraId="2080959C" w14:textId="07196023" w:rsidR="005D740A" w:rsidRPr="009574BB" w:rsidRDefault="000F2B9A" w:rsidP="00D01AA2">
      <w:pPr>
        <w:pStyle w:val="BodyText"/>
        <w:ind w:left="567"/>
        <w:rPr>
          <w:i/>
          <w:iCs/>
          <w:sz w:val="24"/>
          <w:szCs w:val="24"/>
        </w:rPr>
      </w:pPr>
      <w:r>
        <w:rPr>
          <w:i/>
          <w:iCs/>
          <w:sz w:val="24"/>
          <w:szCs w:val="24"/>
        </w:rPr>
        <w:t>c.</w:t>
      </w:r>
      <w:proofErr w:type="gramStart"/>
      <w:r w:rsidR="00433C64" w:rsidRPr="00433C64">
        <w:rPr>
          <w:i/>
          <w:iCs/>
          <w:sz w:val="24"/>
          <w:szCs w:val="24"/>
        </w:rPr>
        <w:t xml:space="preserve"> ..</w:t>
      </w:r>
      <w:proofErr w:type="gramEnd"/>
      <w:r w:rsidR="005D740A" w:rsidRPr="009574BB">
        <w:rPr>
          <w:i/>
          <w:iCs/>
          <w:sz w:val="24"/>
          <w:szCs w:val="24"/>
        </w:rPr>
        <w:t xml:space="preserve"> large-scale shared living accommodation:</w:t>
      </w:r>
    </w:p>
    <w:p w14:paraId="7FF838BE" w14:textId="77777777" w:rsidR="005D740A" w:rsidRPr="009574BB" w:rsidRDefault="005D740A" w:rsidP="00D01AA2">
      <w:pPr>
        <w:pStyle w:val="BodyText"/>
        <w:ind w:left="567"/>
        <w:rPr>
          <w:i/>
          <w:iCs/>
          <w:sz w:val="24"/>
          <w:szCs w:val="24"/>
        </w:rPr>
      </w:pPr>
      <w:proofErr w:type="spellStart"/>
      <w:r w:rsidRPr="009574BB">
        <w:rPr>
          <w:i/>
          <w:iCs/>
          <w:sz w:val="24"/>
          <w:szCs w:val="24"/>
        </w:rPr>
        <w:t>i</w:t>
      </w:r>
      <w:proofErr w:type="spellEnd"/>
      <w:r w:rsidRPr="009574BB">
        <w:rPr>
          <w:i/>
          <w:iCs/>
          <w:sz w:val="24"/>
          <w:szCs w:val="24"/>
        </w:rPr>
        <w:t xml:space="preserve">. being located where residents will be able to access </w:t>
      </w:r>
      <w:proofErr w:type="gramStart"/>
      <w:r w:rsidRPr="009574BB">
        <w:rPr>
          <w:i/>
          <w:iCs/>
          <w:sz w:val="24"/>
          <w:szCs w:val="24"/>
        </w:rPr>
        <w:t>frequently-used</w:t>
      </w:r>
      <w:proofErr w:type="gramEnd"/>
      <w:r w:rsidRPr="009574BB">
        <w:rPr>
          <w:i/>
          <w:iCs/>
          <w:sz w:val="24"/>
          <w:szCs w:val="24"/>
        </w:rPr>
        <w:t xml:space="preserve"> services (..) easily and safely by walking, wheeling or public transport;</w:t>
      </w:r>
    </w:p>
    <w:p w14:paraId="70A5BE44" w14:textId="31B4ADE0" w:rsidR="005D740A" w:rsidRPr="009574BB" w:rsidRDefault="005D740A" w:rsidP="00D01AA2">
      <w:pPr>
        <w:pStyle w:val="BodyText"/>
        <w:ind w:left="567"/>
        <w:rPr>
          <w:i/>
          <w:iCs/>
          <w:sz w:val="24"/>
          <w:szCs w:val="24"/>
        </w:rPr>
      </w:pPr>
      <w:r w:rsidRPr="009574BB">
        <w:rPr>
          <w:i/>
          <w:iCs/>
          <w:sz w:val="24"/>
          <w:szCs w:val="24"/>
        </w:rPr>
        <w:t>ii. providing adequate living and storage space and sufficient shared cooking, laundry and amenity areas (..); and</w:t>
      </w:r>
    </w:p>
    <w:p w14:paraId="7432BEE3" w14:textId="77777777" w:rsidR="005D740A" w:rsidRPr="009574BB" w:rsidRDefault="005D740A" w:rsidP="00D01AA2">
      <w:pPr>
        <w:pStyle w:val="BodyText"/>
        <w:ind w:left="567"/>
        <w:rPr>
          <w:i/>
          <w:iCs/>
          <w:sz w:val="24"/>
          <w:szCs w:val="24"/>
        </w:rPr>
      </w:pPr>
      <w:r w:rsidRPr="009574BB">
        <w:rPr>
          <w:i/>
          <w:iCs/>
          <w:sz w:val="24"/>
          <w:szCs w:val="24"/>
        </w:rPr>
        <w:t>iii. being supported by a management plan which shows how the development will be managed and maintained to ensure the continued quality of the accommodation, communal facilities and services (and which should be secured by means of a planning condition).</w:t>
      </w:r>
    </w:p>
    <w:p w14:paraId="2F072730" w14:textId="77777777" w:rsidR="003D1042" w:rsidRPr="009574BB" w:rsidRDefault="003D1042" w:rsidP="00D01AA2">
      <w:pPr>
        <w:pStyle w:val="BodyText"/>
        <w:ind w:left="567"/>
        <w:rPr>
          <w:i/>
          <w:iCs/>
          <w:sz w:val="24"/>
          <w:szCs w:val="24"/>
        </w:rPr>
      </w:pPr>
    </w:p>
    <w:p w14:paraId="43AF0AE5" w14:textId="0B888CCC" w:rsidR="00023C94" w:rsidRPr="00023C94" w:rsidRDefault="00023C94" w:rsidP="00D01AA2">
      <w:pPr>
        <w:pStyle w:val="ListParagraph"/>
        <w:numPr>
          <w:ilvl w:val="1"/>
          <w:numId w:val="1"/>
        </w:numPr>
        <w:ind w:left="567" w:hanging="567"/>
        <w:rPr>
          <w:sz w:val="24"/>
          <w:szCs w:val="24"/>
        </w:rPr>
      </w:pPr>
      <w:r w:rsidRPr="00023C94">
        <w:rPr>
          <w:sz w:val="24"/>
          <w:szCs w:val="24"/>
        </w:rPr>
        <w:t>The requirement of ‘</w:t>
      </w:r>
      <w:r w:rsidRPr="00023C94">
        <w:rPr>
          <w:i/>
          <w:iCs/>
          <w:sz w:val="24"/>
          <w:szCs w:val="24"/>
        </w:rPr>
        <w:t xml:space="preserve">providing adequate living and storage space and sufficient shared cooking, laundry and amenity areas’ </w:t>
      </w:r>
      <w:r w:rsidRPr="00023C94">
        <w:rPr>
          <w:sz w:val="24"/>
          <w:szCs w:val="24"/>
        </w:rPr>
        <w:t>is particularly important, as it creates a requirement and places an obligation on local authorities to consider what exactly constitutes ‘</w:t>
      </w:r>
      <w:r w:rsidRPr="00023C94">
        <w:rPr>
          <w:i/>
          <w:iCs/>
          <w:sz w:val="24"/>
          <w:szCs w:val="24"/>
        </w:rPr>
        <w:t>adequate</w:t>
      </w:r>
      <w:r w:rsidRPr="00023C94">
        <w:rPr>
          <w:sz w:val="24"/>
          <w:szCs w:val="24"/>
        </w:rPr>
        <w:t>’ and ‘</w:t>
      </w:r>
      <w:r w:rsidRPr="00023C94">
        <w:rPr>
          <w:i/>
          <w:iCs/>
          <w:sz w:val="24"/>
          <w:szCs w:val="24"/>
        </w:rPr>
        <w:t>sufficient</w:t>
      </w:r>
      <w:r w:rsidRPr="00023C94">
        <w:rPr>
          <w:sz w:val="24"/>
          <w:szCs w:val="24"/>
        </w:rPr>
        <w:t>’ ‘</w:t>
      </w:r>
      <w:r w:rsidRPr="00023C94">
        <w:rPr>
          <w:i/>
          <w:iCs/>
          <w:sz w:val="24"/>
          <w:szCs w:val="24"/>
        </w:rPr>
        <w:t>living and storage spaces</w:t>
      </w:r>
      <w:r w:rsidRPr="00023C94">
        <w:rPr>
          <w:sz w:val="24"/>
          <w:szCs w:val="24"/>
        </w:rPr>
        <w:t>,’ and shared ‘</w:t>
      </w:r>
      <w:r w:rsidRPr="00023C94">
        <w:rPr>
          <w:i/>
          <w:iCs/>
          <w:sz w:val="24"/>
          <w:szCs w:val="24"/>
        </w:rPr>
        <w:t xml:space="preserve">cooking, laundry and amenity areas,’ </w:t>
      </w:r>
      <w:r w:rsidRPr="00023C94">
        <w:rPr>
          <w:sz w:val="24"/>
          <w:szCs w:val="24"/>
        </w:rPr>
        <w:t xml:space="preserve">as no further </w:t>
      </w:r>
      <w:r w:rsidR="00E876CE">
        <w:rPr>
          <w:sz w:val="24"/>
          <w:szCs w:val="24"/>
        </w:rPr>
        <w:t xml:space="preserve">guidance </w:t>
      </w:r>
      <w:r w:rsidR="00563D75">
        <w:rPr>
          <w:sz w:val="24"/>
          <w:szCs w:val="24"/>
        </w:rPr>
        <w:t>is provided on the criteria and quantum for this, beyond the general provisions for housing</w:t>
      </w:r>
      <w:r w:rsidR="009B634E">
        <w:rPr>
          <w:sz w:val="24"/>
          <w:szCs w:val="24"/>
        </w:rPr>
        <w:t xml:space="preserve">. </w:t>
      </w:r>
    </w:p>
    <w:p w14:paraId="27CE9DCD" w14:textId="2D41CF94" w:rsidR="00023C94" w:rsidRDefault="00023C94" w:rsidP="00217759">
      <w:pPr>
        <w:pStyle w:val="ListParagraph"/>
        <w:ind w:left="567" w:firstLine="0"/>
        <w:rPr>
          <w:sz w:val="24"/>
          <w:szCs w:val="24"/>
        </w:rPr>
      </w:pPr>
    </w:p>
    <w:p w14:paraId="4E489173" w14:textId="5B42AC08" w:rsidR="00851963" w:rsidRDefault="00297909" w:rsidP="00B93DAD">
      <w:pPr>
        <w:pStyle w:val="ListParagraph"/>
        <w:numPr>
          <w:ilvl w:val="1"/>
          <w:numId w:val="1"/>
        </w:numPr>
        <w:ind w:left="567" w:hanging="567"/>
        <w:rPr>
          <w:sz w:val="24"/>
          <w:szCs w:val="24"/>
        </w:rPr>
      </w:pPr>
      <w:r w:rsidRPr="0052152A">
        <w:rPr>
          <w:sz w:val="24"/>
          <w:szCs w:val="24"/>
        </w:rPr>
        <w:t>The Draft NPPF continues to strengthen the government’s ambition for</w:t>
      </w:r>
      <w:r w:rsidRPr="0052152A" w:rsidDel="00CB2E09">
        <w:rPr>
          <w:sz w:val="24"/>
          <w:szCs w:val="24"/>
        </w:rPr>
        <w:t xml:space="preserve"> </w:t>
      </w:r>
      <w:r w:rsidR="00271EF6" w:rsidRPr="0052152A">
        <w:rPr>
          <w:sz w:val="24"/>
          <w:szCs w:val="24"/>
        </w:rPr>
        <w:t>higher</w:t>
      </w:r>
      <w:r w:rsidR="00271EF6" w:rsidRPr="0052152A">
        <w:rPr>
          <w:rFonts w:ascii="Cambria Math" w:hAnsi="Cambria Math" w:cs="Cambria Math"/>
          <w:sz w:val="24"/>
          <w:szCs w:val="24"/>
        </w:rPr>
        <w:t>‑</w:t>
      </w:r>
      <w:r w:rsidR="00271EF6" w:rsidRPr="0052152A">
        <w:rPr>
          <w:sz w:val="24"/>
          <w:szCs w:val="24"/>
        </w:rPr>
        <w:t xml:space="preserve">density, efficient use of land, particularly in sustainable urban locations. It </w:t>
      </w:r>
      <w:r w:rsidR="00A13421" w:rsidRPr="0052152A">
        <w:rPr>
          <w:sz w:val="24"/>
          <w:szCs w:val="24"/>
        </w:rPr>
        <w:t xml:space="preserve">aims to contribute towards </w:t>
      </w:r>
      <w:r w:rsidR="001978FA" w:rsidRPr="0052152A">
        <w:rPr>
          <w:sz w:val="24"/>
          <w:szCs w:val="24"/>
        </w:rPr>
        <w:t xml:space="preserve">a </w:t>
      </w:r>
      <w:r w:rsidR="00A13421" w:rsidRPr="0052152A">
        <w:rPr>
          <w:sz w:val="24"/>
          <w:szCs w:val="24"/>
        </w:rPr>
        <w:t>diversified housing offer that meets the needs of different groups, including renters, students, and those seeking non</w:t>
      </w:r>
      <w:r w:rsidR="00A13421" w:rsidRPr="0052152A">
        <w:rPr>
          <w:rFonts w:ascii="Cambria Math" w:hAnsi="Cambria Math" w:cs="Cambria Math"/>
          <w:sz w:val="24"/>
          <w:szCs w:val="24"/>
        </w:rPr>
        <w:t>‑</w:t>
      </w:r>
      <w:r w:rsidR="00A13421" w:rsidRPr="0052152A">
        <w:rPr>
          <w:sz w:val="24"/>
          <w:szCs w:val="24"/>
        </w:rPr>
        <w:t>traditional housing typologies.</w:t>
      </w:r>
      <w:r w:rsidR="00851963" w:rsidRPr="0052152A">
        <w:rPr>
          <w:sz w:val="24"/>
          <w:szCs w:val="24"/>
        </w:rPr>
        <w:t xml:space="preserve"> </w:t>
      </w:r>
      <w:r w:rsidR="001678E1" w:rsidRPr="0052152A">
        <w:rPr>
          <w:sz w:val="24"/>
          <w:szCs w:val="24"/>
        </w:rPr>
        <w:t>However, t</w:t>
      </w:r>
      <w:r w:rsidR="00851963" w:rsidRPr="0052152A">
        <w:rPr>
          <w:sz w:val="24"/>
          <w:szCs w:val="24"/>
        </w:rPr>
        <w:t xml:space="preserve">here </w:t>
      </w:r>
      <w:r w:rsidR="001678E1" w:rsidRPr="0052152A">
        <w:rPr>
          <w:sz w:val="24"/>
          <w:szCs w:val="24"/>
        </w:rPr>
        <w:t>remains a</w:t>
      </w:r>
      <w:r w:rsidR="00851963" w:rsidRPr="0052152A">
        <w:rPr>
          <w:sz w:val="24"/>
          <w:szCs w:val="24"/>
        </w:rPr>
        <w:t xml:space="preserve"> strong expectation for design quality, management, and living standards, especially for higher</w:t>
      </w:r>
      <w:r w:rsidR="00851963" w:rsidRPr="0052152A">
        <w:rPr>
          <w:rFonts w:ascii="Cambria Math" w:hAnsi="Cambria Math" w:cs="Cambria Math"/>
          <w:sz w:val="24"/>
          <w:szCs w:val="24"/>
        </w:rPr>
        <w:t>‑</w:t>
      </w:r>
      <w:r w:rsidR="00851963" w:rsidRPr="0052152A">
        <w:rPr>
          <w:sz w:val="24"/>
          <w:szCs w:val="24"/>
        </w:rPr>
        <w:t>intensity forms of accommodation.</w:t>
      </w:r>
    </w:p>
    <w:p w14:paraId="1E311C14" w14:textId="77777777" w:rsidR="000D7E08" w:rsidRPr="00DB547F" w:rsidRDefault="000D7E08" w:rsidP="00DB547F">
      <w:pPr>
        <w:pStyle w:val="ListParagraph"/>
        <w:rPr>
          <w:sz w:val="24"/>
          <w:szCs w:val="24"/>
        </w:rPr>
      </w:pPr>
    </w:p>
    <w:p w14:paraId="10E68E85" w14:textId="125501A1" w:rsidR="00A13421" w:rsidRPr="0052152A" w:rsidRDefault="00224470" w:rsidP="00426E30">
      <w:pPr>
        <w:pStyle w:val="ListParagraph"/>
        <w:numPr>
          <w:ilvl w:val="1"/>
          <w:numId w:val="1"/>
        </w:numPr>
        <w:ind w:left="567" w:hanging="567"/>
        <w:rPr>
          <w:sz w:val="24"/>
          <w:szCs w:val="24"/>
        </w:rPr>
      </w:pPr>
      <w:r w:rsidRPr="0052152A">
        <w:rPr>
          <w:sz w:val="24"/>
          <w:szCs w:val="24"/>
        </w:rPr>
        <w:t>The Draft NPPF sets out specific requirements for large</w:t>
      </w:r>
      <w:r w:rsidRPr="0052152A">
        <w:rPr>
          <w:rFonts w:ascii="Cambria Math" w:hAnsi="Cambria Math" w:cs="Cambria Math"/>
          <w:sz w:val="24"/>
          <w:szCs w:val="24"/>
        </w:rPr>
        <w:t>‑</w:t>
      </w:r>
      <w:r w:rsidRPr="0052152A">
        <w:rPr>
          <w:sz w:val="24"/>
          <w:szCs w:val="24"/>
        </w:rPr>
        <w:t xml:space="preserve">scale shared living. Regarding location and Accessibility, developments should be located where residents can access everyday services easily and safely by walking, wheeling or public transport. They should </w:t>
      </w:r>
      <w:r w:rsidRPr="0052152A">
        <w:rPr>
          <w:sz w:val="24"/>
          <w:szCs w:val="24"/>
        </w:rPr>
        <w:lastRenderedPageBreak/>
        <w:t>demonstrate good connectivity and reduce reliance on private car use.</w:t>
      </w:r>
    </w:p>
    <w:p w14:paraId="7E0C5D35" w14:textId="066F05DB" w:rsidR="00363807" w:rsidRDefault="00306C4E" w:rsidP="6457BD98">
      <w:pPr>
        <w:pStyle w:val="BodyText"/>
        <w:numPr>
          <w:ilvl w:val="1"/>
          <w:numId w:val="1"/>
        </w:numPr>
        <w:spacing w:before="6"/>
        <w:ind w:left="567" w:hanging="567"/>
        <w:rPr>
          <w:sz w:val="24"/>
          <w:szCs w:val="24"/>
        </w:rPr>
      </w:pPr>
      <w:r w:rsidRPr="0052152A">
        <w:rPr>
          <w:sz w:val="24"/>
          <w:szCs w:val="24"/>
        </w:rPr>
        <w:t>Under the Draft guidance, co</w:t>
      </w:r>
      <w:r w:rsidRPr="0052152A">
        <w:rPr>
          <w:rFonts w:ascii="Cambria Math" w:hAnsi="Cambria Math" w:cs="Cambria Math"/>
          <w:sz w:val="24"/>
          <w:szCs w:val="24"/>
        </w:rPr>
        <w:t>‑</w:t>
      </w:r>
      <w:r w:rsidRPr="0052152A">
        <w:rPr>
          <w:sz w:val="24"/>
          <w:szCs w:val="24"/>
        </w:rPr>
        <w:t>living proposals would be required to demonstrate a robust management plan showing how the building and shared facilities will be managed and maintained long</w:t>
      </w:r>
      <w:r w:rsidRPr="0052152A">
        <w:rPr>
          <w:rFonts w:ascii="Cambria Math" w:hAnsi="Cambria Math" w:cs="Cambria Math"/>
          <w:sz w:val="24"/>
          <w:szCs w:val="24"/>
        </w:rPr>
        <w:t>‑</w:t>
      </w:r>
      <w:r w:rsidRPr="0052152A">
        <w:rPr>
          <w:sz w:val="24"/>
          <w:szCs w:val="24"/>
        </w:rPr>
        <w:t>term. This must be secured by planning condition and form part of the planning submission.</w:t>
      </w:r>
    </w:p>
    <w:p w14:paraId="7366415A" w14:textId="3F726088" w:rsidR="001B5600" w:rsidRDefault="001B5600">
      <w:pPr>
        <w:rPr>
          <w:b/>
          <w:bCs/>
          <w:color w:val="414042"/>
          <w:sz w:val="28"/>
          <w:szCs w:val="28"/>
        </w:rPr>
      </w:pPr>
      <w:bookmarkStart w:id="16" w:name="_Toc34736322"/>
      <w:bookmarkStart w:id="17" w:name="_Toc205205420"/>
    </w:p>
    <w:p w14:paraId="233B69F8" w14:textId="302415D4" w:rsidR="00E4049F" w:rsidRPr="00DB547F" w:rsidRDefault="734DA9D3" w:rsidP="00DB547F">
      <w:pPr>
        <w:rPr>
          <w:i/>
          <w:iCs/>
        </w:rPr>
      </w:pPr>
      <w:r w:rsidRPr="00DB547F">
        <w:rPr>
          <w:b/>
          <w:bCs/>
          <w:i/>
          <w:iCs/>
          <w:sz w:val="24"/>
          <w:szCs w:val="24"/>
        </w:rPr>
        <w:t>Local Policy Context</w:t>
      </w:r>
      <w:bookmarkEnd w:id="16"/>
      <w:bookmarkEnd w:id="17"/>
    </w:p>
    <w:p w14:paraId="0CA987C4" w14:textId="77777777" w:rsidR="0029769E" w:rsidRDefault="0029769E" w:rsidP="00D01AA2">
      <w:pPr>
        <w:pStyle w:val="BodyText"/>
      </w:pPr>
    </w:p>
    <w:p w14:paraId="095D5F58" w14:textId="21EE2224" w:rsidR="0029769E" w:rsidRPr="00405277" w:rsidRDefault="5565403A" w:rsidP="00DB547F">
      <w:pPr>
        <w:pStyle w:val="Heading2"/>
      </w:pPr>
      <w:bookmarkStart w:id="18" w:name="_Toc229489649"/>
      <w:bookmarkStart w:id="19" w:name="_Toc205205421"/>
      <w:r w:rsidRPr="00405277">
        <w:t>Nottingham City Aligned Core Strategy (ACS)</w:t>
      </w:r>
      <w:r w:rsidR="0077754F" w:rsidRPr="005B6CD3">
        <w:t xml:space="preserve"> (adopted </w:t>
      </w:r>
      <w:r w:rsidR="0077754F">
        <w:t>2014</w:t>
      </w:r>
      <w:r w:rsidR="0077754F" w:rsidRPr="005B6CD3">
        <w:t>)</w:t>
      </w:r>
      <w:bookmarkEnd w:id="18"/>
      <w:bookmarkEnd w:id="19"/>
    </w:p>
    <w:p w14:paraId="531A8A39" w14:textId="77777777" w:rsidR="00C07965" w:rsidRPr="00D01AA2" w:rsidRDefault="00C07965" w:rsidP="00105B9C">
      <w:pPr>
        <w:pStyle w:val="BodyText"/>
      </w:pPr>
    </w:p>
    <w:p w14:paraId="167A4061" w14:textId="3855E965" w:rsidR="0029769E" w:rsidRDefault="009216D8" w:rsidP="003D0221">
      <w:pPr>
        <w:pStyle w:val="BodyText"/>
        <w:numPr>
          <w:ilvl w:val="1"/>
          <w:numId w:val="1"/>
        </w:numPr>
        <w:spacing w:before="6"/>
        <w:ind w:left="567" w:hanging="567"/>
        <w:rPr>
          <w:sz w:val="24"/>
        </w:rPr>
      </w:pPr>
      <w:hyperlink r:id="rId21" w:anchor="page=52" w:history="1">
        <w:r w:rsidRPr="009216D8">
          <w:rPr>
            <w:rStyle w:val="Hyperlink"/>
            <w:sz w:val="24"/>
          </w:rPr>
          <w:t>Policy 2</w:t>
        </w:r>
        <w:r w:rsidR="00F70C13">
          <w:rPr>
            <w:rStyle w:val="Hyperlink"/>
            <w:sz w:val="24"/>
          </w:rPr>
          <w:t xml:space="preserve"> -</w:t>
        </w:r>
        <w:r w:rsidRPr="009216D8">
          <w:rPr>
            <w:rStyle w:val="Hyperlink"/>
            <w:sz w:val="24"/>
          </w:rPr>
          <w:t xml:space="preserve"> The Spatial Strategy</w:t>
        </w:r>
      </w:hyperlink>
      <w:r w:rsidR="00466B53">
        <w:rPr>
          <w:sz w:val="24"/>
        </w:rPr>
        <w:t xml:space="preserve"> of the ACS </w:t>
      </w:r>
      <w:r w:rsidR="005816DD" w:rsidRPr="005816DD">
        <w:rPr>
          <w:sz w:val="24"/>
        </w:rPr>
        <w:t xml:space="preserve">supports a minimum of 17,150 new homes in Nottingham City by 2028, with a focus on regeneration </w:t>
      </w:r>
      <w:r w:rsidR="00944E46">
        <w:rPr>
          <w:sz w:val="24"/>
        </w:rPr>
        <w:t>and brownfield sites</w:t>
      </w:r>
      <w:r w:rsidR="005816DD" w:rsidRPr="005816DD">
        <w:rPr>
          <w:sz w:val="24"/>
        </w:rPr>
        <w:t>. Co-living projects, which typically target compact, urban sites, fit within this framework by contributing to housing targets in central</w:t>
      </w:r>
      <w:r w:rsidR="00944E46">
        <w:rPr>
          <w:sz w:val="24"/>
        </w:rPr>
        <w:t xml:space="preserve"> and </w:t>
      </w:r>
      <w:r w:rsidR="00AE100B">
        <w:rPr>
          <w:sz w:val="24"/>
        </w:rPr>
        <w:t>accessible and sustainable</w:t>
      </w:r>
      <w:r w:rsidR="005816DD" w:rsidRPr="005816DD">
        <w:rPr>
          <w:sz w:val="24"/>
        </w:rPr>
        <w:t xml:space="preserve"> locations.</w:t>
      </w:r>
    </w:p>
    <w:p w14:paraId="380464F7" w14:textId="77777777" w:rsidR="005B6CD3" w:rsidRDefault="005B6CD3" w:rsidP="005B6CD3">
      <w:pPr>
        <w:pStyle w:val="BodyText"/>
        <w:spacing w:before="6"/>
        <w:rPr>
          <w:sz w:val="24"/>
        </w:rPr>
      </w:pPr>
    </w:p>
    <w:p w14:paraId="6F97FC5A" w14:textId="74348247" w:rsidR="0029769E" w:rsidRDefault="009216D8" w:rsidP="003D0221">
      <w:pPr>
        <w:pStyle w:val="BodyText"/>
        <w:numPr>
          <w:ilvl w:val="1"/>
          <w:numId w:val="1"/>
        </w:numPr>
        <w:spacing w:before="6"/>
        <w:ind w:left="567" w:hanging="567"/>
        <w:rPr>
          <w:sz w:val="24"/>
        </w:rPr>
      </w:pPr>
      <w:hyperlink r:id="rId22" w:anchor="page=90" w:history="1">
        <w:r w:rsidRPr="00F70C13">
          <w:rPr>
            <w:rStyle w:val="Hyperlink"/>
            <w:sz w:val="24"/>
          </w:rPr>
          <w:t>Policy 8 - Housing Size, Mix and Choice</w:t>
        </w:r>
      </w:hyperlink>
      <w:r>
        <w:rPr>
          <w:sz w:val="24"/>
        </w:rPr>
        <w:t xml:space="preserve"> </w:t>
      </w:r>
      <w:r w:rsidR="005B6CD3" w:rsidRPr="005B6CD3">
        <w:rPr>
          <w:sz w:val="24"/>
        </w:rPr>
        <w:t>encourages developments to provide a mix of housing sizes and tenures, including affordable housing, to address local needs. It specifically notes the importance of smaller units (</w:t>
      </w:r>
      <w:r w:rsidR="004A10D0" w:rsidRPr="005B6CD3">
        <w:rPr>
          <w:sz w:val="24"/>
        </w:rPr>
        <w:t>e</w:t>
      </w:r>
      <w:r w:rsidR="004A10D0">
        <w:rPr>
          <w:sz w:val="24"/>
        </w:rPr>
        <w:t>.g.</w:t>
      </w:r>
      <w:r w:rsidR="005B6CD3" w:rsidRPr="005B6CD3">
        <w:rPr>
          <w:sz w:val="24"/>
        </w:rPr>
        <w:t>, one- and two-bedroom homes) in urban areas, which aligns with the typical unit size in co-living schemes. Additionally, the policy supports innovative housing solutions to meet changing demographic needs</w:t>
      </w:r>
      <w:r w:rsidR="005B6CD3">
        <w:rPr>
          <w:sz w:val="24"/>
        </w:rPr>
        <w:t>.</w:t>
      </w:r>
    </w:p>
    <w:p w14:paraId="0F0DED31" w14:textId="77777777" w:rsidR="008C5EE5" w:rsidRDefault="008C5EE5" w:rsidP="00217759">
      <w:pPr>
        <w:pStyle w:val="ListParagraph"/>
        <w:rPr>
          <w:sz w:val="24"/>
        </w:rPr>
      </w:pPr>
    </w:p>
    <w:p w14:paraId="0009B268" w14:textId="1E535FEC" w:rsidR="008C5EE5" w:rsidRPr="00217759" w:rsidRDefault="008C5EE5" w:rsidP="00D641B9">
      <w:pPr>
        <w:pStyle w:val="NormP"/>
        <w:ind w:hanging="567"/>
      </w:pPr>
      <w:r>
        <w:t>Of particular importance is the wording in Policy 8 that “</w:t>
      </w:r>
      <w:r w:rsidR="00D02FEA" w:rsidRPr="00217759">
        <w:t xml:space="preserve">Residential development should maintain, provide and contribute to a mix of housing tenures, types and sizes </w:t>
      </w:r>
      <w:proofErr w:type="gramStart"/>
      <w:r w:rsidR="00D02FEA" w:rsidRPr="00217759">
        <w:t>in order to</w:t>
      </w:r>
      <w:proofErr w:type="gramEnd"/>
      <w:r w:rsidR="00D02FEA" w:rsidRPr="00217759">
        <w:t xml:space="preserve"> create sustainable, inclusive and mixed communities. </w:t>
      </w:r>
      <w:r w:rsidR="00D02FEA" w:rsidRPr="00217759">
        <w:rPr>
          <w:u w:val="single"/>
        </w:rPr>
        <w:t>All residential developments should contain adequate internal living space</w:t>
      </w:r>
      <w:r w:rsidR="00D02FEA" w:rsidRPr="00442EE1">
        <w:rPr>
          <w:u w:val="single"/>
        </w:rPr>
        <w:t>.</w:t>
      </w:r>
      <w:r w:rsidR="00D02FEA" w:rsidRPr="00217759">
        <w:t xml:space="preserve"> </w:t>
      </w:r>
      <w:r w:rsidR="00BF3467" w:rsidRPr="00217759">
        <w:t>…</w:t>
      </w:r>
    </w:p>
    <w:p w14:paraId="2D394F74" w14:textId="77777777" w:rsidR="00D02FEA" w:rsidRDefault="00D02FEA" w:rsidP="00DB547F">
      <w:pPr>
        <w:pStyle w:val="ListParagraph"/>
        <w:ind w:left="567"/>
        <w:rPr>
          <w:u w:val="single"/>
        </w:rPr>
      </w:pPr>
    </w:p>
    <w:p w14:paraId="13368281" w14:textId="48F51DF7" w:rsidR="00D02FEA" w:rsidRPr="00442EE1" w:rsidRDefault="00442EE1" w:rsidP="00D641B9">
      <w:pPr>
        <w:pStyle w:val="NormP"/>
        <w:ind w:hanging="567"/>
      </w:pPr>
      <w:r w:rsidRPr="00217759">
        <w:t xml:space="preserve">This, in conjunction with the requirements from the NPPF, places </w:t>
      </w:r>
      <w:r w:rsidRPr="00442EE1">
        <w:t>an</w:t>
      </w:r>
      <w:r w:rsidRPr="00217759">
        <w:t xml:space="preserve"> o</w:t>
      </w:r>
      <w:r>
        <w:t xml:space="preserve">bligation </w:t>
      </w:r>
      <w:r w:rsidRPr="00217759">
        <w:t>on local authorities to ensure that any residential development approved, including those for co-living</w:t>
      </w:r>
      <w:r>
        <w:t xml:space="preserve">, that the quantum of space provided is adequate for residents’ needs. </w:t>
      </w:r>
      <w:r w:rsidRPr="00217759">
        <w:t xml:space="preserve"> </w:t>
      </w:r>
    </w:p>
    <w:p w14:paraId="45FB3806" w14:textId="77777777" w:rsidR="005B6CD3" w:rsidRDefault="005B6CD3" w:rsidP="00F70C13">
      <w:pPr>
        <w:pStyle w:val="BodyText"/>
        <w:spacing w:before="6"/>
        <w:rPr>
          <w:sz w:val="24"/>
        </w:rPr>
      </w:pPr>
    </w:p>
    <w:p w14:paraId="4BD5C79F" w14:textId="757455AC" w:rsidR="0029769E" w:rsidRDefault="0029769E" w:rsidP="00DB547F">
      <w:pPr>
        <w:pStyle w:val="Heading2"/>
      </w:pPr>
      <w:bookmarkStart w:id="20" w:name="_Toc229489650"/>
      <w:r w:rsidRPr="0029769E">
        <w:t xml:space="preserve">Local Plan Part 2 - Nottingham City Land and Planning Policies Development Plan </w:t>
      </w:r>
      <w:r w:rsidRPr="005B6CD3">
        <w:t>Document (LAPP) (adopted 2020)</w:t>
      </w:r>
      <w:bookmarkEnd w:id="20"/>
    </w:p>
    <w:p w14:paraId="6A87C855" w14:textId="77777777" w:rsidR="005B6CD3" w:rsidRPr="0029769E" w:rsidRDefault="005B6CD3" w:rsidP="0029769E">
      <w:pPr>
        <w:pStyle w:val="BodyText"/>
        <w:spacing w:before="6"/>
        <w:ind w:left="567"/>
        <w:rPr>
          <w:sz w:val="24"/>
        </w:rPr>
      </w:pPr>
    </w:p>
    <w:p w14:paraId="697F9C94" w14:textId="254C401C" w:rsidR="00280BAD" w:rsidRPr="00442EE1" w:rsidRDefault="00462F9B" w:rsidP="003D0221">
      <w:pPr>
        <w:pStyle w:val="BodyText"/>
        <w:numPr>
          <w:ilvl w:val="1"/>
          <w:numId w:val="1"/>
        </w:numPr>
        <w:spacing w:before="6"/>
        <w:ind w:left="567" w:hanging="567"/>
        <w:rPr>
          <w:sz w:val="24"/>
        </w:rPr>
      </w:pPr>
      <w:r w:rsidRPr="00725947">
        <w:rPr>
          <w:sz w:val="24"/>
          <w:szCs w:val="24"/>
        </w:rPr>
        <w:t>The Nottingham Local Plan does not include specific policies for co-living schemes but includes several relevant policies</w:t>
      </w:r>
      <w:r w:rsidR="00B83711">
        <w:rPr>
          <w:sz w:val="24"/>
          <w:szCs w:val="24"/>
        </w:rPr>
        <w:t xml:space="preserve"> that will be </w:t>
      </w:r>
      <w:r w:rsidR="00335E3A">
        <w:rPr>
          <w:sz w:val="24"/>
          <w:szCs w:val="24"/>
        </w:rPr>
        <w:t>considered</w:t>
      </w:r>
      <w:r w:rsidR="00B83711">
        <w:rPr>
          <w:sz w:val="24"/>
          <w:szCs w:val="24"/>
        </w:rPr>
        <w:t xml:space="preserve"> when assessing co</w:t>
      </w:r>
      <w:r w:rsidR="00502464">
        <w:rPr>
          <w:sz w:val="24"/>
          <w:szCs w:val="24"/>
        </w:rPr>
        <w:t>-</w:t>
      </w:r>
      <w:r w:rsidR="00B83711">
        <w:rPr>
          <w:sz w:val="24"/>
          <w:szCs w:val="24"/>
        </w:rPr>
        <w:t>living schemes</w:t>
      </w:r>
      <w:r w:rsidR="00725947" w:rsidRPr="00725947">
        <w:rPr>
          <w:sz w:val="24"/>
          <w:szCs w:val="24"/>
        </w:rPr>
        <w:t>.</w:t>
      </w:r>
    </w:p>
    <w:p w14:paraId="0AB8E7FB" w14:textId="77777777" w:rsidR="00442EE1" w:rsidRPr="00870C28" w:rsidRDefault="00442EE1" w:rsidP="00217759">
      <w:pPr>
        <w:pStyle w:val="BodyText"/>
        <w:spacing w:before="6"/>
        <w:ind w:left="567"/>
        <w:rPr>
          <w:sz w:val="24"/>
        </w:rPr>
      </w:pPr>
    </w:p>
    <w:p w14:paraId="0AB51327" w14:textId="2B5F7DB9" w:rsidR="00215866" w:rsidRDefault="00F70C13" w:rsidP="00D01AA2">
      <w:pPr>
        <w:pStyle w:val="BodyText"/>
        <w:numPr>
          <w:ilvl w:val="1"/>
          <w:numId w:val="1"/>
        </w:numPr>
        <w:spacing w:before="6"/>
        <w:ind w:left="567" w:hanging="567"/>
        <w:rPr>
          <w:sz w:val="24"/>
        </w:rPr>
      </w:pPr>
      <w:hyperlink r:id="rId23" w:anchor="page=109" w:history="1">
        <w:r w:rsidRPr="00C345E8">
          <w:rPr>
            <w:rStyle w:val="Hyperlink"/>
            <w:sz w:val="24"/>
          </w:rPr>
          <w:t>Policy DE1 - Building Design and Use</w:t>
        </w:r>
      </w:hyperlink>
      <w:r w:rsidRPr="00C345E8">
        <w:rPr>
          <w:sz w:val="24"/>
        </w:rPr>
        <w:t xml:space="preserve"> </w:t>
      </w:r>
      <w:r w:rsidR="00C20E2C" w:rsidRPr="00C345E8">
        <w:rPr>
          <w:sz w:val="24"/>
        </w:rPr>
        <w:t>is relevant to co-living development</w:t>
      </w:r>
      <w:r w:rsidR="00DC7708" w:rsidRPr="00C345E8">
        <w:rPr>
          <w:sz w:val="24"/>
        </w:rPr>
        <w:t>s</w:t>
      </w:r>
      <w:r w:rsidR="00C20E2C" w:rsidRPr="00C345E8">
        <w:rPr>
          <w:sz w:val="24"/>
        </w:rPr>
        <w:t xml:space="preserve"> as it promotes high-quality design and sustainable development in Nottingham. </w:t>
      </w:r>
      <w:r w:rsidR="00C662C3" w:rsidRPr="00C345E8">
        <w:rPr>
          <w:sz w:val="24"/>
        </w:rPr>
        <w:t>The policy</w:t>
      </w:r>
      <w:r w:rsidR="00C20E2C" w:rsidRPr="00C345E8">
        <w:rPr>
          <w:sz w:val="24"/>
        </w:rPr>
        <w:t xml:space="preserve"> emphasises creating well-designed, inclusive, and adaptable living spaces that meet diverse housing needs, aligning with the co-living model’s focus on shared, flexible, and community-oriented accommodations.</w:t>
      </w:r>
      <w:r w:rsidR="00DE17DA" w:rsidRPr="00C345E8">
        <w:rPr>
          <w:sz w:val="24"/>
        </w:rPr>
        <w:t xml:space="preserve"> The Policy sets </w:t>
      </w:r>
      <w:r w:rsidR="00DB393E" w:rsidRPr="00C345E8">
        <w:rPr>
          <w:sz w:val="24"/>
        </w:rPr>
        <w:t>out the</w:t>
      </w:r>
      <w:r w:rsidR="00DE17DA" w:rsidRPr="00C345E8">
        <w:rPr>
          <w:sz w:val="24"/>
        </w:rPr>
        <w:t xml:space="preserve"> requirement for </w:t>
      </w:r>
      <w:r w:rsidR="00AB0451" w:rsidRPr="00C345E8">
        <w:rPr>
          <w:sz w:val="24"/>
        </w:rPr>
        <w:t xml:space="preserve">all </w:t>
      </w:r>
      <w:r w:rsidR="00DE17DA" w:rsidRPr="00C345E8">
        <w:rPr>
          <w:sz w:val="24"/>
        </w:rPr>
        <w:t xml:space="preserve">residential developments </w:t>
      </w:r>
      <w:r w:rsidR="0064258B">
        <w:rPr>
          <w:sz w:val="24"/>
        </w:rPr>
        <w:t xml:space="preserve">in NCC </w:t>
      </w:r>
      <w:r w:rsidR="00DE17DA" w:rsidRPr="00C345E8">
        <w:rPr>
          <w:sz w:val="24"/>
        </w:rPr>
        <w:t xml:space="preserve">to meet </w:t>
      </w:r>
      <w:r w:rsidR="007706E5">
        <w:rPr>
          <w:sz w:val="24"/>
        </w:rPr>
        <w:t>NDSS</w:t>
      </w:r>
      <w:r w:rsidRPr="00C345E8">
        <w:rPr>
          <w:sz w:val="24"/>
        </w:rPr>
        <w:t xml:space="preserve"> (as set out in </w:t>
      </w:r>
      <w:hyperlink r:id="rId24" w:anchor="page=111" w:history="1">
        <w:r w:rsidRPr="00C345E8">
          <w:rPr>
            <w:rStyle w:val="Hyperlink"/>
            <w:sz w:val="24"/>
          </w:rPr>
          <w:t>table 5</w:t>
        </w:r>
      </w:hyperlink>
      <w:r w:rsidRPr="00C345E8">
        <w:rPr>
          <w:sz w:val="24"/>
        </w:rPr>
        <w:t xml:space="preserve"> of the LAPP)</w:t>
      </w:r>
      <w:r w:rsidR="00ED68C1" w:rsidRPr="00C345E8">
        <w:rPr>
          <w:sz w:val="24"/>
        </w:rPr>
        <w:t xml:space="preserve">, with the caveat that these standards are specifically set for dwellings </w:t>
      </w:r>
      <w:r w:rsidR="00AB0451" w:rsidRPr="00C345E8">
        <w:rPr>
          <w:sz w:val="24"/>
        </w:rPr>
        <w:t>of 1 to 6 bedrooms</w:t>
      </w:r>
      <w:r w:rsidR="00DE17DA" w:rsidRPr="00C345E8">
        <w:rPr>
          <w:sz w:val="24"/>
        </w:rPr>
        <w:t>.</w:t>
      </w:r>
      <w:r w:rsidR="00B124A4" w:rsidRPr="00C345E8">
        <w:rPr>
          <w:sz w:val="24"/>
        </w:rPr>
        <w:t xml:space="preserve"> </w:t>
      </w:r>
    </w:p>
    <w:p w14:paraId="4BC26252" w14:textId="77777777" w:rsidR="00215866" w:rsidRDefault="00215866">
      <w:pPr>
        <w:pStyle w:val="BodyText"/>
        <w:spacing w:before="6"/>
        <w:ind w:left="567"/>
        <w:rPr>
          <w:sz w:val="24"/>
        </w:rPr>
      </w:pPr>
    </w:p>
    <w:p w14:paraId="2A2DAB25" w14:textId="6C9C4C16" w:rsidR="00C20E2C" w:rsidRDefault="00557C21" w:rsidP="00D01AA2">
      <w:pPr>
        <w:pStyle w:val="BodyText"/>
        <w:numPr>
          <w:ilvl w:val="1"/>
          <w:numId w:val="1"/>
        </w:numPr>
        <w:spacing w:before="6"/>
        <w:ind w:left="567" w:hanging="567"/>
        <w:rPr>
          <w:sz w:val="24"/>
        </w:rPr>
      </w:pPr>
      <w:r w:rsidRPr="0020554B">
        <w:rPr>
          <w:sz w:val="24"/>
        </w:rPr>
        <w:t xml:space="preserve">While “dwelling” is not explicitly defined, the established </w:t>
      </w:r>
      <w:r w:rsidR="00E049F8" w:rsidRPr="00D01AA2">
        <w:t>Gravesham test</w:t>
      </w:r>
      <w:r w:rsidRPr="0020554B">
        <w:rPr>
          <w:sz w:val="24"/>
        </w:rPr>
        <w:t xml:space="preserve"> is </w:t>
      </w:r>
      <w:r w:rsidR="00CE2A83" w:rsidRPr="0020554B">
        <w:rPr>
          <w:sz w:val="24"/>
        </w:rPr>
        <w:t xml:space="preserve">that a dwelling is </w:t>
      </w:r>
      <w:r w:rsidRPr="0020554B">
        <w:rPr>
          <w:sz w:val="24"/>
        </w:rPr>
        <w:t>‘</w:t>
      </w:r>
      <w:r w:rsidRPr="00217759">
        <w:rPr>
          <w:i/>
          <w:iCs/>
          <w:sz w:val="24"/>
        </w:rPr>
        <w:t>a unit of residential accommodation which provides the facilities needed for day-to-day private domestic existence</w:t>
      </w:r>
      <w:r w:rsidR="00E049F8">
        <w:rPr>
          <w:rStyle w:val="FootnoteReference"/>
          <w:i/>
          <w:iCs/>
          <w:sz w:val="24"/>
        </w:rPr>
        <w:footnoteReference w:id="1"/>
      </w:r>
      <w:r w:rsidRPr="0020554B">
        <w:rPr>
          <w:sz w:val="24"/>
        </w:rPr>
        <w:t>.’ A co</w:t>
      </w:r>
      <w:r w:rsidR="00630C2A" w:rsidRPr="0020554B">
        <w:rPr>
          <w:sz w:val="24"/>
        </w:rPr>
        <w:t>-l</w:t>
      </w:r>
      <w:r w:rsidRPr="0020554B">
        <w:rPr>
          <w:sz w:val="24"/>
        </w:rPr>
        <w:t>iving studio can in principle meet these criteria</w:t>
      </w:r>
      <w:r w:rsidR="00CE2A83" w:rsidRPr="0020554B">
        <w:rPr>
          <w:sz w:val="24"/>
        </w:rPr>
        <w:t xml:space="preserve">, </w:t>
      </w:r>
      <w:r w:rsidR="00CE2A83" w:rsidRPr="0020554B">
        <w:rPr>
          <w:sz w:val="24"/>
        </w:rPr>
        <w:lastRenderedPageBreak/>
        <w:t xml:space="preserve">noting that </w:t>
      </w:r>
      <w:r w:rsidR="00215866" w:rsidRPr="0020554B">
        <w:rPr>
          <w:sz w:val="24"/>
        </w:rPr>
        <w:t>a</w:t>
      </w:r>
      <w:r w:rsidR="00E2159F" w:rsidRPr="0020554B">
        <w:rPr>
          <w:sz w:val="24"/>
        </w:rPr>
        <w:t xml:space="preserve"> dwelling can</w:t>
      </w:r>
      <w:r w:rsidR="001C5CCE" w:rsidRPr="0020554B">
        <w:rPr>
          <w:sz w:val="24"/>
        </w:rPr>
        <w:t>, at least in part,</w:t>
      </w:r>
      <w:r w:rsidR="00E2159F" w:rsidRPr="0020554B">
        <w:rPr>
          <w:sz w:val="24"/>
        </w:rPr>
        <w:t xml:space="preserve"> be non-self-contained, provided that the</w:t>
      </w:r>
      <w:r w:rsidR="00C345E8" w:rsidRPr="0020554B">
        <w:rPr>
          <w:sz w:val="24"/>
        </w:rPr>
        <w:t xml:space="preserve"> unit has at least the elementary requirements for </w:t>
      </w:r>
      <w:r w:rsidR="001C5CCE" w:rsidRPr="0020554B">
        <w:rPr>
          <w:sz w:val="24"/>
        </w:rPr>
        <w:t>‘</w:t>
      </w:r>
      <w:r w:rsidR="00C345E8" w:rsidRPr="0020554B">
        <w:rPr>
          <w:i/>
          <w:iCs/>
          <w:sz w:val="24"/>
        </w:rPr>
        <w:t>day-to-day private domestic existence</w:t>
      </w:r>
      <w:r w:rsidR="0020554B" w:rsidRPr="0020554B">
        <w:rPr>
          <w:i/>
          <w:iCs/>
          <w:sz w:val="24"/>
        </w:rPr>
        <w:t>,</w:t>
      </w:r>
      <w:r w:rsidR="001C5CCE" w:rsidRPr="0020554B">
        <w:rPr>
          <w:i/>
          <w:iCs/>
          <w:sz w:val="24"/>
        </w:rPr>
        <w:t>’</w:t>
      </w:r>
      <w:r w:rsidR="0020554B" w:rsidRPr="0020554B">
        <w:rPr>
          <w:i/>
          <w:iCs/>
          <w:sz w:val="24"/>
        </w:rPr>
        <w:t xml:space="preserve"> </w:t>
      </w:r>
      <w:r w:rsidR="0020554B" w:rsidRPr="00217759">
        <w:rPr>
          <w:sz w:val="24"/>
        </w:rPr>
        <w:t>and where</w:t>
      </w:r>
      <w:r w:rsidR="00C345E8" w:rsidRPr="00217759">
        <w:rPr>
          <w:sz w:val="24"/>
        </w:rPr>
        <w:t xml:space="preserve"> </w:t>
      </w:r>
      <w:r w:rsidR="0020554B" w:rsidRPr="00217759">
        <w:rPr>
          <w:sz w:val="24"/>
        </w:rPr>
        <w:t>communal reliance does not undermine the “</w:t>
      </w:r>
      <w:r w:rsidR="0020554B" w:rsidRPr="005828CF">
        <w:rPr>
          <w:i/>
          <w:iCs/>
          <w:sz w:val="24"/>
        </w:rPr>
        <w:t>private</w:t>
      </w:r>
      <w:r w:rsidR="0020554B" w:rsidRPr="00217759">
        <w:rPr>
          <w:sz w:val="24"/>
        </w:rPr>
        <w:t>” nature of day</w:t>
      </w:r>
      <w:r w:rsidR="0020554B" w:rsidRPr="00217759">
        <w:rPr>
          <w:rFonts w:ascii="Cambria Math" w:hAnsi="Cambria Math" w:cs="Cambria Math"/>
          <w:sz w:val="24"/>
        </w:rPr>
        <w:t>‑</w:t>
      </w:r>
      <w:r w:rsidR="0020554B" w:rsidRPr="00217759">
        <w:rPr>
          <w:sz w:val="24"/>
        </w:rPr>
        <w:t>to</w:t>
      </w:r>
      <w:r w:rsidR="0020554B" w:rsidRPr="00217759">
        <w:rPr>
          <w:rFonts w:ascii="Cambria Math" w:hAnsi="Cambria Math" w:cs="Cambria Math"/>
          <w:sz w:val="24"/>
        </w:rPr>
        <w:t>‑</w:t>
      </w:r>
      <w:r w:rsidR="0020554B" w:rsidRPr="00217759">
        <w:rPr>
          <w:sz w:val="24"/>
        </w:rPr>
        <w:t>day living</w:t>
      </w:r>
      <w:r w:rsidR="0020554B" w:rsidRPr="0020554B">
        <w:rPr>
          <w:sz w:val="24"/>
        </w:rPr>
        <w:t xml:space="preserve">. </w:t>
      </w:r>
      <w:r w:rsidR="009E0DD0" w:rsidRPr="0020554B">
        <w:rPr>
          <w:sz w:val="24"/>
        </w:rPr>
        <w:t>This requirement is also not affected by the use class of the unit</w:t>
      </w:r>
      <w:r w:rsidR="00E16E5E" w:rsidRPr="0020554B">
        <w:rPr>
          <w:sz w:val="24"/>
        </w:rPr>
        <w:t xml:space="preserve">, provided that </w:t>
      </w:r>
      <w:r w:rsidR="005637AC" w:rsidRPr="0020554B">
        <w:rPr>
          <w:sz w:val="24"/>
        </w:rPr>
        <w:t>its</w:t>
      </w:r>
      <w:r w:rsidR="00E16E5E" w:rsidRPr="0020554B">
        <w:rPr>
          <w:sz w:val="24"/>
        </w:rPr>
        <w:t xml:space="preserve"> primary use is residential.</w:t>
      </w:r>
      <w:r w:rsidR="00F84DF0">
        <w:rPr>
          <w:sz w:val="24"/>
        </w:rPr>
        <w:t xml:space="preserve"> </w:t>
      </w:r>
      <w:r w:rsidR="00EA5C44">
        <w:rPr>
          <w:sz w:val="24"/>
        </w:rPr>
        <w:t>Thus, w</w:t>
      </w:r>
      <w:r w:rsidR="00F84DF0">
        <w:rPr>
          <w:sz w:val="24"/>
        </w:rPr>
        <w:t xml:space="preserve">hether a unit is </w:t>
      </w:r>
      <w:r w:rsidR="00224178">
        <w:rPr>
          <w:sz w:val="24"/>
        </w:rPr>
        <w:t xml:space="preserve">a </w:t>
      </w:r>
      <w:r w:rsidR="00F84DF0">
        <w:rPr>
          <w:sz w:val="24"/>
        </w:rPr>
        <w:t xml:space="preserve">dwelling is thus a </w:t>
      </w:r>
      <w:r w:rsidR="00EA5C44" w:rsidRPr="00EA5C44">
        <w:rPr>
          <w:sz w:val="24"/>
        </w:rPr>
        <w:t>matter of fact and degree</w:t>
      </w:r>
      <w:r w:rsidR="00EA5C44">
        <w:rPr>
          <w:sz w:val="24"/>
        </w:rPr>
        <w:t xml:space="preserve">, not typology. </w:t>
      </w:r>
      <w:r w:rsidR="00E16E5E" w:rsidRPr="0020554B">
        <w:rPr>
          <w:sz w:val="24"/>
        </w:rPr>
        <w:t xml:space="preserve"> </w:t>
      </w:r>
    </w:p>
    <w:p w14:paraId="2E751EBC" w14:textId="77777777" w:rsidR="00680678" w:rsidRDefault="00680678" w:rsidP="00957116">
      <w:pPr>
        <w:pStyle w:val="ListParagraph"/>
        <w:rPr>
          <w:sz w:val="24"/>
        </w:rPr>
      </w:pPr>
    </w:p>
    <w:p w14:paraId="42721AA6" w14:textId="67183C01" w:rsidR="00680678" w:rsidRPr="0020554B" w:rsidRDefault="00285357" w:rsidP="00D01AA2">
      <w:pPr>
        <w:pStyle w:val="BodyText"/>
        <w:numPr>
          <w:ilvl w:val="1"/>
          <w:numId w:val="1"/>
        </w:numPr>
        <w:spacing w:before="6"/>
        <w:ind w:left="567" w:hanging="567"/>
        <w:rPr>
          <w:sz w:val="24"/>
        </w:rPr>
      </w:pPr>
      <w:r>
        <w:rPr>
          <w:sz w:val="24"/>
        </w:rPr>
        <w:t>Policy DE1 also emphasises in paragraph 4.78 that ‘</w:t>
      </w:r>
      <w:r w:rsidRPr="00285357">
        <w:rPr>
          <w:sz w:val="24"/>
        </w:rPr>
        <w:t>dwellings should provide a satisfactory environment for occupants</w:t>
      </w:r>
      <w:r>
        <w:rPr>
          <w:sz w:val="24"/>
        </w:rPr>
        <w:t>’</w:t>
      </w:r>
      <w:r w:rsidR="00C44BF4">
        <w:rPr>
          <w:sz w:val="24"/>
        </w:rPr>
        <w:t xml:space="preserve">, echoing the requirement of ACS Policy 8. </w:t>
      </w:r>
      <w:r w:rsidR="00C224FA">
        <w:rPr>
          <w:sz w:val="24"/>
        </w:rPr>
        <w:t>It further states that new dwellings are ‘</w:t>
      </w:r>
      <w:r w:rsidR="00C224FA" w:rsidRPr="00217759">
        <w:rPr>
          <w:i/>
          <w:iCs/>
          <w:sz w:val="24"/>
        </w:rPr>
        <w:t>expected to meet the Government’s Nationally Described Space Standard unless there is clear evidence to demonstrate that this would not be viable or technically feasible and that a satisfactory standard of accommodation can still be achieved</w:t>
      </w:r>
      <w:r w:rsidR="00C224FA" w:rsidRPr="00C224FA">
        <w:rPr>
          <w:sz w:val="24"/>
        </w:rPr>
        <w:t>.</w:t>
      </w:r>
      <w:r w:rsidR="00C224FA">
        <w:rPr>
          <w:sz w:val="24"/>
        </w:rPr>
        <w:t>’</w:t>
      </w:r>
      <w:r>
        <w:rPr>
          <w:sz w:val="24"/>
        </w:rPr>
        <w:t xml:space="preserve"> </w:t>
      </w:r>
    </w:p>
    <w:p w14:paraId="282CA7C0" w14:textId="77777777" w:rsidR="00DB393E" w:rsidRDefault="00DB393E" w:rsidP="00DB393E">
      <w:pPr>
        <w:pStyle w:val="ListParagraph"/>
        <w:rPr>
          <w:sz w:val="24"/>
        </w:rPr>
      </w:pPr>
    </w:p>
    <w:p w14:paraId="45D21998" w14:textId="77F90EE9" w:rsidR="00DB393E" w:rsidRDefault="00F70C13" w:rsidP="003D0221">
      <w:pPr>
        <w:pStyle w:val="BodyText"/>
        <w:numPr>
          <w:ilvl w:val="1"/>
          <w:numId w:val="1"/>
        </w:numPr>
        <w:spacing w:before="6"/>
        <w:ind w:left="567" w:hanging="567"/>
        <w:rPr>
          <w:sz w:val="24"/>
        </w:rPr>
      </w:pPr>
      <w:hyperlink r:id="rId25" w:anchor="page=113" w:history="1">
        <w:r w:rsidRPr="00F70C13">
          <w:rPr>
            <w:rStyle w:val="Hyperlink"/>
            <w:sz w:val="24"/>
          </w:rPr>
          <w:t>Policy DE2 - Context and Place Making</w:t>
        </w:r>
      </w:hyperlink>
      <w:r w:rsidRPr="00F70C13">
        <w:rPr>
          <w:sz w:val="24"/>
        </w:rPr>
        <w:t xml:space="preserve"> </w:t>
      </w:r>
      <w:r w:rsidR="00DB393E">
        <w:rPr>
          <w:sz w:val="24"/>
        </w:rPr>
        <w:t>f</w:t>
      </w:r>
      <w:r w:rsidR="00DB393E" w:rsidRPr="00DB393E">
        <w:rPr>
          <w:sz w:val="24"/>
        </w:rPr>
        <w:t>ocuses on context and place-making. It requires new developments to respect and enhance the character, context, and identity of their surroundings through high-quality design. Proposals must consider local distinctiveness, topography, heritage, and landscape features, ensuring they create safe, inclusive, and sustainable places. The policy emphasi</w:t>
      </w:r>
      <w:r w:rsidR="00DB393E">
        <w:rPr>
          <w:sz w:val="24"/>
        </w:rPr>
        <w:t>s</w:t>
      </w:r>
      <w:r w:rsidR="00DB393E" w:rsidRPr="00DB393E">
        <w:rPr>
          <w:sz w:val="24"/>
        </w:rPr>
        <w:t>es integrating developments with existing communities, promoting accessibility, and enhancing the public realm to support vibrant urban environments.</w:t>
      </w:r>
    </w:p>
    <w:p w14:paraId="70688103" w14:textId="77777777" w:rsidR="004B6CA0" w:rsidRPr="004B6CA0" w:rsidRDefault="004B6CA0" w:rsidP="005D4361">
      <w:pPr>
        <w:pStyle w:val="BodyText"/>
        <w:spacing w:before="6"/>
        <w:rPr>
          <w:sz w:val="24"/>
        </w:rPr>
      </w:pPr>
    </w:p>
    <w:p w14:paraId="443A4ADD" w14:textId="7BC38891" w:rsidR="00553A0D" w:rsidRDefault="00F70C13" w:rsidP="00553A0D">
      <w:pPr>
        <w:pStyle w:val="BodyText"/>
        <w:numPr>
          <w:ilvl w:val="1"/>
          <w:numId w:val="1"/>
        </w:numPr>
        <w:spacing w:before="6"/>
        <w:ind w:left="567" w:hanging="567"/>
        <w:rPr>
          <w:sz w:val="24"/>
        </w:rPr>
      </w:pPr>
      <w:hyperlink r:id="rId26" w:anchor="page=90" w:history="1">
        <w:r w:rsidRPr="00F70C13">
          <w:rPr>
            <w:rStyle w:val="Hyperlink"/>
            <w:sz w:val="24"/>
          </w:rPr>
          <w:t>Policy HO1 - Housing Mix</w:t>
        </w:r>
      </w:hyperlink>
      <w:r w:rsidRPr="00F70C13">
        <w:rPr>
          <w:sz w:val="24"/>
        </w:rPr>
        <w:t xml:space="preserve"> </w:t>
      </w:r>
      <w:r w:rsidR="0087022B">
        <w:rPr>
          <w:sz w:val="24"/>
        </w:rPr>
        <w:t>requests</w:t>
      </w:r>
      <w:r w:rsidR="00DE2E91" w:rsidRPr="00DE2E91">
        <w:rPr>
          <w:sz w:val="24"/>
        </w:rPr>
        <w:t xml:space="preserve"> delivering a mix of housing types, sizes, and tenures to meet diverse community needs. It encourages innovative housing solutions, including those that address affordability and cater to specific groups such as young professionals or students, which aligns with the co-living model’s emphasis on shared, flexible, and cost-effective living spaces</w:t>
      </w:r>
      <w:r w:rsidR="00DE76E9" w:rsidRPr="00DE2E91">
        <w:rPr>
          <w:sz w:val="24"/>
        </w:rPr>
        <w:t xml:space="preserve">. </w:t>
      </w:r>
      <w:r w:rsidR="00B9740B">
        <w:rPr>
          <w:sz w:val="24"/>
        </w:rPr>
        <w:t>For co-living schemes</w:t>
      </w:r>
      <w:r w:rsidR="007D7387">
        <w:rPr>
          <w:sz w:val="24"/>
        </w:rPr>
        <w:t xml:space="preserve">, </w:t>
      </w:r>
      <w:r w:rsidR="002831D1">
        <w:rPr>
          <w:sz w:val="24"/>
        </w:rPr>
        <w:t xml:space="preserve">schemes are </w:t>
      </w:r>
      <w:r w:rsidR="00867230">
        <w:rPr>
          <w:sz w:val="24"/>
        </w:rPr>
        <w:t>encouraged</w:t>
      </w:r>
      <w:r w:rsidR="002831D1">
        <w:rPr>
          <w:sz w:val="24"/>
        </w:rPr>
        <w:t xml:space="preserve"> to have </w:t>
      </w:r>
      <w:r w:rsidR="007D7387">
        <w:rPr>
          <w:sz w:val="24"/>
        </w:rPr>
        <w:t xml:space="preserve">a mix of types of accommodation to adhere to the requirements of this </w:t>
      </w:r>
      <w:r w:rsidR="002831D1">
        <w:rPr>
          <w:sz w:val="24"/>
        </w:rPr>
        <w:t xml:space="preserve">guidance. </w:t>
      </w:r>
      <w:r w:rsidR="00DE76E9">
        <w:rPr>
          <w:sz w:val="24"/>
        </w:rPr>
        <w:t xml:space="preserve"> </w:t>
      </w:r>
    </w:p>
    <w:p w14:paraId="0B56E1EC" w14:textId="77777777" w:rsidR="00553A0D" w:rsidRDefault="00553A0D" w:rsidP="00553A0D">
      <w:pPr>
        <w:pStyle w:val="ListParagraph"/>
      </w:pPr>
    </w:p>
    <w:p w14:paraId="3B1AA5AB" w14:textId="1138E9FF" w:rsidR="004B6CA0" w:rsidRPr="00F65EE7" w:rsidRDefault="3F89C519" w:rsidP="00553A0D">
      <w:pPr>
        <w:pStyle w:val="BodyText"/>
        <w:numPr>
          <w:ilvl w:val="1"/>
          <w:numId w:val="1"/>
        </w:numPr>
        <w:spacing w:before="6"/>
        <w:ind w:left="567" w:hanging="567"/>
        <w:rPr>
          <w:sz w:val="24"/>
        </w:rPr>
      </w:pPr>
      <w:hyperlink r:id="rId27" w:anchor="page=95">
        <w:r w:rsidRPr="00553A0D">
          <w:rPr>
            <w:rStyle w:val="Hyperlink"/>
            <w:sz w:val="24"/>
            <w:szCs w:val="24"/>
          </w:rPr>
          <w:t>Policy HO3 - Affordable Housing</w:t>
        </w:r>
      </w:hyperlink>
      <w:r w:rsidRPr="00553A0D">
        <w:rPr>
          <w:sz w:val="24"/>
          <w:szCs w:val="24"/>
        </w:rPr>
        <w:t xml:space="preserve"> </w:t>
      </w:r>
      <w:r w:rsidR="00725947" w:rsidRPr="00553A0D">
        <w:rPr>
          <w:sz w:val="24"/>
          <w:szCs w:val="24"/>
        </w:rPr>
        <w:t>covers</w:t>
      </w:r>
      <w:r w:rsidR="09979B2B" w:rsidRPr="00553A0D">
        <w:rPr>
          <w:sz w:val="24"/>
          <w:szCs w:val="24"/>
        </w:rPr>
        <w:t xml:space="preserve"> on affordable housing.</w:t>
      </w:r>
      <w:r w:rsidR="00DB393E" w:rsidRPr="00553A0D">
        <w:rPr>
          <w:sz w:val="24"/>
          <w:szCs w:val="24"/>
        </w:rPr>
        <w:t xml:space="preserve"> It requires developments of 15 or more dwellings to provide a proportion of affordable housing, typically 20% in most areas, subject to viability. The policy aims to address local housing needs by ensuring a mix of tenures, including social rented and intermediate housing, and supports contributions from Purpose-Built Student Accommodation (PBSA) schemes via commuted sums, as detailed in the associated Supplementary Planning Document (SPD)</w:t>
      </w:r>
      <w:r w:rsidR="00DE76E9" w:rsidRPr="00553A0D">
        <w:rPr>
          <w:sz w:val="24"/>
          <w:szCs w:val="24"/>
        </w:rPr>
        <w:t xml:space="preserve">. </w:t>
      </w:r>
      <w:r w:rsidR="007D7387" w:rsidRPr="00553A0D">
        <w:rPr>
          <w:sz w:val="24"/>
          <w:szCs w:val="24"/>
        </w:rPr>
        <w:t>For clarification, t</w:t>
      </w:r>
      <w:r w:rsidR="00F70C13" w:rsidRPr="00553A0D">
        <w:rPr>
          <w:sz w:val="24"/>
          <w:szCs w:val="24"/>
        </w:rPr>
        <w:t>his policy also applies to co-living developments</w:t>
      </w:r>
      <w:r w:rsidR="00DE76E9" w:rsidRPr="00553A0D">
        <w:rPr>
          <w:sz w:val="24"/>
          <w:szCs w:val="24"/>
        </w:rPr>
        <w:t xml:space="preserve">. </w:t>
      </w:r>
      <w:r w:rsidR="0000317D" w:rsidRPr="00553A0D">
        <w:rPr>
          <w:sz w:val="24"/>
          <w:szCs w:val="24"/>
        </w:rPr>
        <w:t xml:space="preserve">There may be flexibility </w:t>
      </w:r>
      <w:r w:rsidR="00F75A22" w:rsidRPr="00553A0D">
        <w:rPr>
          <w:sz w:val="24"/>
          <w:szCs w:val="24"/>
        </w:rPr>
        <w:t xml:space="preserve">on these requirements </w:t>
      </w:r>
      <w:r w:rsidR="0000317D" w:rsidRPr="00553A0D">
        <w:rPr>
          <w:sz w:val="24"/>
          <w:szCs w:val="24"/>
        </w:rPr>
        <w:t xml:space="preserve">for </w:t>
      </w:r>
      <w:r w:rsidR="004C76A8" w:rsidRPr="00553A0D">
        <w:rPr>
          <w:sz w:val="24"/>
          <w:szCs w:val="24"/>
        </w:rPr>
        <w:t>co-living, b</w:t>
      </w:r>
      <w:r w:rsidR="0000317D" w:rsidRPr="00553A0D">
        <w:rPr>
          <w:sz w:val="24"/>
          <w:szCs w:val="24"/>
        </w:rPr>
        <w:t xml:space="preserve">uild to </w:t>
      </w:r>
      <w:r w:rsidR="004C76A8" w:rsidRPr="00553A0D">
        <w:rPr>
          <w:sz w:val="24"/>
          <w:szCs w:val="24"/>
        </w:rPr>
        <w:t>r</w:t>
      </w:r>
      <w:r w:rsidR="0000317D" w:rsidRPr="00553A0D">
        <w:rPr>
          <w:sz w:val="24"/>
          <w:szCs w:val="24"/>
        </w:rPr>
        <w:t xml:space="preserve">ent and </w:t>
      </w:r>
      <w:r w:rsidR="004C76A8" w:rsidRPr="00553A0D">
        <w:rPr>
          <w:sz w:val="24"/>
          <w:szCs w:val="24"/>
        </w:rPr>
        <w:t xml:space="preserve">other </w:t>
      </w:r>
      <w:r w:rsidR="0000317D" w:rsidRPr="00553A0D">
        <w:rPr>
          <w:sz w:val="24"/>
          <w:szCs w:val="24"/>
        </w:rPr>
        <w:t xml:space="preserve">specialist accommodation, </w:t>
      </w:r>
      <w:r w:rsidR="00F75A22" w:rsidRPr="00553A0D">
        <w:rPr>
          <w:sz w:val="24"/>
          <w:szCs w:val="24"/>
        </w:rPr>
        <w:t>but this will be dependent on</w:t>
      </w:r>
      <w:r w:rsidR="008C7A48" w:rsidRPr="00553A0D">
        <w:rPr>
          <w:sz w:val="24"/>
          <w:szCs w:val="24"/>
        </w:rPr>
        <w:t xml:space="preserve"> a viability assessment being submitted to justify any deviation from normal targets</w:t>
      </w:r>
      <w:r w:rsidR="00DE76E9" w:rsidRPr="00553A0D">
        <w:rPr>
          <w:sz w:val="24"/>
          <w:szCs w:val="24"/>
        </w:rPr>
        <w:t xml:space="preserve">. </w:t>
      </w:r>
    </w:p>
    <w:p w14:paraId="74D4BA0A" w14:textId="77777777" w:rsidR="007A165B" w:rsidRDefault="007A165B" w:rsidP="00D01AA2">
      <w:pPr>
        <w:pStyle w:val="ListParagraph"/>
        <w:rPr>
          <w:sz w:val="24"/>
        </w:rPr>
      </w:pPr>
    </w:p>
    <w:p w14:paraId="30F16378" w14:textId="7125269C" w:rsidR="006A3DF3" w:rsidRDefault="00F70C13" w:rsidP="003D0221">
      <w:pPr>
        <w:pStyle w:val="BodyText"/>
        <w:numPr>
          <w:ilvl w:val="1"/>
          <w:numId w:val="1"/>
        </w:numPr>
        <w:spacing w:before="6"/>
        <w:ind w:left="567" w:hanging="567"/>
        <w:rPr>
          <w:sz w:val="24"/>
          <w:szCs w:val="24"/>
        </w:rPr>
      </w:pPr>
      <w:hyperlink r:id="rId28" w:anchor="page=182">
        <w:r w:rsidRPr="1AE859CD">
          <w:rPr>
            <w:rStyle w:val="Hyperlink"/>
            <w:sz w:val="24"/>
            <w:szCs w:val="24"/>
          </w:rPr>
          <w:t>Policy IN4 - Developer Contributions</w:t>
        </w:r>
      </w:hyperlink>
      <w:r w:rsidRPr="1AE859CD">
        <w:rPr>
          <w:sz w:val="24"/>
          <w:szCs w:val="24"/>
        </w:rPr>
        <w:t xml:space="preserve"> </w:t>
      </w:r>
      <w:r w:rsidR="0087022B" w:rsidRPr="1AE859CD">
        <w:rPr>
          <w:sz w:val="24"/>
          <w:szCs w:val="24"/>
        </w:rPr>
        <w:t>sets out</w:t>
      </w:r>
      <w:r w:rsidR="008C0D0A" w:rsidRPr="1AE859CD">
        <w:rPr>
          <w:sz w:val="24"/>
          <w:szCs w:val="24"/>
        </w:rPr>
        <w:t xml:space="preserve"> managing the impacts of new development on infrastructure, ensuring adequate provision of services and facilities. Co-living developments, which often cater to young professionals, and having shared amenities, require robust infrastructure support, such as </w:t>
      </w:r>
      <w:r w:rsidR="00082108" w:rsidRPr="1AE859CD">
        <w:rPr>
          <w:sz w:val="24"/>
          <w:szCs w:val="24"/>
        </w:rPr>
        <w:t>improvements to open space, highways, public realm, etc</w:t>
      </w:r>
      <w:r w:rsidR="008C0D0A" w:rsidRPr="1AE859CD">
        <w:rPr>
          <w:sz w:val="24"/>
          <w:szCs w:val="24"/>
        </w:rPr>
        <w:t>. Policy IN</w:t>
      </w:r>
      <w:r w:rsidR="00082108" w:rsidRPr="1AE859CD">
        <w:rPr>
          <w:sz w:val="24"/>
          <w:szCs w:val="24"/>
        </w:rPr>
        <w:t>4</w:t>
      </w:r>
      <w:r w:rsidR="008C0D0A" w:rsidRPr="1AE859CD">
        <w:rPr>
          <w:sz w:val="24"/>
          <w:szCs w:val="24"/>
        </w:rPr>
        <w:t xml:space="preserve"> supports these developments by requiring contributions to infrastructure improvements, ensuring co-living projects are sustainable and integrated into Nottingham’s urban </w:t>
      </w:r>
      <w:r w:rsidR="005D4361" w:rsidRPr="1AE859CD">
        <w:rPr>
          <w:sz w:val="24"/>
          <w:szCs w:val="24"/>
        </w:rPr>
        <w:t>form</w:t>
      </w:r>
      <w:r w:rsidR="008C0D0A" w:rsidRPr="1AE859CD">
        <w:rPr>
          <w:sz w:val="24"/>
          <w:szCs w:val="24"/>
        </w:rPr>
        <w:t>, enhancing their viability and community benefits</w:t>
      </w:r>
      <w:r w:rsidR="00DE76E9" w:rsidRPr="1AE859CD">
        <w:rPr>
          <w:sz w:val="24"/>
          <w:szCs w:val="24"/>
        </w:rPr>
        <w:t xml:space="preserve">. </w:t>
      </w:r>
      <w:r w:rsidR="006526CB" w:rsidRPr="1AE859CD">
        <w:rPr>
          <w:sz w:val="24"/>
          <w:szCs w:val="24"/>
        </w:rPr>
        <w:t xml:space="preserve">As a starting point it is likely that contributions will be requested for affordable housing, off-site public open space/public realm, and financial contribution to facilitate the delivery of the local employment and training opportunities.  Other contributions may also be negotiated </w:t>
      </w:r>
      <w:r w:rsidR="0052325E" w:rsidRPr="1AE859CD">
        <w:rPr>
          <w:sz w:val="24"/>
          <w:szCs w:val="24"/>
        </w:rPr>
        <w:t xml:space="preserve">on a </w:t>
      </w:r>
      <w:r w:rsidR="00D8055B" w:rsidRPr="1AE859CD">
        <w:rPr>
          <w:sz w:val="24"/>
          <w:szCs w:val="24"/>
        </w:rPr>
        <w:t>case-by-case</w:t>
      </w:r>
      <w:r w:rsidR="006526CB" w:rsidRPr="1AE859CD">
        <w:rPr>
          <w:sz w:val="24"/>
          <w:szCs w:val="24"/>
        </w:rPr>
        <w:t xml:space="preserve"> basis</w:t>
      </w:r>
      <w:r w:rsidR="00DE76E9" w:rsidRPr="1AE859CD">
        <w:rPr>
          <w:sz w:val="24"/>
          <w:szCs w:val="24"/>
        </w:rPr>
        <w:t xml:space="preserve">. </w:t>
      </w:r>
    </w:p>
    <w:p w14:paraId="22886825" w14:textId="77777777" w:rsidR="008C0D0A" w:rsidRPr="00543F05" w:rsidRDefault="008C0D0A" w:rsidP="008C0D0A">
      <w:pPr>
        <w:pStyle w:val="ListParagraph"/>
        <w:rPr>
          <w:szCs w:val="20"/>
        </w:rPr>
      </w:pPr>
    </w:p>
    <w:p w14:paraId="348D7F27" w14:textId="1466C6E5" w:rsidR="00DA2FB7" w:rsidRPr="00543F05" w:rsidRDefault="00CF262C" w:rsidP="00543F05">
      <w:pPr>
        <w:pStyle w:val="BodyText"/>
        <w:numPr>
          <w:ilvl w:val="1"/>
          <w:numId w:val="1"/>
        </w:numPr>
        <w:spacing w:before="6"/>
        <w:ind w:left="567" w:hanging="567"/>
        <w:rPr>
          <w:sz w:val="24"/>
        </w:rPr>
      </w:pPr>
      <w:r w:rsidRPr="00CF262C">
        <w:rPr>
          <w:sz w:val="24"/>
        </w:rPr>
        <w:t>In applying local plan policies to co</w:t>
      </w:r>
      <w:r w:rsidRPr="00CF262C">
        <w:rPr>
          <w:rFonts w:ascii="Cambria Math" w:hAnsi="Cambria Math" w:cs="Cambria Math"/>
          <w:sz w:val="24"/>
        </w:rPr>
        <w:t>‑</w:t>
      </w:r>
      <w:r w:rsidRPr="00CF262C">
        <w:rPr>
          <w:sz w:val="24"/>
        </w:rPr>
        <w:t xml:space="preserve">living proposals, significant weight will be placed on </w:t>
      </w:r>
      <w:r w:rsidRPr="00CF262C">
        <w:rPr>
          <w:sz w:val="24"/>
        </w:rPr>
        <w:lastRenderedPageBreak/>
        <w:t>accessibility, design quality, efficient land use and the contribution that such schemes make to meeting identified housing needs. This provides a consistent and transparent basis for assessing proposals in well</w:t>
      </w:r>
      <w:r w:rsidRPr="00CF262C">
        <w:rPr>
          <w:rFonts w:ascii="Cambria Math" w:hAnsi="Cambria Math" w:cs="Cambria Math"/>
          <w:sz w:val="24"/>
        </w:rPr>
        <w:t>‑</w:t>
      </w:r>
      <w:r w:rsidRPr="00CF262C">
        <w:rPr>
          <w:sz w:val="24"/>
        </w:rPr>
        <w:t>connected locations</w:t>
      </w:r>
      <w:r w:rsidR="00DE76E9" w:rsidRPr="00CF262C">
        <w:rPr>
          <w:sz w:val="24"/>
        </w:rPr>
        <w:t>.</w:t>
      </w:r>
      <w:r w:rsidR="00DE76E9">
        <w:rPr>
          <w:sz w:val="24"/>
        </w:rPr>
        <w:t xml:space="preserve"> </w:t>
      </w:r>
      <w:r w:rsidR="00DA2FB7" w:rsidRPr="00543F05">
        <w:rPr>
          <w:sz w:val="24"/>
        </w:rPr>
        <w:t>Other policies within the Local Plan may also be applicable depending on the specific nature of the proposed scheme</w:t>
      </w:r>
      <w:r w:rsidR="007D7387" w:rsidRPr="00543F05">
        <w:rPr>
          <w:sz w:val="24"/>
        </w:rPr>
        <w:t>.</w:t>
      </w:r>
    </w:p>
    <w:p w14:paraId="17A6C853" w14:textId="77777777" w:rsidR="000045F6" w:rsidRPr="00543F05" w:rsidRDefault="000045F6" w:rsidP="000045F6">
      <w:pPr>
        <w:pStyle w:val="BodyText"/>
        <w:spacing w:before="6"/>
        <w:ind w:left="567"/>
        <w:rPr>
          <w:szCs w:val="20"/>
        </w:rPr>
      </w:pPr>
    </w:p>
    <w:p w14:paraId="0FEEC495" w14:textId="052F2087" w:rsidR="000045F6" w:rsidRPr="00DB547F" w:rsidRDefault="000045F6" w:rsidP="0077754F">
      <w:pPr>
        <w:pStyle w:val="Heading2"/>
      </w:pPr>
      <w:bookmarkStart w:id="21" w:name="_Toc229489651"/>
      <w:r w:rsidRPr="0077754F">
        <w:t xml:space="preserve">Greater Nottingham Strategic Plan </w:t>
      </w:r>
      <w:r w:rsidR="00004060" w:rsidRPr="0077754F">
        <w:t xml:space="preserve">(GNSP) </w:t>
      </w:r>
      <w:r w:rsidRPr="0077754F">
        <w:t>Publication Version</w:t>
      </w:r>
      <w:bookmarkEnd w:id="21"/>
    </w:p>
    <w:p w14:paraId="26B6B0D9" w14:textId="77777777" w:rsidR="003B7DC4" w:rsidRPr="00543F05" w:rsidRDefault="003B7DC4" w:rsidP="00D01AA2">
      <w:pPr>
        <w:pStyle w:val="BodyText"/>
      </w:pPr>
    </w:p>
    <w:p w14:paraId="34A6B9CD" w14:textId="6341D176" w:rsidR="0028063B" w:rsidRDefault="00157F64" w:rsidP="0028063B">
      <w:pPr>
        <w:pStyle w:val="BodyText"/>
        <w:numPr>
          <w:ilvl w:val="1"/>
          <w:numId w:val="1"/>
        </w:numPr>
        <w:spacing w:before="6"/>
        <w:ind w:left="567" w:hanging="567"/>
        <w:rPr>
          <w:sz w:val="24"/>
        </w:rPr>
      </w:pPr>
      <w:r w:rsidRPr="007D7387">
        <w:rPr>
          <w:sz w:val="24"/>
        </w:rPr>
        <w:t xml:space="preserve">Nottingham City </w:t>
      </w:r>
      <w:r w:rsidR="000D2E0C">
        <w:rPr>
          <w:sz w:val="24"/>
        </w:rPr>
        <w:t>is currently working joint</w:t>
      </w:r>
      <w:r w:rsidR="00E3582D">
        <w:rPr>
          <w:sz w:val="24"/>
        </w:rPr>
        <w:t>l</w:t>
      </w:r>
      <w:r w:rsidR="000D2E0C">
        <w:rPr>
          <w:sz w:val="24"/>
        </w:rPr>
        <w:t xml:space="preserve">y on </w:t>
      </w:r>
      <w:r w:rsidR="00E3582D">
        <w:rPr>
          <w:sz w:val="24"/>
        </w:rPr>
        <w:t xml:space="preserve">this </w:t>
      </w:r>
      <w:r w:rsidR="000D2E0C">
        <w:rPr>
          <w:sz w:val="24"/>
        </w:rPr>
        <w:t>em</w:t>
      </w:r>
      <w:r w:rsidR="00E3582D">
        <w:rPr>
          <w:sz w:val="24"/>
        </w:rPr>
        <w:t>e</w:t>
      </w:r>
      <w:r w:rsidR="000D2E0C">
        <w:rPr>
          <w:sz w:val="24"/>
        </w:rPr>
        <w:t>rgi</w:t>
      </w:r>
      <w:r w:rsidR="00E3582D">
        <w:rPr>
          <w:sz w:val="24"/>
        </w:rPr>
        <w:t xml:space="preserve">ng plan with </w:t>
      </w:r>
      <w:r w:rsidRPr="007D7387">
        <w:rPr>
          <w:sz w:val="24"/>
        </w:rPr>
        <w:t xml:space="preserve">Rushcliffe Borough </w:t>
      </w:r>
      <w:r w:rsidR="00E3582D">
        <w:rPr>
          <w:sz w:val="24"/>
        </w:rPr>
        <w:t xml:space="preserve">and </w:t>
      </w:r>
      <w:r w:rsidR="007D7387">
        <w:rPr>
          <w:sz w:val="24"/>
        </w:rPr>
        <w:t>Broxtowe</w:t>
      </w:r>
      <w:r w:rsidR="00E3582D">
        <w:rPr>
          <w:sz w:val="24"/>
        </w:rPr>
        <w:t xml:space="preserve"> </w:t>
      </w:r>
      <w:r w:rsidR="00CA7C36">
        <w:rPr>
          <w:sz w:val="24"/>
        </w:rPr>
        <w:t xml:space="preserve">Borough </w:t>
      </w:r>
      <w:r w:rsidRPr="007D7387">
        <w:rPr>
          <w:sz w:val="24"/>
        </w:rPr>
        <w:t>Councils</w:t>
      </w:r>
      <w:r w:rsidR="00DE76E9">
        <w:rPr>
          <w:sz w:val="24"/>
        </w:rPr>
        <w:t xml:space="preserve">. </w:t>
      </w:r>
      <w:r w:rsidR="00AB3F17" w:rsidRPr="00AB3F17">
        <w:rPr>
          <w:sz w:val="24"/>
        </w:rPr>
        <w:t xml:space="preserve">The </w:t>
      </w:r>
      <w:r w:rsidR="00E80717">
        <w:rPr>
          <w:sz w:val="24"/>
        </w:rPr>
        <w:t>plan</w:t>
      </w:r>
      <w:r w:rsidR="00AB3F17" w:rsidRPr="00AB3F17">
        <w:rPr>
          <w:sz w:val="24"/>
        </w:rPr>
        <w:t xml:space="preserve"> was submitted for examination on 22</w:t>
      </w:r>
      <w:r w:rsidR="00E80717">
        <w:rPr>
          <w:sz w:val="24"/>
        </w:rPr>
        <w:t xml:space="preserve"> </w:t>
      </w:r>
      <w:r w:rsidR="00AB3F17" w:rsidRPr="00AB3F17">
        <w:rPr>
          <w:sz w:val="24"/>
        </w:rPr>
        <w:t xml:space="preserve">December </w:t>
      </w:r>
      <w:r w:rsidR="00D8055B" w:rsidRPr="00AB3F17">
        <w:rPr>
          <w:sz w:val="24"/>
        </w:rPr>
        <w:t>2025.</w:t>
      </w:r>
      <w:r w:rsidR="00AB3F17" w:rsidRPr="00AB3F17">
        <w:rPr>
          <w:sz w:val="24"/>
        </w:rPr>
        <w:t xml:space="preserve"> </w:t>
      </w:r>
      <w:r w:rsidR="00B07FE3">
        <w:rPr>
          <w:sz w:val="24"/>
        </w:rPr>
        <w:t>On adoption, t</w:t>
      </w:r>
      <w:r w:rsidR="00004060" w:rsidRPr="00004060">
        <w:rPr>
          <w:sz w:val="24"/>
        </w:rPr>
        <w:t>he GNSP will replace Part 1</w:t>
      </w:r>
      <w:r w:rsidR="00004060">
        <w:rPr>
          <w:sz w:val="24"/>
        </w:rPr>
        <w:t xml:space="preserve"> </w:t>
      </w:r>
      <w:r w:rsidR="00B07FE3">
        <w:rPr>
          <w:sz w:val="24"/>
        </w:rPr>
        <w:t>(ACS) of the Nottingham Local Plan</w:t>
      </w:r>
      <w:r w:rsidR="00004060" w:rsidRPr="00004060">
        <w:rPr>
          <w:sz w:val="24"/>
        </w:rPr>
        <w:t>, while Part 2</w:t>
      </w:r>
      <w:r w:rsidR="00B07FE3">
        <w:rPr>
          <w:sz w:val="24"/>
        </w:rPr>
        <w:t xml:space="preserve"> (LAPP)</w:t>
      </w:r>
      <w:r w:rsidR="00004060" w:rsidRPr="00004060">
        <w:rPr>
          <w:sz w:val="24"/>
        </w:rPr>
        <w:t xml:space="preserve"> remains in force.</w:t>
      </w:r>
    </w:p>
    <w:p w14:paraId="4A2A199B" w14:textId="77777777" w:rsidR="0028063B" w:rsidRDefault="0028063B" w:rsidP="00D01AA2">
      <w:pPr>
        <w:pStyle w:val="BodyText"/>
        <w:spacing w:before="6"/>
        <w:ind w:left="567"/>
        <w:rPr>
          <w:sz w:val="24"/>
        </w:rPr>
      </w:pPr>
    </w:p>
    <w:p w14:paraId="2E87F76F" w14:textId="77777777" w:rsidR="00D641B9" w:rsidRDefault="000B059A" w:rsidP="00D641B9">
      <w:pPr>
        <w:pStyle w:val="BodyText"/>
        <w:numPr>
          <w:ilvl w:val="1"/>
          <w:numId w:val="1"/>
        </w:numPr>
        <w:spacing w:before="6"/>
        <w:ind w:left="567" w:hanging="567"/>
        <w:rPr>
          <w:sz w:val="24"/>
        </w:rPr>
      </w:pPr>
      <w:hyperlink r:id="rId29" w:anchor="page=94" w:history="1">
        <w:r w:rsidRPr="00251253">
          <w:rPr>
            <w:rStyle w:val="Hyperlink"/>
            <w:sz w:val="24"/>
          </w:rPr>
          <w:t>Policy 8: Housing Size, Mix and Choice</w:t>
        </w:r>
        <w:r w:rsidR="00305124" w:rsidRPr="00251253">
          <w:rPr>
            <w:rStyle w:val="Hyperlink"/>
            <w:sz w:val="24"/>
          </w:rPr>
          <w:t xml:space="preserve"> (extract 8.1)</w:t>
        </w:r>
      </w:hyperlink>
      <w:r w:rsidR="00184576" w:rsidRPr="00251253">
        <w:t xml:space="preserve"> </w:t>
      </w:r>
      <w:r w:rsidR="00251253" w:rsidRPr="0028063B">
        <w:rPr>
          <w:sz w:val="24"/>
          <w:szCs w:val="24"/>
        </w:rPr>
        <w:t xml:space="preserve">establishes the importance of delivering residential development that contributes to a mix of housing types, sizes and tenures </w:t>
      </w:r>
      <w:proofErr w:type="gramStart"/>
      <w:r w:rsidR="00251253" w:rsidRPr="0028063B">
        <w:rPr>
          <w:sz w:val="24"/>
          <w:szCs w:val="24"/>
        </w:rPr>
        <w:t>in order to</w:t>
      </w:r>
      <w:proofErr w:type="gramEnd"/>
      <w:r w:rsidR="00251253" w:rsidRPr="0028063B">
        <w:rPr>
          <w:sz w:val="24"/>
          <w:szCs w:val="24"/>
        </w:rPr>
        <w:t xml:space="preserve"> support sustainable and inclusive communities. It also requires that residential development provides adequate internal living space, with the </w:t>
      </w:r>
      <w:r w:rsidR="007706E5">
        <w:rPr>
          <w:sz w:val="24"/>
          <w:szCs w:val="24"/>
        </w:rPr>
        <w:t>NDSS</w:t>
      </w:r>
      <w:r w:rsidR="00251253" w:rsidRPr="0028063B">
        <w:rPr>
          <w:sz w:val="24"/>
          <w:szCs w:val="24"/>
        </w:rPr>
        <w:t xml:space="preserve"> identified as the relevant benchmark. In the context of co</w:t>
      </w:r>
      <w:r w:rsidR="00251253" w:rsidRPr="0028063B">
        <w:rPr>
          <w:rFonts w:ascii="Cambria Math" w:hAnsi="Cambria Math" w:cs="Cambria Math"/>
          <w:sz w:val="24"/>
          <w:szCs w:val="24"/>
        </w:rPr>
        <w:t>‑</w:t>
      </w:r>
      <w:r w:rsidR="00251253" w:rsidRPr="0028063B">
        <w:rPr>
          <w:sz w:val="24"/>
          <w:szCs w:val="24"/>
        </w:rPr>
        <w:t>living, this policy provides the basis for assessing whether proposals deliver acceptable living conditions, while recognising that the NDSS may not be a perfect fit for this typology.</w:t>
      </w:r>
      <w:bookmarkStart w:id="22" w:name="_Toc205205422"/>
      <w:bookmarkStart w:id="23" w:name="_Toc229489652"/>
    </w:p>
    <w:p w14:paraId="312C1D9D" w14:textId="77777777" w:rsidR="00D641B9" w:rsidRDefault="00D641B9" w:rsidP="00D641B9">
      <w:pPr>
        <w:pStyle w:val="BodyText"/>
        <w:spacing w:before="6"/>
        <w:ind w:left="567"/>
        <w:rPr>
          <w:sz w:val="24"/>
        </w:rPr>
      </w:pPr>
    </w:p>
    <w:p w14:paraId="401FB4FF" w14:textId="0478E409" w:rsidR="00FF1508" w:rsidRPr="00D641B9" w:rsidRDefault="01E9E7B0" w:rsidP="00D641B9">
      <w:pPr>
        <w:pStyle w:val="BodyText"/>
        <w:spacing w:before="6"/>
        <w:rPr>
          <w:b/>
          <w:bCs/>
          <w:sz w:val="24"/>
          <w:szCs w:val="24"/>
        </w:rPr>
      </w:pPr>
      <w:r w:rsidRPr="00D641B9">
        <w:rPr>
          <w:b/>
          <w:bCs/>
          <w:sz w:val="24"/>
          <w:szCs w:val="24"/>
        </w:rPr>
        <w:t>Sustainability Appraisal (SA)</w:t>
      </w:r>
      <w:bookmarkEnd w:id="22"/>
      <w:bookmarkEnd w:id="23"/>
    </w:p>
    <w:p w14:paraId="1B6F6199" w14:textId="77777777" w:rsidR="00FF1508" w:rsidRPr="00543F05" w:rsidRDefault="00FF1508" w:rsidP="00FF1508">
      <w:pPr>
        <w:pStyle w:val="BodyText"/>
        <w:spacing w:before="10"/>
        <w:rPr>
          <w:sz w:val="28"/>
          <w:szCs w:val="20"/>
        </w:rPr>
      </w:pPr>
    </w:p>
    <w:p w14:paraId="3AFED68F" w14:textId="27F94B67" w:rsidR="004D7D88" w:rsidRPr="00DF2067" w:rsidRDefault="00724560" w:rsidP="00DF2067">
      <w:pPr>
        <w:pStyle w:val="BodyText"/>
        <w:numPr>
          <w:ilvl w:val="1"/>
          <w:numId w:val="1"/>
        </w:numPr>
        <w:spacing w:before="6"/>
        <w:ind w:left="567" w:hanging="567"/>
        <w:rPr>
          <w:sz w:val="24"/>
          <w:szCs w:val="24"/>
        </w:rPr>
      </w:pPr>
      <w:r>
        <w:rPr>
          <w:sz w:val="24"/>
        </w:rPr>
        <w:t xml:space="preserve">Sustainability Appraisal is a statutory process that </w:t>
      </w:r>
      <w:r w:rsidR="00AC6D63" w:rsidRPr="00AC6D63">
        <w:rPr>
          <w:sz w:val="24"/>
        </w:rPr>
        <w:t>must be undertaken for every new planning document in accordance with the Planning and Compulsory Purchase Act (2004). The purpose of SA is to</w:t>
      </w:r>
      <w:r w:rsidR="005D722A">
        <w:rPr>
          <w:sz w:val="24"/>
        </w:rPr>
        <w:t xml:space="preserve"> </w:t>
      </w:r>
      <w:r w:rsidR="005D722A" w:rsidRPr="005D722A">
        <w:rPr>
          <w:sz w:val="24"/>
        </w:rPr>
        <w:t>assess</w:t>
      </w:r>
      <w:r w:rsidR="00AC6D63" w:rsidRPr="00AC6D63">
        <w:rPr>
          <w:sz w:val="24"/>
        </w:rPr>
        <w:t xml:space="preserve"> the economic, social and environmental impacts of projects, strategies or plans, so that the preferred option</w:t>
      </w:r>
      <w:r w:rsidR="00AC6D63">
        <w:rPr>
          <w:sz w:val="24"/>
        </w:rPr>
        <w:t xml:space="preserve"> promotes, rather than inhibits </w:t>
      </w:r>
      <w:r w:rsidR="00AC6D63" w:rsidRPr="00AC6D63">
        <w:rPr>
          <w:sz w:val="24"/>
        </w:rPr>
        <w:t>sustainable development</w:t>
      </w:r>
      <w:bookmarkStart w:id="24" w:name="_Hlk205204876"/>
      <w:r w:rsidR="00DE76E9" w:rsidRPr="00AC6D63">
        <w:rPr>
          <w:sz w:val="24"/>
        </w:rPr>
        <w:t>.</w:t>
      </w:r>
      <w:r w:rsidR="00DE76E9">
        <w:rPr>
          <w:sz w:val="24"/>
        </w:rPr>
        <w:t xml:space="preserve"> </w:t>
      </w:r>
      <w:r w:rsidR="00AC6D63" w:rsidRPr="00835D5E">
        <w:rPr>
          <w:sz w:val="24"/>
          <w:szCs w:val="24"/>
        </w:rPr>
        <w:t>A</w:t>
      </w:r>
      <w:r w:rsidR="00215E9A" w:rsidRPr="00835D5E">
        <w:rPr>
          <w:sz w:val="24"/>
          <w:szCs w:val="24"/>
        </w:rPr>
        <w:t xml:space="preserve"> specific </w:t>
      </w:r>
      <w:r w:rsidR="00AC6D63" w:rsidRPr="00835D5E">
        <w:rPr>
          <w:sz w:val="24"/>
          <w:szCs w:val="24"/>
        </w:rPr>
        <w:t xml:space="preserve">SA </w:t>
      </w:r>
      <w:r w:rsidR="000F3BED" w:rsidRPr="00835D5E">
        <w:rPr>
          <w:sz w:val="24"/>
          <w:szCs w:val="24"/>
        </w:rPr>
        <w:t xml:space="preserve">has </w:t>
      </w:r>
      <w:r w:rsidR="00215E9A" w:rsidRPr="00835D5E">
        <w:rPr>
          <w:sz w:val="24"/>
          <w:szCs w:val="24"/>
        </w:rPr>
        <w:t xml:space="preserve">not </w:t>
      </w:r>
      <w:r w:rsidR="000F3BED" w:rsidRPr="00835D5E">
        <w:rPr>
          <w:sz w:val="24"/>
          <w:szCs w:val="24"/>
        </w:rPr>
        <w:t xml:space="preserve">been </w:t>
      </w:r>
      <w:r w:rsidR="00AC6D63" w:rsidRPr="00835D5E">
        <w:rPr>
          <w:sz w:val="24"/>
          <w:szCs w:val="24"/>
        </w:rPr>
        <w:t xml:space="preserve">carried out </w:t>
      </w:r>
      <w:r w:rsidR="000F3BED" w:rsidRPr="00835D5E">
        <w:rPr>
          <w:sz w:val="24"/>
          <w:szCs w:val="24"/>
        </w:rPr>
        <w:t>for this interim guidance</w:t>
      </w:r>
      <w:r w:rsidR="00BA23EE">
        <w:rPr>
          <w:sz w:val="24"/>
          <w:szCs w:val="24"/>
        </w:rPr>
        <w:t xml:space="preserve"> as the</w:t>
      </w:r>
      <w:r w:rsidR="00DA2FB7" w:rsidRPr="00835D5E">
        <w:rPr>
          <w:sz w:val="24"/>
          <w:szCs w:val="24"/>
        </w:rPr>
        <w:t xml:space="preserve"> SA of the relevant </w:t>
      </w:r>
      <w:r w:rsidR="00BA1108" w:rsidRPr="00835D5E">
        <w:rPr>
          <w:sz w:val="24"/>
          <w:szCs w:val="24"/>
        </w:rPr>
        <w:t xml:space="preserve">policies in the Local Plan </w:t>
      </w:r>
      <w:r w:rsidR="00DA2FB7" w:rsidRPr="00835D5E">
        <w:rPr>
          <w:sz w:val="24"/>
          <w:szCs w:val="24"/>
        </w:rPr>
        <w:t>is relied upon</w:t>
      </w:r>
      <w:r w:rsidR="00DE76E9" w:rsidRPr="00835D5E">
        <w:rPr>
          <w:sz w:val="24"/>
          <w:szCs w:val="24"/>
        </w:rPr>
        <w:t xml:space="preserve">. </w:t>
      </w:r>
      <w:r w:rsidR="00CA334D" w:rsidRPr="00835D5E">
        <w:rPr>
          <w:sz w:val="24"/>
          <w:szCs w:val="24"/>
        </w:rPr>
        <w:t xml:space="preserve">Please reference the SA for Policies 2 and 8 of the </w:t>
      </w:r>
      <w:hyperlink r:id="rId30">
        <w:r w:rsidR="4D0945A0" w:rsidRPr="00835D5E">
          <w:rPr>
            <w:rStyle w:val="Hyperlink"/>
            <w:sz w:val="24"/>
            <w:szCs w:val="24"/>
          </w:rPr>
          <w:t>Nottingham City Aligned Core Strategy – ACS (2014)</w:t>
        </w:r>
      </w:hyperlink>
      <w:r w:rsidR="003C1151" w:rsidRPr="00835D5E">
        <w:rPr>
          <w:sz w:val="24"/>
          <w:szCs w:val="24"/>
        </w:rPr>
        <w:t xml:space="preserve"> </w:t>
      </w:r>
      <w:r w:rsidR="00CA334D" w:rsidRPr="00835D5E">
        <w:rPr>
          <w:color w:val="212529"/>
          <w:sz w:val="24"/>
          <w:szCs w:val="24"/>
          <w:lang w:val="en"/>
        </w:rPr>
        <w:t>(Part 1 Local Plan)</w:t>
      </w:r>
      <w:r w:rsidR="00CA334D" w:rsidRPr="00835D5E">
        <w:rPr>
          <w:sz w:val="24"/>
          <w:szCs w:val="24"/>
        </w:rPr>
        <w:t xml:space="preserve"> and Policies DE1, DE2, HO1, HO3, HO4 and IN4, of the </w:t>
      </w:r>
      <w:r w:rsidR="00CA334D" w:rsidRPr="00835D5E">
        <w:rPr>
          <w:rStyle w:val="Hyperlink"/>
          <w:sz w:val="24"/>
          <w:szCs w:val="24"/>
        </w:rPr>
        <w:t>Land and Planning Policies Document - LAPP (2020)</w:t>
      </w:r>
      <w:r w:rsidR="003C1151" w:rsidRPr="00835D5E">
        <w:rPr>
          <w:sz w:val="24"/>
          <w:szCs w:val="24"/>
        </w:rPr>
        <w:t xml:space="preserve"> </w:t>
      </w:r>
      <w:r w:rsidR="003C1151" w:rsidRPr="00835D5E">
        <w:rPr>
          <w:color w:val="212529"/>
          <w:sz w:val="24"/>
          <w:szCs w:val="24"/>
          <w:lang w:val="en"/>
        </w:rPr>
        <w:t>(</w:t>
      </w:r>
      <w:r w:rsidR="00CA334D" w:rsidRPr="00835D5E">
        <w:rPr>
          <w:color w:val="212529"/>
          <w:sz w:val="24"/>
          <w:szCs w:val="24"/>
          <w:lang w:val="en"/>
        </w:rPr>
        <w:t>Part 2 Local Plan)</w:t>
      </w:r>
      <w:r w:rsidR="00CA334D" w:rsidRPr="00835D5E">
        <w:rPr>
          <w:sz w:val="24"/>
          <w:szCs w:val="24"/>
        </w:rPr>
        <w:t xml:space="preserve">.  </w:t>
      </w:r>
      <w:r w:rsidR="004D7D88" w:rsidRPr="00DF2067">
        <w:rPr>
          <w:sz w:val="24"/>
          <w:szCs w:val="24"/>
        </w:rPr>
        <w:br w:type="page"/>
      </w:r>
    </w:p>
    <w:p w14:paraId="12F9AC3F" w14:textId="512E94BE" w:rsidR="2259D3E2" w:rsidRDefault="44D80353" w:rsidP="00BE0D73">
      <w:pPr>
        <w:pStyle w:val="Heading1"/>
        <w:tabs>
          <w:tab w:val="clear" w:pos="833"/>
          <w:tab w:val="left" w:pos="567"/>
        </w:tabs>
        <w:ind w:left="851" w:hanging="709"/>
      </w:pPr>
      <w:bookmarkStart w:id="25" w:name="_Toc205205423"/>
      <w:bookmarkStart w:id="26" w:name="_Toc229489653"/>
      <w:bookmarkEnd w:id="24"/>
      <w:r>
        <w:lastRenderedPageBreak/>
        <w:t>Co</w:t>
      </w:r>
      <w:r w:rsidR="00502464">
        <w:t>-l</w:t>
      </w:r>
      <w:r>
        <w:t>iving Developments</w:t>
      </w:r>
      <w:bookmarkEnd w:id="25"/>
      <w:r w:rsidR="003065A5">
        <w:t xml:space="preserve"> in Nottingham</w:t>
      </w:r>
      <w:bookmarkEnd w:id="26"/>
      <w:r w:rsidR="003065A5">
        <w:t xml:space="preserve"> </w:t>
      </w:r>
    </w:p>
    <w:p w14:paraId="412C1CC2" w14:textId="70750F9D" w:rsidR="00A154BA" w:rsidRPr="0020303E" w:rsidRDefault="00A154BA" w:rsidP="00D01AA2">
      <w:pPr>
        <w:pStyle w:val="BodyText"/>
      </w:pPr>
    </w:p>
    <w:p w14:paraId="560F9578" w14:textId="177F8A5F" w:rsidR="001306DD" w:rsidRPr="001306DD" w:rsidRDefault="00F87BC3" w:rsidP="00BE0D73">
      <w:pPr>
        <w:pStyle w:val="BodyText"/>
        <w:numPr>
          <w:ilvl w:val="1"/>
          <w:numId w:val="1"/>
        </w:numPr>
        <w:spacing w:before="6"/>
        <w:ind w:left="567" w:hanging="425"/>
        <w:rPr>
          <w:sz w:val="24"/>
          <w:szCs w:val="24"/>
        </w:rPr>
      </w:pPr>
      <w:r w:rsidRPr="003C1151">
        <w:rPr>
          <w:sz w:val="24"/>
          <w:szCs w:val="24"/>
        </w:rPr>
        <w:t xml:space="preserve">A </w:t>
      </w:r>
      <w:r w:rsidRPr="003C1151">
        <w:rPr>
          <w:rStyle w:val="Hyperlink"/>
          <w:sz w:val="24"/>
          <w:szCs w:val="24"/>
        </w:rPr>
        <w:t>Housing Needs Update</w:t>
      </w:r>
      <w:r w:rsidR="004E378A" w:rsidRPr="003C1151">
        <w:rPr>
          <w:rStyle w:val="FootnoteReference"/>
          <w:sz w:val="24"/>
          <w:szCs w:val="24"/>
        </w:rPr>
        <w:footnoteReference w:id="2"/>
      </w:r>
      <w:r w:rsidR="003C1151" w:rsidRPr="003C1151">
        <w:rPr>
          <w:sz w:val="24"/>
          <w:szCs w:val="24"/>
        </w:rPr>
        <w:t xml:space="preserve"> </w:t>
      </w:r>
      <w:r w:rsidRPr="003C1151">
        <w:rPr>
          <w:sz w:val="24"/>
          <w:szCs w:val="24"/>
        </w:rPr>
        <w:t>(HNU) has been prepared for Greater Nottingham (excluding Erewash) and Ashfield area to support the preparation of Local Plans looking at an extended plan period to 2041, and to provide evidence drawing on the latest data including</w:t>
      </w:r>
      <w:r w:rsidRPr="001306DD">
        <w:rPr>
          <w:sz w:val="24"/>
          <w:szCs w:val="24"/>
        </w:rPr>
        <w:t xml:space="preserve"> the 2021 Census to support housing market interventions and prospective future funding bids.</w:t>
      </w:r>
      <w:r w:rsidR="00C726EA" w:rsidRPr="001306DD">
        <w:rPr>
          <w:sz w:val="24"/>
          <w:szCs w:val="24"/>
        </w:rPr>
        <w:t xml:space="preserve"> </w:t>
      </w:r>
    </w:p>
    <w:p w14:paraId="1B62338F" w14:textId="77777777" w:rsidR="001306DD" w:rsidRPr="001306DD" w:rsidRDefault="001306DD" w:rsidP="00BE0D73">
      <w:pPr>
        <w:pStyle w:val="BodyText"/>
        <w:spacing w:before="6"/>
        <w:ind w:left="567" w:hanging="425"/>
        <w:rPr>
          <w:sz w:val="24"/>
          <w:szCs w:val="24"/>
        </w:rPr>
      </w:pPr>
    </w:p>
    <w:p w14:paraId="218FD3B6" w14:textId="3118E781" w:rsidR="001306DD" w:rsidRPr="001306DD" w:rsidRDefault="00A154BA" w:rsidP="00BE0D73">
      <w:pPr>
        <w:pStyle w:val="BodyText"/>
        <w:numPr>
          <w:ilvl w:val="1"/>
          <w:numId w:val="1"/>
        </w:numPr>
        <w:spacing w:before="6"/>
        <w:ind w:left="567" w:hanging="425"/>
        <w:rPr>
          <w:sz w:val="24"/>
          <w:szCs w:val="24"/>
        </w:rPr>
      </w:pPr>
      <w:r w:rsidRPr="001306DD">
        <w:rPr>
          <w:sz w:val="24"/>
          <w:szCs w:val="24"/>
        </w:rPr>
        <w:t>Nottingham’s demographic profile makes it a suitable candidate for appropriately designed co-living developments. The city has a high proportion of younger adults, particularly those aged 20–34</w:t>
      </w:r>
      <w:r w:rsidR="008627EB">
        <w:rPr>
          <w:sz w:val="24"/>
          <w:szCs w:val="24"/>
        </w:rPr>
        <w:t>.</w:t>
      </w:r>
      <w:r w:rsidRPr="001306DD">
        <w:rPr>
          <w:sz w:val="24"/>
          <w:szCs w:val="24"/>
        </w:rPr>
        <w:t xml:space="preserve"> </w:t>
      </w:r>
      <w:r w:rsidR="00101164" w:rsidRPr="00101164">
        <w:rPr>
          <w:sz w:val="24"/>
          <w:szCs w:val="24"/>
        </w:rPr>
        <w:t>In 2021, 8,074 individuals aged 20–34 lived in one</w:t>
      </w:r>
      <w:r w:rsidR="00101164" w:rsidRPr="00101164">
        <w:rPr>
          <w:rFonts w:ascii="Cambria Math" w:hAnsi="Cambria Math" w:cs="Cambria Math"/>
          <w:sz w:val="24"/>
          <w:szCs w:val="24"/>
        </w:rPr>
        <w:t>‑</w:t>
      </w:r>
      <w:r w:rsidR="00101164" w:rsidRPr="00101164">
        <w:rPr>
          <w:sz w:val="24"/>
          <w:szCs w:val="24"/>
        </w:rPr>
        <w:t>person households in Nottingham (excluding communal establishments), representing approximately 2.7% of all individuals living in households in the city</w:t>
      </w:r>
      <w:r w:rsidR="00101164">
        <w:rPr>
          <w:rStyle w:val="FootnoteReference"/>
          <w:sz w:val="24"/>
          <w:szCs w:val="24"/>
        </w:rPr>
        <w:footnoteReference w:id="3"/>
      </w:r>
      <w:r w:rsidR="00101164" w:rsidRPr="00101164">
        <w:rPr>
          <w:sz w:val="24"/>
          <w:szCs w:val="24"/>
        </w:rPr>
        <w:t>.</w:t>
      </w:r>
      <w:r w:rsidRPr="001306DD">
        <w:rPr>
          <w:sz w:val="24"/>
          <w:szCs w:val="24"/>
        </w:rPr>
        <w:t xml:space="preserve"> Additionally, Nottingham is home to a significant student population, alongside a growing number of graduates and young professionals. These groups often face financial constraints that prevent them from achieving home ownership, making co-living an attractive option. Co-living provides flexible, professionally managed tenancies and can foster communal living environments, which align well with the lifestyle preferences and economic realities of these demographics.</w:t>
      </w:r>
    </w:p>
    <w:p w14:paraId="25B9A970" w14:textId="77777777" w:rsidR="001306DD" w:rsidRPr="001306DD" w:rsidRDefault="001306DD" w:rsidP="00BE0D73">
      <w:pPr>
        <w:pStyle w:val="ListParagraph"/>
        <w:ind w:left="567" w:hanging="425"/>
        <w:rPr>
          <w:sz w:val="24"/>
          <w:szCs w:val="24"/>
        </w:rPr>
      </w:pPr>
    </w:p>
    <w:p w14:paraId="190A9D50" w14:textId="6B7FC978" w:rsidR="001306DD" w:rsidRPr="001306DD" w:rsidRDefault="00A154BA" w:rsidP="00BE0D73">
      <w:pPr>
        <w:pStyle w:val="BodyText"/>
        <w:numPr>
          <w:ilvl w:val="1"/>
          <w:numId w:val="1"/>
        </w:numPr>
        <w:spacing w:before="6"/>
        <w:ind w:left="567" w:hanging="425"/>
        <w:rPr>
          <w:sz w:val="24"/>
          <w:szCs w:val="24"/>
        </w:rPr>
      </w:pPr>
      <w:r w:rsidRPr="001306DD">
        <w:rPr>
          <w:sz w:val="24"/>
          <w:szCs w:val="24"/>
        </w:rPr>
        <w:t xml:space="preserve">The city’s housing market is characterised by significant affordability pressures. With a home ownership rate of just 46% and a high proportion of private renters at 29%, many residents face challenges in accessing affordable housing. The affordability gap between lower quartile rents and Local Housing Allowance (LHA) rates is particularly pronounced for one-bedroom and four-bedroom properties. Co-living offers a potential solution by providing more affordable rental options compared to traditional private renting. By incorporating shared amenities and smaller private units, co-living schemes can reduce costs while maintaining quality, making them an appealing alternative for </w:t>
      </w:r>
      <w:r w:rsidR="00420598">
        <w:rPr>
          <w:sz w:val="24"/>
          <w:szCs w:val="24"/>
        </w:rPr>
        <w:t xml:space="preserve">some </w:t>
      </w:r>
      <w:r w:rsidRPr="001306DD">
        <w:rPr>
          <w:sz w:val="24"/>
          <w:szCs w:val="24"/>
        </w:rPr>
        <w:t>Nottingham’s renters.</w:t>
      </w:r>
    </w:p>
    <w:p w14:paraId="4741B56B" w14:textId="77777777" w:rsidR="001306DD" w:rsidRPr="001306DD" w:rsidRDefault="001306DD" w:rsidP="00BE0D73">
      <w:pPr>
        <w:pStyle w:val="ListParagraph"/>
        <w:ind w:left="567" w:hanging="425"/>
        <w:rPr>
          <w:sz w:val="24"/>
          <w:szCs w:val="24"/>
        </w:rPr>
      </w:pPr>
    </w:p>
    <w:p w14:paraId="4B0A5266" w14:textId="4A60806D" w:rsidR="001306DD" w:rsidRPr="001306DD" w:rsidRDefault="00A154BA" w:rsidP="00BE0D73">
      <w:pPr>
        <w:pStyle w:val="BodyText"/>
        <w:numPr>
          <w:ilvl w:val="1"/>
          <w:numId w:val="1"/>
        </w:numPr>
        <w:spacing w:before="6"/>
        <w:ind w:left="567" w:hanging="425"/>
        <w:rPr>
          <w:sz w:val="24"/>
          <w:szCs w:val="24"/>
        </w:rPr>
      </w:pPr>
      <w:r w:rsidRPr="001306DD">
        <w:rPr>
          <w:sz w:val="24"/>
          <w:szCs w:val="24"/>
        </w:rPr>
        <w:t xml:space="preserve">Nottingham’s need for sustainable and accessible housing solutions further supports the case for co-living. The city faces land supply constraints, necessitating higher-density housing to meet demand. Co-living schemes, with their </w:t>
      </w:r>
      <w:r w:rsidR="003C1151">
        <w:rPr>
          <w:sz w:val="24"/>
          <w:szCs w:val="24"/>
        </w:rPr>
        <w:t xml:space="preserve">more </w:t>
      </w:r>
      <w:r w:rsidRPr="001306DD">
        <w:rPr>
          <w:sz w:val="24"/>
          <w:szCs w:val="24"/>
        </w:rPr>
        <w:t xml:space="preserve">compact private units and shared facilities, </w:t>
      </w:r>
      <w:r w:rsidR="0097535A">
        <w:rPr>
          <w:sz w:val="24"/>
          <w:szCs w:val="24"/>
        </w:rPr>
        <w:t xml:space="preserve">can </w:t>
      </w:r>
      <w:r w:rsidRPr="001306DD">
        <w:rPr>
          <w:sz w:val="24"/>
          <w:szCs w:val="24"/>
        </w:rPr>
        <w:t xml:space="preserve">enable high-density development without compromising liveability or quality. This approach aligns with Nottingham’s urban planning goals, particularly in regeneration areas and near key transport hubs, where maximising land use is critical. By focusing development </w:t>
      </w:r>
      <w:r w:rsidR="008A5EA3">
        <w:rPr>
          <w:sz w:val="24"/>
          <w:szCs w:val="24"/>
        </w:rPr>
        <w:t>at</w:t>
      </w:r>
      <w:r w:rsidRPr="001306DD">
        <w:rPr>
          <w:sz w:val="24"/>
          <w:szCs w:val="24"/>
        </w:rPr>
        <w:t xml:space="preserve"> highly accessible locations, co-living can contribute to sustainable urban growth </w:t>
      </w:r>
      <w:r w:rsidR="0087022B">
        <w:rPr>
          <w:sz w:val="24"/>
          <w:szCs w:val="24"/>
        </w:rPr>
        <w:t xml:space="preserve">in sustainable locations </w:t>
      </w:r>
      <w:r w:rsidRPr="001306DD">
        <w:rPr>
          <w:sz w:val="24"/>
          <w:szCs w:val="24"/>
        </w:rPr>
        <w:t>while supporting the city’s regeneration efforts.</w:t>
      </w:r>
    </w:p>
    <w:p w14:paraId="6607F8CE" w14:textId="77777777" w:rsidR="001306DD" w:rsidRPr="001306DD" w:rsidRDefault="001306DD" w:rsidP="00BE0D73">
      <w:pPr>
        <w:pStyle w:val="ListParagraph"/>
        <w:ind w:left="567" w:hanging="425"/>
        <w:rPr>
          <w:sz w:val="24"/>
          <w:szCs w:val="24"/>
        </w:rPr>
      </w:pPr>
    </w:p>
    <w:p w14:paraId="65BF958F" w14:textId="210D6801" w:rsidR="001306DD" w:rsidRDefault="00A154BA" w:rsidP="00BE0D73">
      <w:pPr>
        <w:pStyle w:val="BodyText"/>
        <w:numPr>
          <w:ilvl w:val="1"/>
          <w:numId w:val="1"/>
        </w:numPr>
        <w:spacing w:before="6"/>
        <w:ind w:left="567" w:hanging="425"/>
        <w:rPr>
          <w:sz w:val="24"/>
          <w:szCs w:val="24"/>
        </w:rPr>
      </w:pPr>
      <w:r w:rsidRPr="005930FC">
        <w:rPr>
          <w:sz w:val="24"/>
          <w:szCs w:val="24"/>
        </w:rPr>
        <w:t>The flexibility of co-living also addresses the evolving needs of Nottingham’s housing market. The Housing Needs Assessment (HNA) underscores the demand for adaptable housing models that respond to changing lifestyles and economic conditions. Co-living provides shorter-term tenancies, community-focused living spaces, and amenities tailored to modern needs, such as support for remote working. These features make it well-suited to meet the preferences of younger residents and professionals who value flexibility and community in their living arrangements.</w:t>
      </w:r>
    </w:p>
    <w:p w14:paraId="7C96692D" w14:textId="77777777" w:rsidR="00BE0D73" w:rsidRDefault="00BE0D73" w:rsidP="00BE0D73">
      <w:pPr>
        <w:pStyle w:val="ListParagraph"/>
        <w:rPr>
          <w:sz w:val="24"/>
          <w:szCs w:val="24"/>
        </w:rPr>
      </w:pPr>
    </w:p>
    <w:p w14:paraId="599A8B1B" w14:textId="7A9404A4" w:rsidR="00DC4FD5" w:rsidRPr="0047749F" w:rsidRDefault="005930FC" w:rsidP="00DB547F">
      <w:pPr>
        <w:pStyle w:val="NormP"/>
      </w:pPr>
      <w:r w:rsidRPr="0047749F">
        <w:lastRenderedPageBreak/>
        <w:t>Nottingham’s existing housing stock presents opportunities for co-living through repurposing. The city has a mature Purpose-Built Student Accommodation (PBSA) market, with an increasing number of vacant bedspaces</w:t>
      </w:r>
      <w:r w:rsidR="0087022B" w:rsidRPr="0047749F">
        <w:t xml:space="preserve"> in recent years, some of which are</w:t>
      </w:r>
      <w:r w:rsidRPr="0047749F">
        <w:t xml:space="preserve"> in older stock. Converting these buildings</w:t>
      </w:r>
      <w:r w:rsidR="003C1151" w:rsidRPr="0047749F">
        <w:t xml:space="preserve"> </w:t>
      </w:r>
      <w:r w:rsidRPr="0047749F">
        <w:t>as well as other suitable properties</w:t>
      </w:r>
      <w:r w:rsidR="003C1151" w:rsidRPr="0047749F">
        <w:t xml:space="preserve"> </w:t>
      </w:r>
      <w:r w:rsidRPr="0047749F">
        <w:t>into co-living spaces with appropriate adaptations could unlock valuable housing resources. With a pipeline of new student accommodation, repurposing underutilised PBSA offers a practical and efficient way to expand co-living options in Nottingham.</w:t>
      </w:r>
    </w:p>
    <w:p w14:paraId="1965F99D" w14:textId="77777777" w:rsidR="000220F1" w:rsidRDefault="000220F1" w:rsidP="00BE0D73">
      <w:pPr>
        <w:pStyle w:val="ListParagraph"/>
        <w:ind w:left="567" w:hanging="425"/>
        <w:rPr>
          <w:sz w:val="24"/>
          <w:szCs w:val="24"/>
        </w:rPr>
      </w:pPr>
    </w:p>
    <w:p w14:paraId="43349F09" w14:textId="2375FA9C" w:rsidR="00085384" w:rsidRDefault="00085384" w:rsidP="00DB547F">
      <w:pPr>
        <w:pStyle w:val="NormP"/>
      </w:pPr>
      <w:r w:rsidRPr="000A5D8E">
        <w:t xml:space="preserve">The Council </w:t>
      </w:r>
      <w:r w:rsidR="00321DAE">
        <w:t>is unlikely to</w:t>
      </w:r>
      <w:r w:rsidRPr="000A5D8E">
        <w:t xml:space="preserve"> support the use of co-living standards or the aggregated amenity approach for schemes that are essentially the subdivision or adaptation of existing C3 houses into shared accommodation. Such proposals will continue to be assessed against HMO policies and, where applicable, the full NDSS without offset from communal facilities.</w:t>
      </w:r>
    </w:p>
    <w:p w14:paraId="2E359D3B" w14:textId="77777777" w:rsidR="002E63D0" w:rsidRDefault="002E63D0" w:rsidP="00BE0D73">
      <w:pPr>
        <w:pStyle w:val="BodyText"/>
        <w:spacing w:before="6"/>
        <w:ind w:left="567" w:hanging="425"/>
        <w:rPr>
          <w:sz w:val="24"/>
          <w:szCs w:val="24"/>
        </w:rPr>
      </w:pPr>
    </w:p>
    <w:p w14:paraId="700B9802" w14:textId="001BF5BD" w:rsidR="002E63D0" w:rsidRDefault="002E63D0" w:rsidP="00BE0D73">
      <w:pPr>
        <w:pStyle w:val="BodyText"/>
        <w:numPr>
          <w:ilvl w:val="1"/>
          <w:numId w:val="1"/>
        </w:numPr>
        <w:spacing w:before="6"/>
        <w:ind w:left="567" w:hanging="425"/>
        <w:rPr>
          <w:sz w:val="24"/>
          <w:szCs w:val="24"/>
        </w:rPr>
      </w:pPr>
      <w:r w:rsidRPr="000A5D8E">
        <w:rPr>
          <w:sz w:val="24"/>
          <w:szCs w:val="24"/>
        </w:rPr>
        <w:t xml:space="preserve">The definition provided in the </w:t>
      </w:r>
      <w:r w:rsidR="00C44E98">
        <w:rPr>
          <w:sz w:val="24"/>
          <w:szCs w:val="24"/>
        </w:rPr>
        <w:t>i</w:t>
      </w:r>
      <w:r w:rsidRPr="000A5D8E">
        <w:rPr>
          <w:sz w:val="24"/>
          <w:szCs w:val="24"/>
        </w:rPr>
        <w:t xml:space="preserve">ntroduction sets out the characteristics that must be present for a proposal to be considered genuine co-living. Schemes that would result in the net loss of existing or potential family housing (C3) </w:t>
      </w:r>
      <w:r w:rsidR="00321DAE">
        <w:rPr>
          <w:sz w:val="24"/>
          <w:szCs w:val="24"/>
        </w:rPr>
        <w:t>are unlikely to</w:t>
      </w:r>
      <w:r w:rsidR="00321DAE" w:rsidRPr="000A5D8E">
        <w:rPr>
          <w:sz w:val="24"/>
          <w:szCs w:val="24"/>
        </w:rPr>
        <w:t xml:space="preserve"> </w:t>
      </w:r>
      <w:r w:rsidRPr="000A5D8E">
        <w:rPr>
          <w:sz w:val="24"/>
          <w:szCs w:val="24"/>
        </w:rPr>
        <w:t>normally be accepted as co-living unless they involve the comprehensive redevelopment or non-residential conversion of a site.</w:t>
      </w:r>
    </w:p>
    <w:p w14:paraId="1F28F0C4" w14:textId="708CFA8D" w:rsidR="001E0102" w:rsidRDefault="001E0102" w:rsidP="00BE0D73">
      <w:pPr>
        <w:pStyle w:val="BodyText"/>
        <w:spacing w:before="6"/>
        <w:ind w:left="567" w:hanging="425"/>
        <w:rPr>
          <w:sz w:val="24"/>
          <w:szCs w:val="24"/>
        </w:rPr>
      </w:pPr>
    </w:p>
    <w:p w14:paraId="7E4A09C2" w14:textId="61CC85BC" w:rsidR="00F3185A" w:rsidRPr="005335B4" w:rsidRDefault="007365DE" w:rsidP="00BE0D73">
      <w:pPr>
        <w:pStyle w:val="BodyText"/>
        <w:spacing w:before="6"/>
        <w:ind w:left="567" w:hanging="425"/>
        <w:rPr>
          <w:b/>
          <w:bCs/>
          <w:sz w:val="24"/>
          <w:szCs w:val="24"/>
        </w:rPr>
      </w:pPr>
      <w:r w:rsidRPr="005335B4">
        <w:rPr>
          <w:b/>
          <w:bCs/>
          <w:sz w:val="24"/>
          <w:szCs w:val="24"/>
        </w:rPr>
        <w:t>Licens</w:t>
      </w:r>
      <w:r>
        <w:rPr>
          <w:b/>
          <w:bCs/>
          <w:sz w:val="24"/>
          <w:szCs w:val="24"/>
        </w:rPr>
        <w:t>i</w:t>
      </w:r>
      <w:r w:rsidRPr="005335B4">
        <w:rPr>
          <w:b/>
          <w:bCs/>
          <w:sz w:val="24"/>
          <w:szCs w:val="24"/>
        </w:rPr>
        <w:t>ng</w:t>
      </w:r>
      <w:r w:rsidR="00F3185A" w:rsidRPr="005335B4">
        <w:rPr>
          <w:b/>
          <w:bCs/>
          <w:sz w:val="24"/>
          <w:szCs w:val="24"/>
        </w:rPr>
        <w:t xml:space="preserve"> Requirements</w:t>
      </w:r>
    </w:p>
    <w:p w14:paraId="3E459B6B" w14:textId="77777777" w:rsidR="00F3185A" w:rsidRDefault="00F3185A" w:rsidP="00BE0D73">
      <w:pPr>
        <w:pStyle w:val="BodyText"/>
        <w:spacing w:before="6"/>
        <w:ind w:left="567" w:hanging="425"/>
        <w:rPr>
          <w:sz w:val="24"/>
          <w:szCs w:val="24"/>
        </w:rPr>
      </w:pPr>
    </w:p>
    <w:p w14:paraId="4C2E4614" w14:textId="60335C01" w:rsidR="001306DD" w:rsidRPr="004E5C3C" w:rsidRDefault="00F3185A" w:rsidP="00BE0D73">
      <w:pPr>
        <w:pStyle w:val="BodyText"/>
        <w:numPr>
          <w:ilvl w:val="1"/>
          <w:numId w:val="1"/>
        </w:numPr>
        <w:spacing w:before="6"/>
        <w:ind w:left="567" w:hanging="425"/>
        <w:rPr>
          <w:sz w:val="24"/>
          <w:szCs w:val="24"/>
        </w:rPr>
      </w:pPr>
      <w:r w:rsidRPr="1AE859CD">
        <w:rPr>
          <w:sz w:val="24"/>
          <w:szCs w:val="24"/>
        </w:rPr>
        <w:t xml:space="preserve">Depending on the type of units being created, they may be subject to </w:t>
      </w:r>
      <w:r w:rsidR="007365DE" w:rsidRPr="1AE859CD">
        <w:rPr>
          <w:sz w:val="24"/>
          <w:szCs w:val="24"/>
        </w:rPr>
        <w:t>licens</w:t>
      </w:r>
      <w:r w:rsidR="007365DE">
        <w:rPr>
          <w:sz w:val="24"/>
          <w:szCs w:val="24"/>
        </w:rPr>
        <w:t>i</w:t>
      </w:r>
      <w:r w:rsidR="007365DE" w:rsidRPr="1AE859CD">
        <w:rPr>
          <w:sz w:val="24"/>
          <w:szCs w:val="24"/>
        </w:rPr>
        <w:t>ng</w:t>
      </w:r>
      <w:r w:rsidR="00DE76E9" w:rsidRPr="1AE859CD">
        <w:rPr>
          <w:sz w:val="24"/>
          <w:szCs w:val="24"/>
        </w:rPr>
        <w:t xml:space="preserve">. </w:t>
      </w:r>
      <w:r w:rsidRPr="1AE859CD">
        <w:rPr>
          <w:sz w:val="24"/>
          <w:szCs w:val="24"/>
        </w:rPr>
        <w:t xml:space="preserve">Additional licensing would apply to </w:t>
      </w:r>
      <w:proofErr w:type="gramStart"/>
      <w:r w:rsidRPr="1AE859CD">
        <w:rPr>
          <w:sz w:val="24"/>
          <w:szCs w:val="24"/>
        </w:rPr>
        <w:t>HMOs</w:t>
      </w:r>
      <w:proofErr w:type="gramEnd"/>
      <w:r w:rsidRPr="1AE859CD">
        <w:rPr>
          <w:sz w:val="24"/>
          <w:szCs w:val="24"/>
        </w:rPr>
        <w:t xml:space="preserve"> and </w:t>
      </w:r>
      <w:r w:rsidR="5FABE3A5" w:rsidRPr="1AE859CD">
        <w:rPr>
          <w:sz w:val="24"/>
          <w:szCs w:val="24"/>
        </w:rPr>
        <w:t xml:space="preserve">the current designation applies </w:t>
      </w:r>
      <w:r w:rsidRPr="1AE859CD">
        <w:rPr>
          <w:sz w:val="24"/>
          <w:szCs w:val="24"/>
        </w:rPr>
        <w:t>City wide until 2028</w:t>
      </w:r>
      <w:r w:rsidR="00DE76E9" w:rsidRPr="1AE859CD">
        <w:rPr>
          <w:sz w:val="24"/>
          <w:szCs w:val="24"/>
        </w:rPr>
        <w:t xml:space="preserve">. </w:t>
      </w:r>
      <w:r w:rsidRPr="1AE859CD">
        <w:rPr>
          <w:sz w:val="24"/>
          <w:szCs w:val="24"/>
        </w:rPr>
        <w:t>Selective Licen</w:t>
      </w:r>
      <w:r w:rsidR="230A8136" w:rsidRPr="1AE859CD">
        <w:rPr>
          <w:sz w:val="24"/>
          <w:szCs w:val="24"/>
        </w:rPr>
        <w:t>sing</w:t>
      </w:r>
      <w:r w:rsidRPr="1AE859CD">
        <w:rPr>
          <w:sz w:val="24"/>
          <w:szCs w:val="24"/>
        </w:rPr>
        <w:t xml:space="preserve"> </w:t>
      </w:r>
      <w:r w:rsidR="6F6D33A3" w:rsidRPr="1AE859CD">
        <w:rPr>
          <w:sz w:val="24"/>
          <w:szCs w:val="24"/>
        </w:rPr>
        <w:t xml:space="preserve">of private rented accommodation </w:t>
      </w:r>
      <w:r w:rsidRPr="1AE859CD">
        <w:rPr>
          <w:sz w:val="24"/>
          <w:szCs w:val="24"/>
        </w:rPr>
        <w:t xml:space="preserve">is only </w:t>
      </w:r>
      <w:r w:rsidR="14DB0663" w:rsidRPr="1AE859CD">
        <w:rPr>
          <w:sz w:val="24"/>
          <w:szCs w:val="24"/>
        </w:rPr>
        <w:t xml:space="preserve">required </w:t>
      </w:r>
      <w:r w:rsidRPr="1AE859CD">
        <w:rPr>
          <w:sz w:val="24"/>
          <w:szCs w:val="24"/>
        </w:rPr>
        <w:t xml:space="preserve">within </w:t>
      </w:r>
      <w:r w:rsidR="0614A7EE" w:rsidRPr="1AE859CD">
        <w:rPr>
          <w:sz w:val="24"/>
          <w:szCs w:val="24"/>
        </w:rPr>
        <w:t>a</w:t>
      </w:r>
      <w:r w:rsidRPr="1AE859CD">
        <w:rPr>
          <w:sz w:val="24"/>
          <w:szCs w:val="24"/>
        </w:rPr>
        <w:t xml:space="preserve"> prescribed designat</w:t>
      </w:r>
      <w:r w:rsidR="530CB056" w:rsidRPr="1AE859CD">
        <w:rPr>
          <w:sz w:val="24"/>
          <w:szCs w:val="24"/>
        </w:rPr>
        <w:t>ed area</w:t>
      </w:r>
      <w:r w:rsidR="00DE76E9" w:rsidRPr="1AE859CD">
        <w:rPr>
          <w:sz w:val="24"/>
          <w:szCs w:val="24"/>
        </w:rPr>
        <w:t xml:space="preserve">. </w:t>
      </w:r>
      <w:r w:rsidR="5E649F77" w:rsidRPr="1AE859CD">
        <w:rPr>
          <w:sz w:val="24"/>
          <w:szCs w:val="24"/>
        </w:rPr>
        <w:t xml:space="preserve">For further advice see </w:t>
      </w:r>
      <w:hyperlink r:id="rId31" w:history="1">
        <w:r w:rsidR="5E649F77" w:rsidRPr="1AE859CD">
          <w:rPr>
            <w:rStyle w:val="Hyperlink"/>
            <w:sz w:val="24"/>
            <w:szCs w:val="24"/>
          </w:rPr>
          <w:t>Licensing for Landlords</w:t>
        </w:r>
      </w:hyperlink>
      <w:bookmarkStart w:id="27" w:name="_Toc205205424"/>
      <w:bookmarkStart w:id="28" w:name="_Hlk204340194"/>
      <w:r w:rsidR="001306DD">
        <w:br w:type="page"/>
      </w:r>
    </w:p>
    <w:p w14:paraId="53F047E6" w14:textId="52DBD12B" w:rsidR="00827BE6" w:rsidRPr="00514822" w:rsidRDefault="1015731F" w:rsidP="006F7A89">
      <w:pPr>
        <w:pStyle w:val="Heading1"/>
        <w:tabs>
          <w:tab w:val="clear" w:pos="833"/>
          <w:tab w:val="left" w:pos="567"/>
        </w:tabs>
        <w:ind w:hanging="1353"/>
      </w:pPr>
      <w:bookmarkStart w:id="29" w:name="_Toc229489654"/>
      <w:r>
        <w:lastRenderedPageBreak/>
        <w:t>Assessment of Need</w:t>
      </w:r>
      <w:bookmarkEnd w:id="27"/>
      <w:r w:rsidR="00174FE7">
        <w:t xml:space="preserve"> &amp; Suitability</w:t>
      </w:r>
      <w:bookmarkEnd w:id="29"/>
    </w:p>
    <w:p w14:paraId="44032E87" w14:textId="77777777" w:rsidR="00827BE6" w:rsidRPr="00514822" w:rsidRDefault="00827BE6" w:rsidP="006F7A89">
      <w:pPr>
        <w:rPr>
          <w:highlight w:val="lightGray"/>
        </w:rPr>
      </w:pPr>
    </w:p>
    <w:p w14:paraId="0595218E" w14:textId="51D120AB" w:rsidR="000C40A9" w:rsidRPr="00514822" w:rsidRDefault="00A85798" w:rsidP="006F7A89">
      <w:pPr>
        <w:pStyle w:val="BodyText"/>
        <w:numPr>
          <w:ilvl w:val="1"/>
          <w:numId w:val="1"/>
        </w:numPr>
        <w:spacing w:before="6"/>
        <w:ind w:left="567" w:hanging="567"/>
        <w:rPr>
          <w:sz w:val="24"/>
          <w:szCs w:val="24"/>
        </w:rPr>
      </w:pPr>
      <w:r w:rsidRPr="00A85798">
        <w:rPr>
          <w:sz w:val="24"/>
          <w:szCs w:val="24"/>
        </w:rPr>
        <w:t>Co</w:t>
      </w:r>
      <w:r w:rsidRPr="00A85798">
        <w:rPr>
          <w:rFonts w:ascii="Cambria Math" w:hAnsi="Cambria Math" w:cs="Cambria Math"/>
          <w:sz w:val="24"/>
          <w:szCs w:val="24"/>
        </w:rPr>
        <w:t>‑</w:t>
      </w:r>
      <w:r w:rsidRPr="00A85798">
        <w:rPr>
          <w:sz w:val="24"/>
          <w:szCs w:val="24"/>
        </w:rPr>
        <w:t xml:space="preserve">living developments represent a relatively new and distinct form of residential accommodation. While a formal needs assessment </w:t>
      </w:r>
      <w:r w:rsidR="00C76B4E">
        <w:rPr>
          <w:sz w:val="24"/>
          <w:szCs w:val="24"/>
        </w:rPr>
        <w:t>will not normally be</w:t>
      </w:r>
      <w:r w:rsidRPr="00A85798">
        <w:rPr>
          <w:sz w:val="24"/>
          <w:szCs w:val="24"/>
        </w:rPr>
        <w:t xml:space="preserve"> required, applicants are encouraged to explain within their Planning Statement</w:t>
      </w:r>
      <w:r w:rsidR="00786B65">
        <w:rPr>
          <w:sz w:val="24"/>
          <w:szCs w:val="24"/>
        </w:rPr>
        <w:t>, Design and Access Statement,</w:t>
      </w:r>
      <w:r w:rsidRPr="00A85798">
        <w:rPr>
          <w:sz w:val="24"/>
          <w:szCs w:val="24"/>
        </w:rPr>
        <w:t xml:space="preserve"> or </w:t>
      </w:r>
      <w:r w:rsidR="00786B65">
        <w:rPr>
          <w:sz w:val="24"/>
          <w:szCs w:val="24"/>
        </w:rPr>
        <w:t xml:space="preserve">other </w:t>
      </w:r>
      <w:r w:rsidRPr="00A85798">
        <w:rPr>
          <w:sz w:val="24"/>
          <w:szCs w:val="24"/>
        </w:rPr>
        <w:t>supporting documentation</w:t>
      </w:r>
      <w:r w:rsidR="00031145">
        <w:rPr>
          <w:sz w:val="24"/>
          <w:szCs w:val="24"/>
        </w:rPr>
        <w:t xml:space="preserve"> (whichever is most appropriate)</w:t>
      </w:r>
      <w:r w:rsidRPr="00A85798">
        <w:rPr>
          <w:sz w:val="24"/>
          <w:szCs w:val="24"/>
        </w:rPr>
        <w:t>, how the proposal responds to local circumstances and aligns with the objectives of the Local Plan</w:t>
      </w:r>
      <w:r w:rsidR="009F03BF">
        <w:rPr>
          <w:sz w:val="24"/>
          <w:szCs w:val="24"/>
        </w:rPr>
        <w:t xml:space="preserve"> and national planning policy</w:t>
      </w:r>
      <w:r w:rsidRPr="00A85798">
        <w:rPr>
          <w:sz w:val="24"/>
          <w:szCs w:val="24"/>
        </w:rPr>
        <w:t>.</w:t>
      </w:r>
    </w:p>
    <w:p w14:paraId="1E1738BA" w14:textId="77777777" w:rsidR="000C40A9" w:rsidRPr="004E5C3C" w:rsidRDefault="000C40A9" w:rsidP="006F7A89">
      <w:pPr>
        <w:pStyle w:val="BodyText"/>
        <w:spacing w:before="6"/>
        <w:ind w:left="567"/>
        <w:rPr>
          <w:szCs w:val="20"/>
        </w:rPr>
      </w:pPr>
    </w:p>
    <w:p w14:paraId="09A0C808" w14:textId="100CBC10" w:rsidR="000C40A9" w:rsidRPr="00786B65" w:rsidRDefault="007F22D9" w:rsidP="006F7A89">
      <w:pPr>
        <w:pStyle w:val="BodyText"/>
        <w:numPr>
          <w:ilvl w:val="1"/>
          <w:numId w:val="1"/>
        </w:numPr>
        <w:spacing w:before="6"/>
        <w:ind w:left="567" w:hanging="567"/>
        <w:rPr>
          <w:sz w:val="24"/>
        </w:rPr>
      </w:pPr>
      <w:r>
        <w:rPr>
          <w:sz w:val="24"/>
        </w:rPr>
        <w:t>S</w:t>
      </w:r>
      <w:r w:rsidR="00592319" w:rsidRPr="00786B65">
        <w:rPr>
          <w:sz w:val="24"/>
        </w:rPr>
        <w:t xml:space="preserve">uch information may be particularly helpful </w:t>
      </w:r>
      <w:r w:rsidR="00C024ED">
        <w:rPr>
          <w:sz w:val="24"/>
        </w:rPr>
        <w:t>if</w:t>
      </w:r>
      <w:r w:rsidR="00592319" w:rsidRPr="00786B65">
        <w:rPr>
          <w:sz w:val="24"/>
        </w:rPr>
        <w:t xml:space="preserve"> elements of a proposal </w:t>
      </w:r>
      <w:r w:rsidR="00592319" w:rsidRPr="00882412">
        <w:rPr>
          <w:sz w:val="24"/>
        </w:rPr>
        <w:t>depart from the guidelines set out in this IP</w:t>
      </w:r>
      <w:r w:rsidR="00B241FB">
        <w:rPr>
          <w:sz w:val="24"/>
        </w:rPr>
        <w:t>G</w:t>
      </w:r>
      <w:r w:rsidR="00592319" w:rsidRPr="00786B65">
        <w:rPr>
          <w:sz w:val="24"/>
        </w:rPr>
        <w:t>. In these cases, applicants may wish to provide contextual justification to demonstrate that the development will still deliver adequate internal living space and a high standard of residential amenity.</w:t>
      </w:r>
      <w:r w:rsidR="00072AD8" w:rsidRPr="00786B65">
        <w:rPr>
          <w:sz w:val="24"/>
        </w:rPr>
        <w:t xml:space="preserve"> In such instances, it should be assumed that there will be a higher evidentiary </w:t>
      </w:r>
      <w:r w:rsidR="00786B65" w:rsidRPr="00786B65">
        <w:rPr>
          <w:sz w:val="24"/>
        </w:rPr>
        <w:t>burden to justify the development</w:t>
      </w:r>
      <w:r w:rsidR="00C024ED">
        <w:rPr>
          <w:sz w:val="24"/>
        </w:rPr>
        <w:t xml:space="preserve"> in terms of national and local planning policy</w:t>
      </w:r>
      <w:r w:rsidR="00786B65" w:rsidRPr="00786B65">
        <w:rPr>
          <w:sz w:val="24"/>
        </w:rPr>
        <w:t xml:space="preserve">. </w:t>
      </w:r>
    </w:p>
    <w:p w14:paraId="2AD3FD2E" w14:textId="77777777" w:rsidR="00526C1F" w:rsidRPr="004E5C3C" w:rsidRDefault="00526C1F" w:rsidP="006F7A89">
      <w:pPr>
        <w:pStyle w:val="ListParagraph"/>
        <w:rPr>
          <w:szCs w:val="20"/>
        </w:rPr>
      </w:pPr>
    </w:p>
    <w:p w14:paraId="761BFD5E" w14:textId="1376C03C" w:rsidR="00526C1F" w:rsidRPr="001E3B6E" w:rsidRDefault="001E3B6E" w:rsidP="006F7A89">
      <w:pPr>
        <w:pStyle w:val="BodyText"/>
        <w:numPr>
          <w:ilvl w:val="1"/>
          <w:numId w:val="1"/>
        </w:numPr>
        <w:spacing w:before="6"/>
        <w:ind w:left="567" w:hanging="567"/>
        <w:rPr>
          <w:sz w:val="24"/>
        </w:rPr>
      </w:pPr>
      <w:r w:rsidRPr="001E3B6E">
        <w:rPr>
          <w:sz w:val="24"/>
        </w:rPr>
        <w:t>Co</w:t>
      </w:r>
      <w:r w:rsidRPr="001E3B6E">
        <w:rPr>
          <w:sz w:val="24"/>
        </w:rPr>
        <w:noBreakHyphen/>
        <w:t xml:space="preserve">living developments are generally best suited to </w:t>
      </w:r>
      <w:r w:rsidRPr="00314D52">
        <w:rPr>
          <w:sz w:val="24"/>
        </w:rPr>
        <w:t>highly accessible locations</w:t>
      </w:r>
      <w:r w:rsidRPr="001E3B6E">
        <w:rPr>
          <w:sz w:val="24"/>
        </w:rPr>
        <w:t>, where residents can readily access employment, services and leisure opportunities by public transport, walking or cycling. Applicants are therefore encouraged to outline how the site’s accessibility and surrounding context support a high</w:t>
      </w:r>
      <w:r w:rsidRPr="001E3B6E">
        <w:rPr>
          <w:sz w:val="24"/>
        </w:rPr>
        <w:noBreakHyphen/>
        <w:t>density, shared</w:t>
      </w:r>
      <w:r w:rsidRPr="001E3B6E">
        <w:rPr>
          <w:sz w:val="24"/>
        </w:rPr>
        <w:noBreakHyphen/>
        <w:t>living model and align with wider sustainability and placemaking objectives.</w:t>
      </w:r>
    </w:p>
    <w:p w14:paraId="3D23A93B" w14:textId="77777777" w:rsidR="00580FFF" w:rsidRPr="004E5C3C" w:rsidRDefault="00580FFF" w:rsidP="006F7A89">
      <w:pPr>
        <w:pStyle w:val="ListParagraph"/>
        <w:rPr>
          <w:szCs w:val="20"/>
        </w:rPr>
      </w:pPr>
    </w:p>
    <w:p w14:paraId="13C85855" w14:textId="5FCA91B8" w:rsidR="000C40A9" w:rsidRDefault="00A336AA" w:rsidP="006F7A89">
      <w:pPr>
        <w:pStyle w:val="BodyText"/>
        <w:numPr>
          <w:ilvl w:val="1"/>
          <w:numId w:val="1"/>
        </w:numPr>
        <w:spacing w:before="6"/>
        <w:ind w:left="567" w:hanging="567"/>
        <w:rPr>
          <w:sz w:val="24"/>
        </w:rPr>
      </w:pPr>
      <w:r w:rsidRPr="00A336AA">
        <w:rPr>
          <w:sz w:val="24"/>
        </w:rPr>
        <w:t>Where relevant, co</w:t>
      </w:r>
      <w:r w:rsidRPr="00A336AA">
        <w:rPr>
          <w:rFonts w:ascii="Cambria Math" w:hAnsi="Cambria Math" w:cs="Cambria Math"/>
          <w:sz w:val="24"/>
        </w:rPr>
        <w:t>‑</w:t>
      </w:r>
      <w:r w:rsidRPr="00A336AA">
        <w:rPr>
          <w:sz w:val="24"/>
        </w:rPr>
        <w:t>living schemes may also be appropriate on sites identified in the Local Plan as capable of accommodating higher</w:t>
      </w:r>
      <w:r w:rsidRPr="00A336AA">
        <w:rPr>
          <w:rFonts w:ascii="Cambria Math" w:hAnsi="Cambria Math" w:cs="Cambria Math"/>
          <w:sz w:val="24"/>
        </w:rPr>
        <w:t>‑</w:t>
      </w:r>
      <w:r w:rsidRPr="00A336AA">
        <w:rPr>
          <w:sz w:val="24"/>
        </w:rPr>
        <w:t xml:space="preserve">density or innovative housing formats. Applicants may find it helpful to explain how the proposal makes efficient use of land and integrates with its </w:t>
      </w:r>
      <w:r w:rsidR="00867230" w:rsidRPr="00A336AA">
        <w:rPr>
          <w:sz w:val="24"/>
        </w:rPr>
        <w:t>surroundings.</w:t>
      </w:r>
    </w:p>
    <w:p w14:paraId="5DF565B0" w14:textId="77777777" w:rsidR="00642823" w:rsidRPr="00642823" w:rsidRDefault="00642823" w:rsidP="006F7A89">
      <w:pPr>
        <w:pStyle w:val="BodyText"/>
        <w:spacing w:before="6"/>
        <w:rPr>
          <w:sz w:val="24"/>
        </w:rPr>
      </w:pPr>
    </w:p>
    <w:p w14:paraId="3E1E8D9E" w14:textId="671656E2" w:rsidR="008E67E0" w:rsidRPr="00514822" w:rsidRDefault="008E67E0" w:rsidP="006F7A89">
      <w:pPr>
        <w:pStyle w:val="BodyText"/>
        <w:spacing w:before="6"/>
        <w:rPr>
          <w:b/>
          <w:bCs/>
          <w:sz w:val="24"/>
        </w:rPr>
      </w:pPr>
      <w:r w:rsidRPr="008E67E0">
        <w:rPr>
          <w:b/>
          <w:bCs/>
          <w:sz w:val="24"/>
        </w:rPr>
        <w:t>Indicative matters that may be addressed (where relevant)</w:t>
      </w:r>
    </w:p>
    <w:p w14:paraId="2138C8C1" w14:textId="77777777" w:rsidR="000C40A9" w:rsidRPr="00514822" w:rsidRDefault="000C40A9" w:rsidP="006F7A89">
      <w:pPr>
        <w:pStyle w:val="BodyText"/>
        <w:spacing w:before="6"/>
        <w:rPr>
          <w:b/>
          <w:bCs/>
          <w:sz w:val="24"/>
        </w:rPr>
      </w:pPr>
    </w:p>
    <w:tbl>
      <w:tblPr>
        <w:tblStyle w:val="TableGrid"/>
        <w:tblW w:w="10201" w:type="dxa"/>
        <w:tblInd w:w="0" w:type="dxa"/>
        <w:tblLook w:val="04A0" w:firstRow="1" w:lastRow="0" w:firstColumn="1" w:lastColumn="0" w:noHBand="0" w:noVBand="1"/>
      </w:tblPr>
      <w:tblGrid>
        <w:gridCol w:w="2263"/>
        <w:gridCol w:w="7938"/>
      </w:tblGrid>
      <w:tr w:rsidR="000C40A9" w:rsidRPr="00514822" w14:paraId="7E337292" w14:textId="77777777" w:rsidTr="00774CF8">
        <w:tc>
          <w:tcPr>
            <w:tcW w:w="2263" w:type="dxa"/>
          </w:tcPr>
          <w:p w14:paraId="551E1914" w14:textId="06F57B34" w:rsidR="000C40A9" w:rsidRPr="00514822" w:rsidRDefault="000C40A9" w:rsidP="006F7A89">
            <w:pPr>
              <w:pStyle w:val="BodyText"/>
              <w:spacing w:before="6"/>
              <w:rPr>
                <w:b/>
                <w:bCs/>
                <w:sz w:val="24"/>
              </w:rPr>
            </w:pPr>
            <w:r w:rsidRPr="000C40A9">
              <w:rPr>
                <w:sz w:val="24"/>
              </w:rPr>
              <w:t>Local Evidence Base</w:t>
            </w:r>
            <w:r w:rsidR="00C76AEE" w:rsidRPr="00514822">
              <w:rPr>
                <w:sz w:val="24"/>
              </w:rPr>
              <w:t xml:space="preserve"> and </w:t>
            </w:r>
            <w:r w:rsidR="00A565FD">
              <w:rPr>
                <w:sz w:val="24"/>
              </w:rPr>
              <w:t>M</w:t>
            </w:r>
            <w:r w:rsidR="00C76AEE" w:rsidRPr="00514822">
              <w:rPr>
                <w:sz w:val="24"/>
              </w:rPr>
              <w:t xml:space="preserve">arket </w:t>
            </w:r>
            <w:r w:rsidR="00A565FD">
              <w:rPr>
                <w:sz w:val="24"/>
              </w:rPr>
              <w:t>A</w:t>
            </w:r>
            <w:r w:rsidR="00C76AEE" w:rsidRPr="00514822">
              <w:rPr>
                <w:sz w:val="24"/>
              </w:rPr>
              <w:t>nalysis</w:t>
            </w:r>
          </w:p>
        </w:tc>
        <w:tc>
          <w:tcPr>
            <w:tcW w:w="7938" w:type="dxa"/>
          </w:tcPr>
          <w:p w14:paraId="62A2AD6B" w14:textId="4A06158A" w:rsidR="00891C18" w:rsidRPr="00514822" w:rsidRDefault="00450CA6" w:rsidP="00891C18">
            <w:pPr>
              <w:pStyle w:val="BodyText"/>
              <w:spacing w:before="6"/>
              <w:rPr>
                <w:sz w:val="24"/>
              </w:rPr>
            </w:pPr>
            <w:r>
              <w:rPr>
                <w:sz w:val="24"/>
              </w:rPr>
              <w:t>R</w:t>
            </w:r>
            <w:r w:rsidR="00A565FD" w:rsidRPr="00A565FD">
              <w:rPr>
                <w:sz w:val="24"/>
              </w:rPr>
              <w:t>eference to relevant local housing studies, demographic trends (e.g. growth in single</w:t>
            </w:r>
            <w:r w:rsidR="00A565FD" w:rsidRPr="00A565FD">
              <w:rPr>
                <w:rFonts w:ascii="Cambria Math" w:hAnsi="Cambria Math" w:cs="Cambria Math"/>
                <w:sz w:val="24"/>
              </w:rPr>
              <w:t>‑</w:t>
            </w:r>
            <w:r w:rsidR="00A565FD" w:rsidRPr="00A565FD">
              <w:rPr>
                <w:sz w:val="24"/>
              </w:rPr>
              <w:t>person households), rental market conditions, or comparable schemes, where this assists in explaining the nature of the proposal.</w:t>
            </w:r>
          </w:p>
          <w:p w14:paraId="7EB4EEA0" w14:textId="3DECC987" w:rsidR="000C40A9" w:rsidRPr="00514822" w:rsidRDefault="000C40A9" w:rsidP="00D86C8D">
            <w:pPr>
              <w:pStyle w:val="BodyText"/>
              <w:widowControl w:val="0"/>
              <w:autoSpaceDE w:val="0"/>
              <w:autoSpaceDN w:val="0"/>
              <w:spacing w:before="6"/>
              <w:rPr>
                <w:sz w:val="24"/>
              </w:rPr>
            </w:pPr>
          </w:p>
        </w:tc>
      </w:tr>
      <w:tr w:rsidR="000C40A9" w:rsidRPr="00514822" w14:paraId="5136DF5B" w14:textId="77777777" w:rsidTr="00774CF8">
        <w:tc>
          <w:tcPr>
            <w:tcW w:w="2263" w:type="dxa"/>
          </w:tcPr>
          <w:p w14:paraId="2770C671" w14:textId="3FFC11DD" w:rsidR="000C40A9" w:rsidRPr="00B65139" w:rsidRDefault="00A565FD" w:rsidP="006F7A89">
            <w:pPr>
              <w:pStyle w:val="BodyText"/>
              <w:widowControl w:val="0"/>
              <w:autoSpaceDE w:val="0"/>
              <w:autoSpaceDN w:val="0"/>
              <w:spacing w:before="6"/>
              <w:rPr>
                <w:sz w:val="24"/>
              </w:rPr>
            </w:pPr>
            <w:r>
              <w:rPr>
                <w:sz w:val="24"/>
              </w:rPr>
              <w:t xml:space="preserve">Role </w:t>
            </w:r>
            <w:r w:rsidR="00C76AEE" w:rsidRPr="000C40A9">
              <w:rPr>
                <w:sz w:val="24"/>
              </w:rPr>
              <w:t>in Housing Provision</w:t>
            </w:r>
          </w:p>
        </w:tc>
        <w:tc>
          <w:tcPr>
            <w:tcW w:w="7938" w:type="dxa"/>
          </w:tcPr>
          <w:p w14:paraId="1E3B0986" w14:textId="4446329D" w:rsidR="000C40A9" w:rsidRDefault="007704ED" w:rsidP="006F7A89">
            <w:pPr>
              <w:pStyle w:val="BodyText"/>
              <w:widowControl w:val="0"/>
              <w:autoSpaceDE w:val="0"/>
              <w:autoSpaceDN w:val="0"/>
              <w:spacing w:before="6"/>
              <w:rPr>
                <w:sz w:val="24"/>
              </w:rPr>
            </w:pPr>
            <w:r w:rsidRPr="007704ED">
              <w:rPr>
                <w:sz w:val="24"/>
              </w:rPr>
              <w:t>An explanation of how the scheme</w:t>
            </w:r>
            <w:r>
              <w:rPr>
                <w:sz w:val="24"/>
              </w:rPr>
              <w:t xml:space="preserve"> </w:t>
            </w:r>
            <w:r w:rsidR="00514822" w:rsidRPr="00514822">
              <w:rPr>
                <w:sz w:val="24"/>
              </w:rPr>
              <w:t>fills a gap in current housing supply for example, by offering high-quality, managed accommodation for residents priced out of ownership or traditional renting.</w:t>
            </w:r>
          </w:p>
          <w:p w14:paraId="2C79A189" w14:textId="16FFFF04" w:rsidR="00891C18" w:rsidRPr="00514822" w:rsidRDefault="00891C18" w:rsidP="006F7A89">
            <w:pPr>
              <w:pStyle w:val="BodyText"/>
              <w:widowControl w:val="0"/>
              <w:autoSpaceDE w:val="0"/>
              <w:autoSpaceDN w:val="0"/>
              <w:spacing w:before="6"/>
              <w:rPr>
                <w:sz w:val="24"/>
              </w:rPr>
            </w:pPr>
          </w:p>
        </w:tc>
      </w:tr>
      <w:tr w:rsidR="000C40A9" w:rsidRPr="00514822" w14:paraId="35B896AD" w14:textId="77777777" w:rsidTr="00774CF8">
        <w:tc>
          <w:tcPr>
            <w:tcW w:w="2263" w:type="dxa"/>
          </w:tcPr>
          <w:p w14:paraId="4123970D" w14:textId="3C1A6AEA" w:rsidR="000C40A9" w:rsidRPr="00774CF8" w:rsidRDefault="00C76AEE" w:rsidP="006F7A89">
            <w:pPr>
              <w:pStyle w:val="BodyText"/>
              <w:widowControl w:val="0"/>
              <w:autoSpaceDE w:val="0"/>
              <w:autoSpaceDN w:val="0"/>
              <w:spacing w:before="6"/>
              <w:rPr>
                <w:sz w:val="24"/>
              </w:rPr>
            </w:pPr>
            <w:r w:rsidRPr="000C40A9">
              <w:rPr>
                <w:sz w:val="24"/>
              </w:rPr>
              <w:t>Sustainability and Location Justification</w:t>
            </w:r>
          </w:p>
        </w:tc>
        <w:tc>
          <w:tcPr>
            <w:tcW w:w="7938" w:type="dxa"/>
          </w:tcPr>
          <w:p w14:paraId="3C3F60B5" w14:textId="16B2C752" w:rsidR="000C40A9" w:rsidRDefault="00450CA6" w:rsidP="006F7A89">
            <w:pPr>
              <w:pStyle w:val="BodyText"/>
              <w:spacing w:before="6"/>
              <w:rPr>
                <w:sz w:val="24"/>
              </w:rPr>
            </w:pPr>
            <w:r w:rsidRPr="00450CA6">
              <w:rPr>
                <w:sz w:val="24"/>
              </w:rPr>
              <w:t xml:space="preserve">Confirmation </w:t>
            </w:r>
            <w:r>
              <w:rPr>
                <w:sz w:val="24"/>
              </w:rPr>
              <w:t>t</w:t>
            </w:r>
            <w:r w:rsidR="00514822" w:rsidRPr="00514822">
              <w:rPr>
                <w:sz w:val="24"/>
              </w:rPr>
              <w:t>hat the proposed site</w:t>
            </w:r>
            <w:r w:rsidR="005B7E8F" w:rsidRPr="005B7E8F">
              <w:rPr>
                <w:rFonts w:ascii="Segoe UI" w:eastAsia="Times New Roman" w:hAnsi="Segoe UI" w:cs="Segoe UI"/>
                <w:sz w:val="21"/>
                <w:szCs w:val="21"/>
                <w:lang w:bidi="ar-SA"/>
              </w:rPr>
              <w:t xml:space="preserve"> </w:t>
            </w:r>
            <w:r w:rsidR="005B7E8F">
              <w:rPr>
                <w:sz w:val="24"/>
              </w:rPr>
              <w:t xml:space="preserve">is in a </w:t>
            </w:r>
            <w:r w:rsidR="005B7E8F" w:rsidRPr="005B7E8F">
              <w:rPr>
                <w:sz w:val="24"/>
              </w:rPr>
              <w:t>highly accessible location</w:t>
            </w:r>
            <w:r w:rsidR="005B7E8F">
              <w:rPr>
                <w:sz w:val="24"/>
              </w:rPr>
              <w:t>,</w:t>
            </w:r>
            <w:r w:rsidR="005B7E8F" w:rsidRPr="005B7E8F">
              <w:rPr>
                <w:sz w:val="24"/>
              </w:rPr>
              <w:t xml:space="preserve"> close to major transport hubs or frequent public transport corridors</w:t>
            </w:r>
            <w:r w:rsidR="0035782C">
              <w:rPr>
                <w:sz w:val="24"/>
              </w:rPr>
              <w:t xml:space="preserve"> and will support active travel.</w:t>
            </w:r>
            <w:r w:rsidR="005B7E8F" w:rsidRPr="005B7E8F">
              <w:rPr>
                <w:sz w:val="24"/>
              </w:rPr>
              <w:t xml:space="preserve"> </w:t>
            </w:r>
          </w:p>
          <w:p w14:paraId="0D66A445" w14:textId="69378E9D" w:rsidR="00891C18" w:rsidRPr="00514822" w:rsidRDefault="00891C18" w:rsidP="006F7A89">
            <w:pPr>
              <w:pStyle w:val="BodyText"/>
              <w:spacing w:before="6"/>
              <w:rPr>
                <w:sz w:val="24"/>
              </w:rPr>
            </w:pPr>
          </w:p>
        </w:tc>
      </w:tr>
      <w:tr w:rsidR="00C76AEE" w:rsidRPr="00514822" w14:paraId="4CF68D91" w14:textId="77777777" w:rsidTr="00774CF8">
        <w:tc>
          <w:tcPr>
            <w:tcW w:w="2263" w:type="dxa"/>
          </w:tcPr>
          <w:p w14:paraId="0FCB098E" w14:textId="44A55415" w:rsidR="00C76AEE" w:rsidRPr="000C40A9" w:rsidRDefault="00C76AEE" w:rsidP="006F7A89">
            <w:pPr>
              <w:pStyle w:val="BodyText"/>
              <w:widowControl w:val="0"/>
              <w:autoSpaceDE w:val="0"/>
              <w:autoSpaceDN w:val="0"/>
              <w:spacing w:before="6"/>
              <w:rPr>
                <w:sz w:val="24"/>
              </w:rPr>
            </w:pPr>
            <w:r w:rsidRPr="000C40A9">
              <w:rPr>
                <w:sz w:val="24"/>
              </w:rPr>
              <w:t>Design and Occupancy Standards:</w:t>
            </w:r>
          </w:p>
          <w:p w14:paraId="540395A4" w14:textId="77777777" w:rsidR="00C76AEE" w:rsidRPr="00514822" w:rsidRDefault="00C76AEE" w:rsidP="006F7A89">
            <w:pPr>
              <w:pStyle w:val="BodyText"/>
              <w:spacing w:before="6"/>
              <w:ind w:left="567"/>
              <w:rPr>
                <w:sz w:val="24"/>
              </w:rPr>
            </w:pPr>
          </w:p>
        </w:tc>
        <w:tc>
          <w:tcPr>
            <w:tcW w:w="7938" w:type="dxa"/>
          </w:tcPr>
          <w:p w14:paraId="6967F9A3" w14:textId="4768C36F" w:rsidR="009F56D7" w:rsidRDefault="009F56D7" w:rsidP="006F7A89">
            <w:pPr>
              <w:pStyle w:val="BodyText"/>
              <w:spacing w:before="6"/>
              <w:rPr>
                <w:sz w:val="24"/>
              </w:rPr>
            </w:pPr>
            <w:r>
              <w:rPr>
                <w:sz w:val="24"/>
              </w:rPr>
              <w:t>Developers should demonstrate</w:t>
            </w:r>
            <w:r w:rsidR="00176FAE">
              <w:rPr>
                <w:sz w:val="24"/>
              </w:rPr>
              <w:t>:</w:t>
            </w:r>
          </w:p>
          <w:p w14:paraId="3F252414" w14:textId="73CF61C1" w:rsidR="009F56D7" w:rsidRDefault="3C75844D" w:rsidP="0002776A">
            <w:pPr>
              <w:pStyle w:val="BodyText"/>
              <w:numPr>
                <w:ilvl w:val="0"/>
                <w:numId w:val="8"/>
              </w:numPr>
              <w:spacing w:before="6"/>
              <w:rPr>
                <w:sz w:val="24"/>
                <w:szCs w:val="24"/>
              </w:rPr>
            </w:pPr>
            <w:r w:rsidRPr="1AE859CD">
              <w:rPr>
                <w:sz w:val="24"/>
                <w:szCs w:val="24"/>
              </w:rPr>
              <w:t>H</w:t>
            </w:r>
            <w:r w:rsidR="44E6E23C" w:rsidRPr="1AE859CD">
              <w:rPr>
                <w:sz w:val="24"/>
                <w:szCs w:val="24"/>
              </w:rPr>
              <w:t>igh</w:t>
            </w:r>
            <w:r w:rsidRPr="1AE859CD">
              <w:rPr>
                <w:sz w:val="24"/>
                <w:szCs w:val="24"/>
              </w:rPr>
              <w:t xml:space="preserve"> </w:t>
            </w:r>
            <w:r w:rsidR="009F56D7" w:rsidRPr="1AE859CD">
              <w:rPr>
                <w:sz w:val="24"/>
                <w:szCs w:val="24"/>
              </w:rPr>
              <w:t>quality design and good integration with surrounding uses.</w:t>
            </w:r>
          </w:p>
          <w:p w14:paraId="3CB89622" w14:textId="639559B9" w:rsidR="00C76AEE" w:rsidRDefault="00514822" w:rsidP="0002776A">
            <w:pPr>
              <w:pStyle w:val="BodyText"/>
              <w:numPr>
                <w:ilvl w:val="0"/>
                <w:numId w:val="8"/>
              </w:numPr>
              <w:spacing w:before="6"/>
              <w:rPr>
                <w:sz w:val="24"/>
              </w:rPr>
            </w:pPr>
            <w:r w:rsidRPr="009F56D7">
              <w:rPr>
                <w:sz w:val="24"/>
              </w:rPr>
              <w:t xml:space="preserve">Details on </w:t>
            </w:r>
            <w:r w:rsidR="0087022B" w:rsidRPr="009F56D7">
              <w:rPr>
                <w:sz w:val="24"/>
              </w:rPr>
              <w:t xml:space="preserve">all unit/room sizes and specifically set out </w:t>
            </w:r>
            <w:r w:rsidRPr="009F56D7">
              <w:rPr>
                <w:sz w:val="24"/>
              </w:rPr>
              <w:t xml:space="preserve">minimum unit sizes, </w:t>
            </w:r>
            <w:r w:rsidR="0087022B" w:rsidRPr="009F56D7">
              <w:rPr>
                <w:sz w:val="24"/>
              </w:rPr>
              <w:t xml:space="preserve">what </w:t>
            </w:r>
            <w:r w:rsidRPr="009F56D7">
              <w:rPr>
                <w:sz w:val="24"/>
              </w:rPr>
              <w:t>shared facilities</w:t>
            </w:r>
            <w:r w:rsidR="0087022B" w:rsidRPr="009F56D7">
              <w:rPr>
                <w:sz w:val="24"/>
              </w:rPr>
              <w:t xml:space="preserve"> are to be provided</w:t>
            </w:r>
            <w:r w:rsidRPr="009F56D7">
              <w:rPr>
                <w:sz w:val="24"/>
              </w:rPr>
              <w:t xml:space="preserve">, and </w:t>
            </w:r>
            <w:r w:rsidR="0087022B" w:rsidRPr="009F56D7">
              <w:rPr>
                <w:sz w:val="24"/>
              </w:rPr>
              <w:t xml:space="preserve">proposed </w:t>
            </w:r>
            <w:r w:rsidRPr="009F56D7">
              <w:rPr>
                <w:sz w:val="24"/>
              </w:rPr>
              <w:t xml:space="preserve">management arrangements. </w:t>
            </w:r>
          </w:p>
          <w:p w14:paraId="28909024" w14:textId="586894E6" w:rsidR="00891C18" w:rsidRPr="009F56D7" w:rsidRDefault="00891C18" w:rsidP="00782E09">
            <w:pPr>
              <w:pStyle w:val="BodyText"/>
              <w:spacing w:before="6"/>
              <w:ind w:left="360"/>
              <w:rPr>
                <w:sz w:val="24"/>
              </w:rPr>
            </w:pPr>
          </w:p>
        </w:tc>
      </w:tr>
    </w:tbl>
    <w:p w14:paraId="050E8276" w14:textId="69DCF87C" w:rsidR="00D24603" w:rsidRDefault="00D24603" w:rsidP="006F7A89">
      <w:bookmarkStart w:id="30" w:name="_Toc205205425"/>
      <w:bookmarkEnd w:id="28"/>
      <w:r>
        <w:br w:type="page"/>
      </w:r>
    </w:p>
    <w:p w14:paraId="6110FAE9" w14:textId="5564BE3A" w:rsidR="0001639F" w:rsidRPr="00514822" w:rsidRDefault="0001639F" w:rsidP="0001639F">
      <w:pPr>
        <w:pStyle w:val="Heading1"/>
        <w:tabs>
          <w:tab w:val="clear" w:pos="833"/>
          <w:tab w:val="left" w:pos="567"/>
        </w:tabs>
        <w:ind w:hanging="1353"/>
      </w:pPr>
      <w:bookmarkStart w:id="31" w:name="_Toc229488114"/>
      <w:bookmarkStart w:id="32" w:name="_Toc229489268"/>
      <w:bookmarkStart w:id="33" w:name="_Toc229489359"/>
      <w:bookmarkStart w:id="34" w:name="_Toc229489399"/>
      <w:bookmarkStart w:id="35" w:name="_Toc229489655"/>
      <w:bookmarkStart w:id="36" w:name="_Toc229489656"/>
      <w:bookmarkEnd w:id="30"/>
      <w:bookmarkEnd w:id="31"/>
      <w:bookmarkEnd w:id="32"/>
      <w:bookmarkEnd w:id="33"/>
      <w:bookmarkEnd w:id="34"/>
      <w:bookmarkEnd w:id="35"/>
      <w:r w:rsidRPr="005B03BB">
        <w:lastRenderedPageBreak/>
        <w:t>Design of Co-living Developments</w:t>
      </w:r>
      <w:bookmarkEnd w:id="36"/>
    </w:p>
    <w:p w14:paraId="03DBF26C" w14:textId="77777777" w:rsidR="00C01752" w:rsidRDefault="00C01752" w:rsidP="00DB547F">
      <w:pPr>
        <w:pStyle w:val="BodyText"/>
      </w:pPr>
    </w:p>
    <w:p w14:paraId="43B98216" w14:textId="4623F783" w:rsidR="00644754" w:rsidRPr="005B03BB" w:rsidRDefault="00CC6D62" w:rsidP="005B03BB">
      <w:pPr>
        <w:pStyle w:val="Heading2"/>
      </w:pPr>
      <w:bookmarkStart w:id="37" w:name="_Toc229489657"/>
      <w:r w:rsidRPr="005B03BB">
        <w:t>Private and Communal Amenity Space</w:t>
      </w:r>
      <w:bookmarkEnd w:id="37"/>
    </w:p>
    <w:p w14:paraId="31118824" w14:textId="77777777" w:rsidR="00CC6D62" w:rsidRPr="00DB547F" w:rsidRDefault="00CC6D62" w:rsidP="00DB547F">
      <w:pPr>
        <w:pStyle w:val="BodyText"/>
      </w:pPr>
    </w:p>
    <w:p w14:paraId="4A1D3286" w14:textId="7C1078E7" w:rsidR="006F3A5B" w:rsidRPr="005930FC" w:rsidRDefault="00102BC8" w:rsidP="005930FC">
      <w:pPr>
        <w:pStyle w:val="ListParagraph"/>
        <w:numPr>
          <w:ilvl w:val="1"/>
          <w:numId w:val="1"/>
        </w:numPr>
        <w:ind w:left="567" w:hanging="567"/>
        <w:jc w:val="left"/>
        <w:rPr>
          <w:rFonts w:eastAsiaTheme="minorHAnsi"/>
          <w:sz w:val="24"/>
          <w:szCs w:val="24"/>
          <w:lang w:bidi="ar-SA"/>
        </w:rPr>
      </w:pPr>
      <w:r w:rsidRPr="005930FC">
        <w:rPr>
          <w:rFonts w:eastAsiaTheme="minorHAnsi"/>
          <w:sz w:val="24"/>
          <w:szCs w:val="24"/>
          <w:lang w:bidi="ar-SA"/>
        </w:rPr>
        <w:t>Co-living developments should provide well-designed, integrated, and accessible shared amenity spaces</w:t>
      </w:r>
      <w:r w:rsidR="00ED5CF6">
        <w:rPr>
          <w:rFonts w:eastAsiaTheme="minorHAnsi"/>
          <w:sz w:val="24"/>
          <w:szCs w:val="24"/>
          <w:lang w:bidi="ar-SA"/>
        </w:rPr>
        <w:t>, typically with some element of distribution throughout the scheme</w:t>
      </w:r>
      <w:r w:rsidRPr="005930FC">
        <w:rPr>
          <w:rFonts w:eastAsiaTheme="minorHAnsi"/>
          <w:sz w:val="24"/>
          <w:szCs w:val="24"/>
          <w:lang w:bidi="ar-SA"/>
        </w:rPr>
        <w:t xml:space="preserve">. </w:t>
      </w:r>
      <w:r w:rsidR="00C5247A">
        <w:rPr>
          <w:rFonts w:eastAsiaTheme="minorHAnsi"/>
          <w:sz w:val="24"/>
          <w:szCs w:val="24"/>
          <w:lang w:bidi="ar-SA"/>
        </w:rPr>
        <w:t>W</w:t>
      </w:r>
      <w:r w:rsidR="00B54B28" w:rsidRPr="005930FC">
        <w:rPr>
          <w:rFonts w:eastAsiaTheme="minorHAnsi"/>
          <w:sz w:val="24"/>
          <w:szCs w:val="24"/>
          <w:lang w:bidi="ar-SA"/>
        </w:rPr>
        <w:t xml:space="preserve">ell-designed co-living </w:t>
      </w:r>
      <w:r w:rsidR="001A17E2" w:rsidRPr="005930FC">
        <w:rPr>
          <w:rFonts w:eastAsiaTheme="minorHAnsi"/>
          <w:sz w:val="24"/>
          <w:szCs w:val="24"/>
          <w:lang w:bidi="ar-SA"/>
        </w:rPr>
        <w:t>schemes</w:t>
      </w:r>
      <w:r w:rsidR="00B54B28" w:rsidRPr="005930FC">
        <w:rPr>
          <w:rFonts w:eastAsiaTheme="minorHAnsi"/>
          <w:sz w:val="24"/>
          <w:szCs w:val="24"/>
          <w:lang w:bidi="ar-SA"/>
        </w:rPr>
        <w:t xml:space="preserve"> </w:t>
      </w:r>
      <w:r w:rsidR="001A17E2" w:rsidRPr="005930FC">
        <w:rPr>
          <w:rFonts w:eastAsiaTheme="minorHAnsi"/>
          <w:sz w:val="24"/>
          <w:szCs w:val="24"/>
          <w:lang w:bidi="ar-SA"/>
        </w:rPr>
        <w:t xml:space="preserve">can </w:t>
      </w:r>
      <w:r w:rsidR="00B54B28" w:rsidRPr="005930FC">
        <w:rPr>
          <w:rFonts w:eastAsiaTheme="minorHAnsi"/>
          <w:sz w:val="24"/>
          <w:szCs w:val="24"/>
          <w:lang w:bidi="ar-SA"/>
        </w:rPr>
        <w:t xml:space="preserve">offer an opportunity to foster a positive and supportive community through high-quality shared spaces, often providing the added benefit of reduced </w:t>
      </w:r>
      <w:r w:rsidR="009D3A83">
        <w:rPr>
          <w:rFonts w:eastAsiaTheme="minorHAnsi"/>
          <w:sz w:val="24"/>
          <w:szCs w:val="24"/>
          <w:lang w:bidi="ar-SA"/>
        </w:rPr>
        <w:t xml:space="preserve">overall </w:t>
      </w:r>
      <w:r w:rsidR="00B54B28" w:rsidRPr="005930FC">
        <w:rPr>
          <w:rFonts w:eastAsiaTheme="minorHAnsi"/>
          <w:sz w:val="24"/>
          <w:szCs w:val="24"/>
          <w:lang w:bidi="ar-SA"/>
        </w:rPr>
        <w:t xml:space="preserve">living costs due to </w:t>
      </w:r>
      <w:r w:rsidR="0052325E" w:rsidRPr="005930FC">
        <w:rPr>
          <w:rFonts w:eastAsiaTheme="minorHAnsi"/>
          <w:sz w:val="24"/>
          <w:szCs w:val="24"/>
          <w:lang w:bidi="ar-SA"/>
        </w:rPr>
        <w:t xml:space="preserve">these </w:t>
      </w:r>
      <w:r w:rsidR="00B54B28" w:rsidRPr="005930FC">
        <w:rPr>
          <w:rFonts w:eastAsiaTheme="minorHAnsi"/>
          <w:sz w:val="24"/>
          <w:szCs w:val="24"/>
          <w:lang w:bidi="ar-SA"/>
        </w:rPr>
        <w:t>shared amenities</w:t>
      </w:r>
      <w:r w:rsidR="009D3A83">
        <w:rPr>
          <w:rFonts w:eastAsiaTheme="minorHAnsi"/>
          <w:sz w:val="24"/>
          <w:szCs w:val="24"/>
          <w:lang w:bidi="ar-SA"/>
        </w:rPr>
        <w:t xml:space="preserve"> and accessible location</w:t>
      </w:r>
      <w:r w:rsidR="00B54B28" w:rsidRPr="005930FC">
        <w:rPr>
          <w:rFonts w:eastAsiaTheme="minorHAnsi"/>
          <w:sz w:val="24"/>
          <w:szCs w:val="24"/>
          <w:lang w:bidi="ar-SA"/>
        </w:rPr>
        <w:t>.</w:t>
      </w:r>
    </w:p>
    <w:p w14:paraId="78FE64F4" w14:textId="77777777" w:rsidR="00B53EC5" w:rsidRPr="00581830" w:rsidRDefault="00B53EC5" w:rsidP="00B53EC5">
      <w:pPr>
        <w:pStyle w:val="ListParagraph"/>
        <w:spacing w:before="10"/>
        <w:ind w:left="567" w:firstLine="0"/>
        <w:jc w:val="left"/>
        <w:rPr>
          <w:color w:val="333333"/>
        </w:rPr>
      </w:pPr>
    </w:p>
    <w:p w14:paraId="1245C7E7" w14:textId="27D06D65" w:rsidR="009C0875" w:rsidRDefault="009C0875" w:rsidP="003D0221">
      <w:pPr>
        <w:pStyle w:val="ListParagraph"/>
        <w:numPr>
          <w:ilvl w:val="1"/>
          <w:numId w:val="1"/>
        </w:numPr>
        <w:ind w:left="567" w:hanging="567"/>
        <w:jc w:val="left"/>
        <w:rPr>
          <w:rFonts w:eastAsiaTheme="minorHAnsi"/>
          <w:sz w:val="24"/>
          <w:szCs w:val="24"/>
          <w:lang w:bidi="ar-SA"/>
        </w:rPr>
      </w:pPr>
      <w:hyperlink r:id="rId32" w:anchor="page=109" w:history="1">
        <w:r w:rsidRPr="002E2AA2">
          <w:rPr>
            <w:rStyle w:val="Hyperlink"/>
            <w:rFonts w:eastAsiaTheme="minorHAnsi"/>
            <w:sz w:val="24"/>
            <w:szCs w:val="24"/>
            <w:lang w:bidi="ar-SA"/>
          </w:rPr>
          <w:t xml:space="preserve">Policy </w:t>
        </w:r>
        <w:r w:rsidR="00614134" w:rsidRPr="002E2AA2">
          <w:rPr>
            <w:rStyle w:val="Hyperlink"/>
            <w:rFonts w:eastAsiaTheme="minorHAnsi"/>
            <w:sz w:val="24"/>
            <w:szCs w:val="24"/>
            <w:lang w:bidi="ar-SA"/>
          </w:rPr>
          <w:t>DE1</w:t>
        </w:r>
      </w:hyperlink>
      <w:r w:rsidR="004A4919" w:rsidRPr="004A4919">
        <w:rPr>
          <w:rFonts w:eastAsiaTheme="minorHAnsi"/>
          <w:sz w:val="24"/>
          <w:szCs w:val="24"/>
          <w:lang w:bidi="ar-SA"/>
        </w:rPr>
        <w:t xml:space="preserve"> </w:t>
      </w:r>
      <w:r w:rsidR="004A4919">
        <w:rPr>
          <w:rFonts w:eastAsiaTheme="minorHAnsi"/>
          <w:sz w:val="24"/>
          <w:szCs w:val="24"/>
          <w:lang w:bidi="ar-SA"/>
        </w:rPr>
        <w:t xml:space="preserve">of the LAPP </w:t>
      </w:r>
      <w:r w:rsidR="004A4919" w:rsidRPr="004A4919">
        <w:rPr>
          <w:rFonts w:eastAsiaTheme="minorHAnsi"/>
          <w:sz w:val="24"/>
          <w:szCs w:val="24"/>
          <w:lang w:bidi="ar-SA"/>
        </w:rPr>
        <w:t>emphasi</w:t>
      </w:r>
      <w:r w:rsidR="004A4919">
        <w:rPr>
          <w:rFonts w:eastAsiaTheme="minorHAnsi"/>
          <w:sz w:val="24"/>
          <w:szCs w:val="24"/>
          <w:lang w:bidi="ar-SA"/>
        </w:rPr>
        <w:t>s</w:t>
      </w:r>
      <w:r w:rsidR="004A4919" w:rsidRPr="004A4919">
        <w:rPr>
          <w:rFonts w:eastAsiaTheme="minorHAnsi"/>
          <w:sz w:val="24"/>
          <w:szCs w:val="24"/>
          <w:lang w:bidi="ar-SA"/>
        </w:rPr>
        <w:t>es the importance of providing appropriate private or communal amenity space for residential developments, including Houses in Multiple Occupation (HMOs) and other forms of shared living, to ensure a high quality of life for residents. It requires that such spaces are well-designed, accessible, and sufficient to meet residents' needs.</w:t>
      </w:r>
      <w:r w:rsidR="00B607CF">
        <w:rPr>
          <w:rFonts w:eastAsiaTheme="minorHAnsi"/>
          <w:sz w:val="24"/>
          <w:szCs w:val="24"/>
          <w:lang w:bidi="ar-SA"/>
        </w:rPr>
        <w:t xml:space="preserve"> </w:t>
      </w:r>
      <w:hyperlink r:id="rId33" w:anchor="page=113" w:history="1">
        <w:r w:rsidR="00B607CF" w:rsidRPr="002E2AA2">
          <w:rPr>
            <w:rStyle w:val="Hyperlink"/>
            <w:rFonts w:eastAsiaTheme="minorHAnsi"/>
            <w:sz w:val="24"/>
            <w:szCs w:val="24"/>
            <w:lang w:bidi="ar-SA"/>
          </w:rPr>
          <w:t>Policy DE2</w:t>
        </w:r>
      </w:hyperlink>
      <w:r w:rsidR="00B607CF" w:rsidRPr="00B607CF">
        <w:rPr>
          <w:rFonts w:eastAsiaTheme="minorHAnsi"/>
          <w:sz w:val="24"/>
          <w:szCs w:val="24"/>
          <w:lang w:bidi="ar-SA"/>
        </w:rPr>
        <w:t xml:space="preserve"> supports the creation of well-designed places, including the provision of defensible space and high-quality communal areas that promote community interaction </w:t>
      </w:r>
      <w:r w:rsidR="00614134">
        <w:rPr>
          <w:rFonts w:eastAsiaTheme="minorHAnsi"/>
          <w:sz w:val="24"/>
          <w:szCs w:val="24"/>
          <w:lang w:bidi="ar-SA"/>
        </w:rPr>
        <w:t>to</w:t>
      </w:r>
      <w:r w:rsidR="00B607CF" w:rsidRPr="00B607CF">
        <w:rPr>
          <w:rFonts w:eastAsiaTheme="minorHAnsi"/>
          <w:sz w:val="24"/>
          <w:szCs w:val="24"/>
          <w:lang w:bidi="ar-SA"/>
        </w:rPr>
        <w:t xml:space="preserve"> meet the functional needs of residents.</w:t>
      </w:r>
    </w:p>
    <w:p w14:paraId="57515D00" w14:textId="02D8968E" w:rsidR="009C0875" w:rsidRPr="00581830" w:rsidRDefault="009C0875" w:rsidP="00BE2FD5">
      <w:pPr>
        <w:pStyle w:val="ListParagraph"/>
        <w:ind w:left="567" w:firstLine="0"/>
        <w:jc w:val="left"/>
        <w:rPr>
          <w:rFonts w:eastAsiaTheme="minorHAnsi"/>
          <w:lang w:bidi="ar-SA"/>
        </w:rPr>
      </w:pPr>
    </w:p>
    <w:p w14:paraId="2B1940D3" w14:textId="73820C32" w:rsidR="00BE2FD5" w:rsidRDefault="00BE2FD5" w:rsidP="003D0221">
      <w:pPr>
        <w:pStyle w:val="ListParagraph"/>
        <w:numPr>
          <w:ilvl w:val="1"/>
          <w:numId w:val="1"/>
        </w:numPr>
        <w:ind w:left="567" w:hanging="567"/>
        <w:jc w:val="left"/>
        <w:rPr>
          <w:rFonts w:eastAsiaTheme="minorHAnsi"/>
          <w:sz w:val="24"/>
          <w:szCs w:val="24"/>
          <w:lang w:bidi="ar-SA"/>
        </w:rPr>
      </w:pPr>
      <w:r w:rsidRPr="00BE2FD5">
        <w:rPr>
          <w:rFonts w:eastAsiaTheme="minorHAnsi"/>
          <w:sz w:val="24"/>
          <w:szCs w:val="24"/>
          <w:lang w:bidi="ar-SA"/>
        </w:rPr>
        <w:t>Nottingham City Council will ensure that co-living developments deliver an appropriate level of amenity space</w:t>
      </w:r>
      <w:r w:rsidRPr="00DB393E">
        <w:rPr>
          <w:rFonts w:eastAsiaTheme="minorHAnsi"/>
          <w:sz w:val="24"/>
          <w:szCs w:val="24"/>
          <w:lang w:bidi="ar-SA"/>
        </w:rPr>
        <w:t>.</w:t>
      </w:r>
      <w:r w:rsidRPr="00BE2FD5">
        <w:rPr>
          <w:rFonts w:eastAsiaTheme="minorHAnsi"/>
          <w:sz w:val="24"/>
          <w:szCs w:val="24"/>
          <w:lang w:bidi="ar-SA"/>
        </w:rPr>
        <w:t xml:space="preserve"> </w:t>
      </w:r>
      <w:r w:rsidR="0052325E">
        <w:rPr>
          <w:rFonts w:eastAsiaTheme="minorHAnsi"/>
          <w:sz w:val="24"/>
          <w:szCs w:val="24"/>
          <w:lang w:bidi="ar-SA"/>
        </w:rPr>
        <w:t>This will include both i</w:t>
      </w:r>
      <w:r w:rsidRPr="00BE2FD5">
        <w:rPr>
          <w:rFonts w:eastAsiaTheme="minorHAnsi"/>
          <w:sz w:val="24"/>
          <w:szCs w:val="24"/>
          <w:lang w:bidi="ar-SA"/>
        </w:rPr>
        <w:t xml:space="preserve">nternal and external communal areas </w:t>
      </w:r>
      <w:r w:rsidR="0052325E">
        <w:rPr>
          <w:rFonts w:eastAsiaTheme="minorHAnsi"/>
          <w:sz w:val="24"/>
          <w:szCs w:val="24"/>
          <w:lang w:bidi="ar-SA"/>
        </w:rPr>
        <w:t xml:space="preserve">which </w:t>
      </w:r>
      <w:r w:rsidR="00C76AEE">
        <w:rPr>
          <w:rFonts w:eastAsiaTheme="minorHAnsi"/>
          <w:sz w:val="24"/>
          <w:szCs w:val="24"/>
          <w:lang w:bidi="ar-SA"/>
        </w:rPr>
        <w:t>should</w:t>
      </w:r>
      <w:r w:rsidRPr="00BE2FD5">
        <w:rPr>
          <w:rFonts w:eastAsiaTheme="minorHAnsi"/>
          <w:sz w:val="24"/>
          <w:szCs w:val="24"/>
          <w:lang w:bidi="ar-SA"/>
        </w:rPr>
        <w:t xml:space="preserve"> be design-led, considering the composition of spaces, their interrelationships within the building, and their intended use(s). These spaces </w:t>
      </w:r>
      <w:r w:rsidR="00C76AEE">
        <w:rPr>
          <w:rFonts w:eastAsiaTheme="minorHAnsi"/>
          <w:sz w:val="24"/>
          <w:szCs w:val="24"/>
          <w:lang w:bidi="ar-SA"/>
        </w:rPr>
        <w:t>should</w:t>
      </w:r>
      <w:r w:rsidRPr="00BE2FD5">
        <w:rPr>
          <w:rFonts w:eastAsiaTheme="minorHAnsi"/>
          <w:sz w:val="24"/>
          <w:szCs w:val="24"/>
          <w:lang w:bidi="ar-SA"/>
        </w:rPr>
        <w:t xml:space="preserve"> be inclusive, well-designed, appropriately sized, well-ventilated, easily accessible, and sufficient to meet the needs of the expected number of residents. They should also be adaptable for flexible use, enabling residents to exercise a reasonable degree of autonomy and fostering a sense of community. Layouts that discourage interaction, such as those with narrow corridors leading to numerous small bedrooms and limited shared amenity spaces, will </w:t>
      </w:r>
      <w:r w:rsidR="00917FF3">
        <w:rPr>
          <w:rFonts w:eastAsiaTheme="minorHAnsi"/>
          <w:sz w:val="24"/>
          <w:szCs w:val="24"/>
          <w:lang w:bidi="ar-SA"/>
        </w:rPr>
        <w:t xml:space="preserve">normally </w:t>
      </w:r>
      <w:r w:rsidRPr="00BE2FD5">
        <w:rPr>
          <w:rFonts w:eastAsiaTheme="minorHAnsi"/>
          <w:sz w:val="24"/>
          <w:szCs w:val="24"/>
          <w:lang w:bidi="ar-SA"/>
        </w:rPr>
        <w:t>not be supported</w:t>
      </w:r>
      <w:r w:rsidR="00B07C0F">
        <w:rPr>
          <w:rFonts w:eastAsiaTheme="minorHAnsi"/>
          <w:sz w:val="24"/>
          <w:szCs w:val="24"/>
          <w:lang w:bidi="ar-SA"/>
        </w:rPr>
        <w:t xml:space="preserve"> owing to not meeting the policy expectations set out by national and local policy</w:t>
      </w:r>
      <w:r w:rsidRPr="00BE2FD5">
        <w:rPr>
          <w:rFonts w:eastAsiaTheme="minorHAnsi"/>
          <w:sz w:val="24"/>
          <w:szCs w:val="24"/>
          <w:lang w:bidi="ar-SA"/>
        </w:rPr>
        <w:t>.</w:t>
      </w:r>
    </w:p>
    <w:p w14:paraId="670D4F66" w14:textId="77777777" w:rsidR="00BF094B" w:rsidRPr="00581830" w:rsidRDefault="00BF094B" w:rsidP="00BF094B">
      <w:pPr>
        <w:pStyle w:val="ListParagraph"/>
        <w:rPr>
          <w:rFonts w:eastAsiaTheme="minorHAnsi"/>
          <w:lang w:bidi="ar-SA"/>
        </w:rPr>
      </w:pPr>
    </w:p>
    <w:p w14:paraId="08C8725C" w14:textId="4C981285" w:rsidR="00BB73C3" w:rsidRDefault="00BB73C3" w:rsidP="00D8055B">
      <w:pPr>
        <w:pStyle w:val="Heading2"/>
        <w:rPr>
          <w:lang w:bidi="ar-SA"/>
        </w:rPr>
      </w:pPr>
      <w:bookmarkStart w:id="38" w:name="_Toc229489658"/>
      <w:r w:rsidRPr="362FA90F">
        <w:t>Unit Mix and Diversity</w:t>
      </w:r>
      <w:bookmarkEnd w:id="38"/>
    </w:p>
    <w:p w14:paraId="2A8BD2FC" w14:textId="77777777" w:rsidR="00BB73C3" w:rsidRDefault="00BB73C3" w:rsidP="00B13894">
      <w:pPr>
        <w:rPr>
          <w:rFonts w:eastAsiaTheme="minorHAnsi"/>
          <w:b/>
          <w:bCs/>
          <w:sz w:val="24"/>
          <w:szCs w:val="24"/>
          <w:lang w:bidi="ar-SA"/>
        </w:rPr>
      </w:pPr>
    </w:p>
    <w:p w14:paraId="5212539B" w14:textId="7FC64DA4" w:rsidR="00BB73C3" w:rsidRPr="00B13894" w:rsidRDefault="00227304" w:rsidP="00782E09">
      <w:pPr>
        <w:pStyle w:val="ListParagraph"/>
        <w:numPr>
          <w:ilvl w:val="1"/>
          <w:numId w:val="1"/>
        </w:numPr>
        <w:ind w:left="567" w:hanging="567"/>
        <w:jc w:val="left"/>
        <w:rPr>
          <w:rFonts w:eastAsiaTheme="minorHAnsi"/>
          <w:sz w:val="24"/>
          <w:szCs w:val="24"/>
          <w:lang w:bidi="ar-SA"/>
        </w:rPr>
      </w:pPr>
      <w:r>
        <w:rPr>
          <w:rFonts w:eastAsiaTheme="minorHAnsi"/>
          <w:sz w:val="24"/>
          <w:szCs w:val="24"/>
          <w:lang w:bidi="ar-SA"/>
        </w:rPr>
        <w:t>It is recommended that</w:t>
      </w:r>
      <w:r w:rsidRPr="00B13894">
        <w:rPr>
          <w:rFonts w:eastAsiaTheme="minorHAnsi"/>
          <w:sz w:val="24"/>
          <w:szCs w:val="24"/>
          <w:lang w:bidi="ar-SA"/>
        </w:rPr>
        <w:t xml:space="preserve"> </w:t>
      </w:r>
      <w:r w:rsidR="000869F3" w:rsidRPr="00B13894">
        <w:rPr>
          <w:rFonts w:eastAsiaTheme="minorHAnsi"/>
          <w:sz w:val="24"/>
          <w:szCs w:val="24"/>
          <w:lang w:bidi="ar-SA"/>
        </w:rPr>
        <w:t>c</w:t>
      </w:r>
      <w:r w:rsidR="00BB73C3" w:rsidRPr="00B13894">
        <w:rPr>
          <w:rFonts w:eastAsiaTheme="minorHAnsi"/>
          <w:sz w:val="24"/>
          <w:szCs w:val="24"/>
          <w:lang w:bidi="ar-SA"/>
        </w:rPr>
        <w:t xml:space="preserve">o-living developments should incorporate a balanced mix of unit types, including both studio units and </w:t>
      </w:r>
      <w:r w:rsidR="000A37FB" w:rsidRPr="00B13894">
        <w:rPr>
          <w:rFonts w:eastAsiaTheme="minorHAnsi"/>
          <w:sz w:val="24"/>
          <w:szCs w:val="24"/>
          <w:lang w:bidi="ar-SA"/>
        </w:rPr>
        <w:t>shared</w:t>
      </w:r>
      <w:r w:rsidR="00BB73C3" w:rsidRPr="00B13894">
        <w:rPr>
          <w:rFonts w:eastAsiaTheme="minorHAnsi"/>
          <w:sz w:val="24"/>
          <w:szCs w:val="24"/>
          <w:lang w:bidi="ar-SA"/>
        </w:rPr>
        <w:t xml:space="preserve"> flats. </w:t>
      </w:r>
      <w:r w:rsidR="00151FE4" w:rsidRPr="00B13894">
        <w:rPr>
          <w:rFonts w:eastAsiaTheme="minorHAnsi"/>
          <w:sz w:val="24"/>
          <w:szCs w:val="24"/>
          <w:lang w:bidi="ar-SA"/>
        </w:rPr>
        <w:t xml:space="preserve">A diverse accommodation mix supports varied lifestyle preferences, enhances affordability, and fosters community interaction and meets the aims of </w:t>
      </w:r>
      <w:r w:rsidR="00151FE4">
        <w:rPr>
          <w:rFonts w:eastAsiaTheme="minorHAnsi"/>
          <w:sz w:val="24"/>
          <w:szCs w:val="24"/>
          <w:lang w:bidi="ar-SA"/>
        </w:rPr>
        <w:t xml:space="preserve">LAPP </w:t>
      </w:r>
      <w:r w:rsidR="00151FE4" w:rsidRPr="00B13894">
        <w:rPr>
          <w:rFonts w:eastAsiaTheme="minorHAnsi"/>
          <w:sz w:val="24"/>
          <w:szCs w:val="24"/>
          <w:lang w:bidi="ar-SA"/>
        </w:rPr>
        <w:t xml:space="preserve">Policy HO1 to ensure a </w:t>
      </w:r>
      <w:r w:rsidR="00151FE4" w:rsidRPr="00B13894">
        <w:rPr>
          <w:sz w:val="24"/>
        </w:rPr>
        <w:t>mix of house types and sizes</w:t>
      </w:r>
      <w:r w:rsidR="00151FE4" w:rsidRPr="00B13894">
        <w:rPr>
          <w:rFonts w:eastAsiaTheme="minorHAnsi"/>
          <w:sz w:val="24"/>
          <w:szCs w:val="24"/>
          <w:lang w:bidi="ar-SA"/>
        </w:rPr>
        <w:t xml:space="preserve">. </w:t>
      </w:r>
      <w:r w:rsidR="00F92B80" w:rsidRPr="00F92B80">
        <w:rPr>
          <w:rFonts w:eastAsiaTheme="minorHAnsi"/>
          <w:sz w:val="24"/>
          <w:szCs w:val="24"/>
          <w:lang w:bidi="ar-SA"/>
        </w:rPr>
        <w:t>The Council recognises that studio</w:t>
      </w:r>
      <w:r w:rsidR="00F92B80" w:rsidRPr="00F92B80">
        <w:rPr>
          <w:rFonts w:ascii="Cambria Math" w:eastAsiaTheme="minorHAnsi" w:hAnsi="Cambria Math" w:cs="Cambria Math"/>
          <w:sz w:val="24"/>
          <w:szCs w:val="24"/>
          <w:lang w:bidi="ar-SA"/>
        </w:rPr>
        <w:t>‑</w:t>
      </w:r>
      <w:r w:rsidR="00F92B80" w:rsidRPr="00F92B80">
        <w:rPr>
          <w:rFonts w:eastAsiaTheme="minorHAnsi"/>
          <w:sz w:val="24"/>
          <w:szCs w:val="24"/>
          <w:lang w:bidi="ar-SA"/>
        </w:rPr>
        <w:t>based accommodation is the preferred format for many co</w:t>
      </w:r>
      <w:r w:rsidR="00F92B80" w:rsidRPr="00F92B80">
        <w:rPr>
          <w:rFonts w:ascii="Cambria Math" w:eastAsiaTheme="minorHAnsi" w:hAnsi="Cambria Math" w:cs="Cambria Math"/>
          <w:sz w:val="24"/>
          <w:szCs w:val="24"/>
          <w:lang w:bidi="ar-SA"/>
        </w:rPr>
        <w:t>‑</w:t>
      </w:r>
      <w:r w:rsidR="00F92B80" w:rsidRPr="00F92B80">
        <w:rPr>
          <w:rFonts w:eastAsiaTheme="minorHAnsi"/>
          <w:sz w:val="24"/>
          <w:szCs w:val="24"/>
          <w:lang w:bidi="ar-SA"/>
        </w:rPr>
        <w:t xml:space="preserve">living operators and reflects current sector practice. However, the Council continues to strongly encourage a mix of layouts and accommodation formats where appropriate, as part of achieving inclusive, adaptable and resilient developments that respond to a range of needs over time. </w:t>
      </w:r>
      <w:r w:rsidR="00BB73C3" w:rsidRPr="00B13894">
        <w:rPr>
          <w:rFonts w:eastAsiaTheme="minorHAnsi"/>
          <w:sz w:val="24"/>
          <w:szCs w:val="24"/>
          <w:lang w:bidi="ar-SA"/>
        </w:rPr>
        <w:t>The Council expects developers to demonstrate how the proposed mix meets identified housing needs and contributes to a high-quality living environment</w:t>
      </w:r>
      <w:r w:rsidR="002E2AA2" w:rsidRPr="00B13894">
        <w:rPr>
          <w:rFonts w:eastAsiaTheme="minorHAnsi"/>
          <w:sz w:val="24"/>
          <w:szCs w:val="24"/>
          <w:lang w:bidi="ar-SA"/>
        </w:rPr>
        <w:t xml:space="preserve"> for future occupiers</w:t>
      </w:r>
      <w:r w:rsidR="00BB73C3" w:rsidRPr="00B13894">
        <w:rPr>
          <w:rFonts w:eastAsiaTheme="minorHAnsi"/>
          <w:sz w:val="24"/>
          <w:szCs w:val="24"/>
          <w:lang w:bidi="ar-SA"/>
        </w:rPr>
        <w:t>.</w:t>
      </w:r>
    </w:p>
    <w:p w14:paraId="36B333C5" w14:textId="77777777" w:rsidR="00BB73C3" w:rsidRPr="00B13894" w:rsidRDefault="00BB73C3" w:rsidP="00D56BCB">
      <w:pPr>
        <w:rPr>
          <w:rFonts w:eastAsiaTheme="minorHAnsi"/>
          <w:b/>
          <w:bCs/>
          <w:sz w:val="24"/>
          <w:szCs w:val="24"/>
          <w:lang w:bidi="ar-SA"/>
        </w:rPr>
      </w:pPr>
    </w:p>
    <w:p w14:paraId="2EC4B0E3" w14:textId="77777777" w:rsidR="00840BC7" w:rsidRDefault="00840BC7" w:rsidP="00D56BCB">
      <w:pPr>
        <w:rPr>
          <w:b/>
          <w:bCs/>
          <w:sz w:val="24"/>
          <w:szCs w:val="24"/>
          <w:lang w:bidi="ar-SA"/>
        </w:rPr>
      </w:pPr>
      <w:bookmarkStart w:id="39" w:name="_Hlk222834890"/>
      <w:r>
        <w:rPr>
          <w:lang w:bidi="ar-SA"/>
        </w:rPr>
        <w:br w:type="page"/>
      </w:r>
    </w:p>
    <w:p w14:paraId="4B751E04" w14:textId="74CB1A81" w:rsidR="00BF094B" w:rsidRPr="00B13894" w:rsidRDefault="00BF094B" w:rsidP="00D56BCB">
      <w:pPr>
        <w:pStyle w:val="Heading2"/>
        <w:rPr>
          <w:lang w:bidi="ar-SA"/>
        </w:rPr>
      </w:pPr>
      <w:bookmarkStart w:id="40" w:name="_Toc229489659"/>
      <w:r w:rsidRPr="00B13894">
        <w:rPr>
          <w:lang w:bidi="ar-SA"/>
        </w:rPr>
        <w:lastRenderedPageBreak/>
        <w:t>Co</w:t>
      </w:r>
      <w:r w:rsidR="00B80444" w:rsidRPr="00B13894">
        <w:rPr>
          <w:lang w:bidi="ar-SA"/>
        </w:rPr>
        <w:t>-</w:t>
      </w:r>
      <w:r w:rsidRPr="00B13894">
        <w:rPr>
          <w:lang w:bidi="ar-SA"/>
        </w:rPr>
        <w:t>Living Space Standards</w:t>
      </w:r>
      <w:bookmarkEnd w:id="40"/>
    </w:p>
    <w:p w14:paraId="5A2D94EE" w14:textId="77777777" w:rsidR="004342FD" w:rsidRPr="00B13894" w:rsidRDefault="004342FD" w:rsidP="00D56BCB">
      <w:pPr>
        <w:pStyle w:val="ListParagraph"/>
        <w:rPr>
          <w:rFonts w:eastAsiaTheme="minorHAnsi"/>
          <w:lang w:bidi="ar-SA"/>
        </w:rPr>
      </w:pPr>
    </w:p>
    <w:p w14:paraId="6DF6AAAA" w14:textId="03A8E0B9" w:rsidR="002119D6" w:rsidRDefault="001A17E2" w:rsidP="00DB547F">
      <w:pPr>
        <w:pStyle w:val="NormP"/>
        <w:rPr>
          <w:lang w:bidi="ar-SA"/>
        </w:rPr>
      </w:pPr>
      <w:r w:rsidRPr="00B13894">
        <w:rPr>
          <w:lang w:bidi="ar-SA"/>
        </w:rPr>
        <w:t>By design c</w:t>
      </w:r>
      <w:r w:rsidR="005015AE" w:rsidRPr="00B13894">
        <w:rPr>
          <w:lang w:bidi="ar-SA"/>
        </w:rPr>
        <w:t xml:space="preserve">o-living developments prioritise efficient use of space. These compact units are designed to meet the needs of individual residents while maximising the </w:t>
      </w:r>
      <w:r w:rsidR="00614134" w:rsidRPr="00B13894">
        <w:rPr>
          <w:lang w:bidi="ar-SA"/>
        </w:rPr>
        <w:t>use</w:t>
      </w:r>
      <w:r w:rsidR="005015AE" w:rsidRPr="00B13894">
        <w:rPr>
          <w:lang w:bidi="ar-SA"/>
        </w:rPr>
        <w:t xml:space="preserve"> of </w:t>
      </w:r>
      <w:r w:rsidR="442B7D96" w:rsidRPr="00B13894">
        <w:rPr>
          <w:lang w:bidi="ar-SA"/>
        </w:rPr>
        <w:t>communal</w:t>
      </w:r>
      <w:r w:rsidR="005015AE" w:rsidRPr="00B13894">
        <w:rPr>
          <w:lang w:bidi="ar-SA"/>
        </w:rPr>
        <w:t xml:space="preserve"> available space. The focus on smaller private areas underscores the importance of well-designed communal spaces to enhance the overall living experience</w:t>
      </w:r>
      <w:r w:rsidR="0052325E" w:rsidRPr="00B13894">
        <w:rPr>
          <w:lang w:bidi="ar-SA"/>
        </w:rPr>
        <w:t xml:space="preserve"> of residents</w:t>
      </w:r>
      <w:r w:rsidR="005015AE" w:rsidRPr="00B13894">
        <w:rPr>
          <w:lang w:bidi="ar-SA"/>
        </w:rPr>
        <w:t>.</w:t>
      </w:r>
      <w:r w:rsidR="002119D6" w:rsidRPr="002119D6">
        <w:rPr>
          <w:lang w:bidi="ar-SA"/>
        </w:rPr>
        <w:t xml:space="preserve"> </w:t>
      </w:r>
    </w:p>
    <w:p w14:paraId="4B626EBE" w14:textId="77777777" w:rsidR="00685DBC" w:rsidRDefault="00685DBC" w:rsidP="0047749F">
      <w:pPr>
        <w:pStyle w:val="NormP"/>
        <w:numPr>
          <w:ilvl w:val="0"/>
          <w:numId w:val="0"/>
        </w:numPr>
        <w:ind w:left="567"/>
        <w:rPr>
          <w:lang w:bidi="ar-SA"/>
        </w:rPr>
      </w:pPr>
    </w:p>
    <w:p w14:paraId="74B4F863" w14:textId="68634607" w:rsidR="002119D6" w:rsidRPr="00685DBC" w:rsidRDefault="00151766" w:rsidP="00DB547F">
      <w:pPr>
        <w:pStyle w:val="NormP"/>
        <w:rPr>
          <w:lang w:bidi="ar-SA"/>
        </w:rPr>
      </w:pPr>
      <w:r>
        <w:rPr>
          <w:lang w:bidi="ar-SA"/>
        </w:rPr>
        <w:t>It is</w:t>
      </w:r>
      <w:r w:rsidR="002119D6" w:rsidRPr="00685DBC">
        <w:rPr>
          <w:lang w:bidi="ar-SA"/>
        </w:rPr>
        <w:t xml:space="preserve"> recognise</w:t>
      </w:r>
      <w:r>
        <w:rPr>
          <w:lang w:bidi="ar-SA"/>
        </w:rPr>
        <w:t>d</w:t>
      </w:r>
      <w:r w:rsidR="002119D6" w:rsidRPr="00685DBC">
        <w:rPr>
          <w:lang w:bidi="ar-SA"/>
        </w:rPr>
        <w:t xml:space="preserve"> that internal communal amenity in co</w:t>
      </w:r>
      <w:r w:rsidR="002119D6" w:rsidRPr="00685DBC">
        <w:rPr>
          <w:rFonts w:ascii="Cambria Math" w:hAnsi="Cambria Math" w:cs="Cambria Math"/>
          <w:lang w:bidi="ar-SA"/>
        </w:rPr>
        <w:t>‑</w:t>
      </w:r>
      <w:r w:rsidR="002119D6" w:rsidRPr="00685DBC">
        <w:rPr>
          <w:lang w:bidi="ar-SA"/>
        </w:rPr>
        <w:t>living schemes do not operate on a simple per</w:t>
      </w:r>
      <w:r w:rsidR="002119D6" w:rsidRPr="00685DBC">
        <w:rPr>
          <w:rFonts w:ascii="Cambria Math" w:hAnsi="Cambria Math" w:cs="Cambria Math"/>
          <w:lang w:bidi="ar-SA"/>
        </w:rPr>
        <w:t>‑</w:t>
      </w:r>
      <w:r w:rsidR="002119D6" w:rsidRPr="00685DBC">
        <w:rPr>
          <w:lang w:bidi="ar-SA"/>
        </w:rPr>
        <w:t>resident proportional basis. Many shared facilities are subject to intermittent and staggered use, meaning that as schemes increase in scale, peak demand does not rise in direct proportion to the number of occupants. Larger developments are also typically able to provide a wider range of shared spaces, improved management arrangements, longer opening hours and better distribution of amenity throughout the building, all of which reduce pressure on individual facilities.</w:t>
      </w:r>
    </w:p>
    <w:p w14:paraId="03A5DE1A" w14:textId="77777777" w:rsidR="00F87E58" w:rsidRDefault="00F87E58" w:rsidP="0047749F">
      <w:pPr>
        <w:pStyle w:val="NormP"/>
        <w:numPr>
          <w:ilvl w:val="0"/>
          <w:numId w:val="0"/>
        </w:numPr>
        <w:ind w:left="567"/>
        <w:rPr>
          <w:lang w:bidi="ar-SA"/>
        </w:rPr>
      </w:pPr>
    </w:p>
    <w:p w14:paraId="0221ED00" w14:textId="09790AF4" w:rsidR="00294850" w:rsidRPr="00151766" w:rsidRDefault="002119D6" w:rsidP="00DB547F">
      <w:pPr>
        <w:pStyle w:val="NormP"/>
        <w:rPr>
          <w:lang w:bidi="ar-SA"/>
        </w:rPr>
      </w:pPr>
      <w:r w:rsidRPr="00151766">
        <w:rPr>
          <w:lang w:bidi="ar-SA"/>
        </w:rPr>
        <w:t>In this context, a modest reduction in communal amenity space per bedspace in larger schemes can still deliver adequate internal living space and a high standard of residential amenity, provided that such space is of high quality, genuinely accessible, varied in type, and appropriately distributed. The tiered approach set out in this guidance reflects these functional and operational realities and is supported by a fixed minimum private unit size and a holistic assessment of residential living conditions.</w:t>
      </w:r>
    </w:p>
    <w:p w14:paraId="78CE60AC" w14:textId="77777777" w:rsidR="00151766" w:rsidRDefault="00151766" w:rsidP="00DB547F">
      <w:pPr>
        <w:pStyle w:val="NormP"/>
        <w:numPr>
          <w:ilvl w:val="0"/>
          <w:numId w:val="0"/>
        </w:numPr>
        <w:ind w:left="1230"/>
        <w:rPr>
          <w:lang w:bidi="ar-SA"/>
        </w:rPr>
      </w:pPr>
    </w:p>
    <w:p w14:paraId="4D3BDC3E" w14:textId="7A7515B3" w:rsidR="0083229F" w:rsidRDefault="00D42909" w:rsidP="00DB547F">
      <w:pPr>
        <w:pStyle w:val="NormP"/>
        <w:rPr>
          <w:lang w:bidi="ar-SA"/>
        </w:rPr>
      </w:pPr>
      <w:r>
        <w:rPr>
          <w:lang w:bidi="ar-SA"/>
        </w:rPr>
        <w:t>Given this</w:t>
      </w:r>
      <w:r w:rsidR="0083229F" w:rsidRPr="0083229F">
        <w:rPr>
          <w:lang w:bidi="ar-SA"/>
        </w:rPr>
        <w:t xml:space="preserve">, the Council’s starting position is that, with appropriate room geometry and </w:t>
      </w:r>
      <w:r w:rsidR="00CF7FFB" w:rsidRPr="0083229F">
        <w:rPr>
          <w:lang w:bidi="ar-SA"/>
        </w:rPr>
        <w:t>high-quality</w:t>
      </w:r>
      <w:r w:rsidR="0083229F" w:rsidRPr="0083229F">
        <w:rPr>
          <w:lang w:bidi="ar-SA"/>
        </w:rPr>
        <w:t xml:space="preserve"> design, the following represent a robust basis for demonstrating adequate internal living space:</w:t>
      </w:r>
    </w:p>
    <w:p w14:paraId="22F09690" w14:textId="77777777" w:rsidR="00601691" w:rsidRDefault="00601691" w:rsidP="005741FB">
      <w:pPr>
        <w:pStyle w:val="ListParagraph"/>
        <w:rPr>
          <w:rFonts w:eastAsiaTheme="minorEastAsia"/>
          <w:lang w:bidi="ar-SA"/>
        </w:rPr>
      </w:pPr>
    </w:p>
    <w:tbl>
      <w:tblPr>
        <w:tblStyle w:val="TableGrid"/>
        <w:tblW w:w="0" w:type="auto"/>
        <w:tblInd w:w="567" w:type="dxa"/>
        <w:tblLook w:val="04A0" w:firstRow="1" w:lastRow="0" w:firstColumn="1" w:lastColumn="0" w:noHBand="0" w:noVBand="1"/>
      </w:tblPr>
      <w:tblGrid>
        <w:gridCol w:w="2263"/>
        <w:gridCol w:w="7170"/>
      </w:tblGrid>
      <w:tr w:rsidR="00D641B9" w14:paraId="5C414704" w14:textId="77777777" w:rsidTr="00D641B9">
        <w:tc>
          <w:tcPr>
            <w:tcW w:w="2263" w:type="dxa"/>
          </w:tcPr>
          <w:p w14:paraId="5E5B9426" w14:textId="35EAC048" w:rsidR="00D641B9" w:rsidRPr="00DB547F" w:rsidRDefault="00D641B9" w:rsidP="00D641B9">
            <w:pPr>
              <w:pStyle w:val="NormP"/>
              <w:numPr>
                <w:ilvl w:val="0"/>
                <w:numId w:val="0"/>
              </w:numPr>
              <w:ind w:left="35"/>
              <w:rPr>
                <w:b/>
                <w:bCs/>
                <w:lang w:bidi="ar-SA"/>
              </w:rPr>
            </w:pPr>
            <w:r w:rsidRPr="00DB547F">
              <w:rPr>
                <w:b/>
                <w:bCs/>
                <w:lang w:bidi="ar-SA"/>
              </w:rPr>
              <w:t>Indoor amenity space</w:t>
            </w:r>
          </w:p>
          <w:p w14:paraId="2FDDA29A" w14:textId="77777777" w:rsidR="00D641B9" w:rsidRDefault="00D641B9" w:rsidP="00D641B9">
            <w:pPr>
              <w:pStyle w:val="NormP"/>
              <w:numPr>
                <w:ilvl w:val="0"/>
                <w:numId w:val="0"/>
              </w:numPr>
              <w:ind w:left="35"/>
              <w:rPr>
                <w:b/>
                <w:bCs/>
                <w:lang w:bidi="ar-SA"/>
              </w:rPr>
            </w:pPr>
          </w:p>
        </w:tc>
        <w:tc>
          <w:tcPr>
            <w:tcW w:w="7170" w:type="dxa"/>
          </w:tcPr>
          <w:p w14:paraId="01441B1E" w14:textId="45297EBF" w:rsidR="00D641B9" w:rsidRPr="00D641B9" w:rsidRDefault="00D641B9" w:rsidP="00D641B9">
            <w:pPr>
              <w:pStyle w:val="NormP"/>
              <w:numPr>
                <w:ilvl w:val="0"/>
                <w:numId w:val="0"/>
              </w:numPr>
              <w:rPr>
                <w:lang w:bidi="ar-SA"/>
              </w:rPr>
            </w:pPr>
            <w:r w:rsidRPr="00D641B9">
              <w:rPr>
                <w:lang w:bidi="ar-SA"/>
              </w:rPr>
              <w:t>Tiered Approach</w:t>
            </w:r>
          </w:p>
          <w:p w14:paraId="4960939B" w14:textId="1B75622D" w:rsidR="00D641B9" w:rsidRPr="00D641B9" w:rsidRDefault="00D641B9" w:rsidP="00D641B9">
            <w:pPr>
              <w:pStyle w:val="NormP"/>
              <w:numPr>
                <w:ilvl w:val="2"/>
                <w:numId w:val="17"/>
              </w:numPr>
              <w:rPr>
                <w:lang w:bidi="ar-SA"/>
              </w:rPr>
            </w:pPr>
            <w:r w:rsidRPr="00D641B9">
              <w:rPr>
                <w:lang w:bidi="ar-SA"/>
              </w:rPr>
              <w:t>4 sqm per bedspace in smaller schemes (up to c.150 bedspaces),</w:t>
            </w:r>
          </w:p>
          <w:p w14:paraId="190B7382" w14:textId="77777777" w:rsidR="00D641B9" w:rsidRPr="00D641B9" w:rsidRDefault="00D641B9" w:rsidP="00D641B9">
            <w:pPr>
              <w:pStyle w:val="NormP"/>
              <w:numPr>
                <w:ilvl w:val="2"/>
                <w:numId w:val="17"/>
              </w:numPr>
              <w:rPr>
                <w:lang w:bidi="ar-SA"/>
              </w:rPr>
            </w:pPr>
            <w:r w:rsidRPr="00D641B9">
              <w:rPr>
                <w:lang w:bidi="ar-SA"/>
              </w:rPr>
              <w:t>3.5 sqm per bedspace in medium</w:t>
            </w:r>
            <w:r w:rsidRPr="00D641B9">
              <w:rPr>
                <w:rFonts w:ascii="Cambria Math" w:hAnsi="Cambria Math" w:cs="Cambria Math"/>
                <w:lang w:bidi="ar-SA"/>
              </w:rPr>
              <w:t>‑</w:t>
            </w:r>
            <w:r w:rsidRPr="00D641B9">
              <w:rPr>
                <w:lang w:bidi="ar-SA"/>
              </w:rPr>
              <w:t>sized schemes (c.150–300 bedspaces),</w:t>
            </w:r>
          </w:p>
          <w:p w14:paraId="675AFFAA" w14:textId="77777777" w:rsidR="00D641B9" w:rsidRPr="00D641B9" w:rsidRDefault="00D641B9" w:rsidP="00D641B9">
            <w:pPr>
              <w:pStyle w:val="NormP"/>
              <w:numPr>
                <w:ilvl w:val="2"/>
                <w:numId w:val="17"/>
              </w:numPr>
              <w:rPr>
                <w:lang w:bidi="ar-SA"/>
              </w:rPr>
            </w:pPr>
            <w:r w:rsidRPr="00D641B9">
              <w:rPr>
                <w:lang w:bidi="ar-SA"/>
              </w:rPr>
              <w:t>3 sqm per bedspace in larger schemes (over c.300 bedspaces).</w:t>
            </w:r>
          </w:p>
          <w:p w14:paraId="64B3AEAE" w14:textId="20E2FDCE" w:rsidR="00D641B9" w:rsidRPr="00D641B9" w:rsidRDefault="00D641B9" w:rsidP="00D641B9">
            <w:pPr>
              <w:pStyle w:val="NormP"/>
              <w:numPr>
                <w:ilvl w:val="2"/>
                <w:numId w:val="17"/>
              </w:numPr>
              <w:rPr>
                <w:lang w:bidi="ar-SA"/>
              </w:rPr>
            </w:pPr>
            <w:r w:rsidRPr="00D641B9">
              <w:rPr>
                <w:lang w:bidi="ar-SA"/>
              </w:rPr>
              <w:t>Note: This is premised on indoor amenity space being of adequate quality, diversity and distribution (see 7.21) to meet user’s needs.</w:t>
            </w:r>
          </w:p>
        </w:tc>
      </w:tr>
      <w:tr w:rsidR="00D641B9" w14:paraId="35A2742F" w14:textId="77777777" w:rsidTr="00D641B9">
        <w:tc>
          <w:tcPr>
            <w:tcW w:w="2263" w:type="dxa"/>
          </w:tcPr>
          <w:p w14:paraId="71DB7642" w14:textId="1E2AAA96" w:rsidR="00D641B9" w:rsidRDefault="00D641B9" w:rsidP="00D641B9">
            <w:pPr>
              <w:pStyle w:val="NormP"/>
              <w:numPr>
                <w:ilvl w:val="0"/>
                <w:numId w:val="0"/>
              </w:numPr>
              <w:ind w:left="35"/>
              <w:rPr>
                <w:lang w:bidi="ar-SA"/>
              </w:rPr>
            </w:pPr>
            <w:r w:rsidRPr="00EC1D37">
              <w:rPr>
                <w:b/>
                <w:bCs/>
                <w:lang w:bidi="ar-SA"/>
              </w:rPr>
              <w:t>Private unit size</w:t>
            </w:r>
          </w:p>
          <w:p w14:paraId="4F4E3D51" w14:textId="77777777" w:rsidR="00D641B9" w:rsidRDefault="00D641B9" w:rsidP="00D641B9">
            <w:pPr>
              <w:pStyle w:val="NormP"/>
              <w:numPr>
                <w:ilvl w:val="0"/>
                <w:numId w:val="0"/>
              </w:numPr>
              <w:ind w:left="35"/>
              <w:rPr>
                <w:b/>
                <w:bCs/>
                <w:lang w:bidi="ar-SA"/>
              </w:rPr>
            </w:pPr>
          </w:p>
        </w:tc>
        <w:tc>
          <w:tcPr>
            <w:tcW w:w="7170" w:type="dxa"/>
          </w:tcPr>
          <w:p w14:paraId="789FCA84" w14:textId="77777777" w:rsidR="00D641B9" w:rsidRPr="00D641B9" w:rsidRDefault="00D641B9" w:rsidP="00D641B9">
            <w:pPr>
              <w:pStyle w:val="NormP"/>
              <w:numPr>
                <w:ilvl w:val="0"/>
                <w:numId w:val="0"/>
              </w:numPr>
              <w:ind w:left="320" w:hanging="320"/>
              <w:rPr>
                <w:lang w:bidi="ar-SA"/>
              </w:rPr>
            </w:pPr>
            <w:r w:rsidRPr="00D641B9">
              <w:rPr>
                <w:lang w:bidi="ar-SA"/>
              </w:rPr>
              <w:t>Requirements vary by unit type:</w:t>
            </w:r>
          </w:p>
          <w:p w14:paraId="25291B19" w14:textId="77777777" w:rsidR="00D641B9" w:rsidRPr="00D641B9" w:rsidRDefault="00D641B9" w:rsidP="00D641B9">
            <w:pPr>
              <w:pStyle w:val="NormP"/>
              <w:numPr>
                <w:ilvl w:val="2"/>
                <w:numId w:val="17"/>
              </w:numPr>
              <w:rPr>
                <w:lang w:bidi="ar-SA"/>
              </w:rPr>
            </w:pPr>
            <w:r w:rsidRPr="00D641B9">
              <w:rPr>
                <w:lang w:bidi="ar-SA"/>
              </w:rPr>
              <w:t>Studios / one bed units (sole occupancy): 25 sqm or greater.</w:t>
            </w:r>
          </w:p>
          <w:p w14:paraId="0793369A" w14:textId="01B86E8A" w:rsidR="00D641B9" w:rsidRPr="00D641B9" w:rsidRDefault="00D641B9" w:rsidP="00D641B9">
            <w:pPr>
              <w:pStyle w:val="NormP"/>
              <w:numPr>
                <w:ilvl w:val="2"/>
                <w:numId w:val="17"/>
              </w:numPr>
              <w:rPr>
                <w:lang w:bidi="ar-SA"/>
              </w:rPr>
            </w:pPr>
            <w:r w:rsidRPr="00D641B9">
              <w:rPr>
                <w:lang w:bidi="ar-SA"/>
              </w:rPr>
              <w:t>Two bed or larger units, and dual occupancy one bed units: Proposals with overall dimensions below NDSS may be considered acceptable where layouts provide adequate internal communal space and private living space for occupants and, where relevant, comply with HMO or other licensing requirements.</w:t>
            </w:r>
          </w:p>
        </w:tc>
      </w:tr>
    </w:tbl>
    <w:p w14:paraId="0DA6FA6C" w14:textId="64E8931C" w:rsidR="001C502B" w:rsidRPr="00B010AE" w:rsidRDefault="001C502B" w:rsidP="0047749F">
      <w:pPr>
        <w:pStyle w:val="NormP"/>
        <w:numPr>
          <w:ilvl w:val="0"/>
          <w:numId w:val="0"/>
        </w:numPr>
        <w:ind w:left="870"/>
        <w:rPr>
          <w:lang w:bidi="ar-SA"/>
        </w:rPr>
      </w:pPr>
    </w:p>
    <w:p w14:paraId="05B0B4C1" w14:textId="77777777" w:rsidR="0083229F" w:rsidRPr="0083229F" w:rsidRDefault="0083229F" w:rsidP="0002776A">
      <w:pPr>
        <w:pStyle w:val="NormP"/>
        <w:numPr>
          <w:ilvl w:val="1"/>
          <w:numId w:val="10"/>
        </w:numPr>
        <w:rPr>
          <w:lang w:bidi="ar-SA"/>
        </w:rPr>
      </w:pPr>
      <w:r w:rsidRPr="0083229F">
        <w:rPr>
          <w:lang w:bidi="ar-SA"/>
        </w:rPr>
        <w:t>For the purposes of calculating indoor amenity provision, dual occupancy one bed units will be treated as two bedspaces.</w:t>
      </w:r>
    </w:p>
    <w:p w14:paraId="090ABC00" w14:textId="77777777" w:rsidR="00840BC7" w:rsidRDefault="00840BC7" w:rsidP="00B010AE">
      <w:pPr>
        <w:pStyle w:val="ListParagraph"/>
        <w:ind w:left="567" w:firstLine="0"/>
        <w:rPr>
          <w:rFonts w:eastAsiaTheme="minorEastAsia"/>
          <w:sz w:val="24"/>
          <w:szCs w:val="24"/>
          <w:lang w:bidi="ar-SA"/>
        </w:rPr>
      </w:pPr>
    </w:p>
    <w:p w14:paraId="0D8D1D77" w14:textId="77777777" w:rsidR="00D641B9" w:rsidRDefault="00D641B9" w:rsidP="00B010AE">
      <w:pPr>
        <w:pStyle w:val="ListParagraph"/>
        <w:ind w:left="567" w:firstLine="0"/>
        <w:rPr>
          <w:rFonts w:eastAsiaTheme="minorEastAsia"/>
          <w:sz w:val="24"/>
          <w:szCs w:val="24"/>
          <w:lang w:bidi="ar-SA"/>
        </w:rPr>
      </w:pPr>
    </w:p>
    <w:p w14:paraId="43FABF58" w14:textId="762223E6" w:rsidR="0083229F" w:rsidRDefault="00D42909" w:rsidP="00B010AE">
      <w:pPr>
        <w:pStyle w:val="ListParagraph"/>
        <w:numPr>
          <w:ilvl w:val="1"/>
          <w:numId w:val="1"/>
        </w:numPr>
        <w:ind w:left="567" w:hanging="567"/>
        <w:rPr>
          <w:rFonts w:eastAsiaTheme="minorEastAsia"/>
          <w:sz w:val="24"/>
          <w:szCs w:val="24"/>
          <w:lang w:bidi="ar-SA"/>
        </w:rPr>
      </w:pPr>
      <w:r w:rsidRPr="00D42909">
        <w:rPr>
          <w:rFonts w:eastAsiaTheme="minorEastAsia"/>
          <w:b/>
          <w:bCs/>
          <w:sz w:val="24"/>
          <w:szCs w:val="24"/>
          <w:lang w:bidi="ar-SA"/>
        </w:rPr>
        <w:lastRenderedPageBreak/>
        <w:t xml:space="preserve">Appendix A </w:t>
      </w:r>
      <w:r w:rsidRPr="00EC1D37">
        <w:rPr>
          <w:rFonts w:eastAsiaTheme="minorEastAsia"/>
          <w:sz w:val="24"/>
          <w:szCs w:val="24"/>
          <w:lang w:bidi="ar-SA"/>
        </w:rPr>
        <w:t>explains the process and evidence followed to arrive at these recommendations.</w:t>
      </w:r>
      <w:r w:rsidRPr="00D42909">
        <w:rPr>
          <w:rFonts w:eastAsiaTheme="minorEastAsia"/>
          <w:b/>
          <w:bCs/>
          <w:sz w:val="24"/>
          <w:szCs w:val="24"/>
          <w:lang w:bidi="ar-SA"/>
        </w:rPr>
        <w:t xml:space="preserve"> </w:t>
      </w:r>
      <w:r w:rsidR="00915409" w:rsidRPr="00EC1D37">
        <w:rPr>
          <w:rFonts w:eastAsiaTheme="minorEastAsia"/>
          <w:b/>
          <w:bCs/>
          <w:sz w:val="24"/>
          <w:szCs w:val="24"/>
          <w:lang w:bidi="ar-SA"/>
        </w:rPr>
        <w:t>Appendix </w:t>
      </w:r>
      <w:r w:rsidRPr="00D42909">
        <w:rPr>
          <w:rFonts w:eastAsiaTheme="minorEastAsia"/>
          <w:b/>
          <w:bCs/>
          <w:sz w:val="24"/>
          <w:szCs w:val="24"/>
          <w:lang w:bidi="ar-SA"/>
        </w:rPr>
        <w:t>B</w:t>
      </w:r>
      <w:r w:rsidR="00915409" w:rsidRPr="00D42909">
        <w:rPr>
          <w:rFonts w:eastAsiaTheme="minorEastAsia"/>
          <w:sz w:val="24"/>
          <w:szCs w:val="24"/>
          <w:lang w:bidi="ar-SA"/>
        </w:rPr>
        <w:t xml:space="preserve"> provides illustrative layouts demonstrating how compact studios of around 25 sqm can function effectively where well designed. These examples are indicative only and must be read alongside the full guidance in this document.</w:t>
      </w:r>
    </w:p>
    <w:p w14:paraId="09F554BC" w14:textId="77777777" w:rsidR="00840BC7" w:rsidRPr="00D42909" w:rsidRDefault="00840BC7" w:rsidP="00DB547F">
      <w:pPr>
        <w:pStyle w:val="ListParagraph"/>
        <w:ind w:left="567" w:hanging="567"/>
        <w:rPr>
          <w:rFonts w:eastAsiaTheme="minorEastAsia"/>
          <w:sz w:val="24"/>
          <w:szCs w:val="24"/>
          <w:lang w:bidi="ar-SA"/>
        </w:rPr>
      </w:pPr>
    </w:p>
    <w:p w14:paraId="3704AD44" w14:textId="17EC7EF7" w:rsidR="00915409" w:rsidRDefault="00915409" w:rsidP="00D641B9">
      <w:pPr>
        <w:pStyle w:val="NormP"/>
        <w:ind w:left="567" w:hanging="567"/>
        <w:rPr>
          <w:lang w:bidi="ar-SA"/>
        </w:rPr>
      </w:pPr>
      <w:r w:rsidRPr="00915409">
        <w:rPr>
          <w:lang w:bidi="ar-SA"/>
        </w:rPr>
        <w:t xml:space="preserve">Achieving the above </w:t>
      </w:r>
      <w:r w:rsidR="005A1E6F">
        <w:rPr>
          <w:lang w:bidi="ar-SA"/>
        </w:rPr>
        <w:t xml:space="preserve">guidelines </w:t>
      </w:r>
      <w:r w:rsidRPr="00915409">
        <w:rPr>
          <w:lang w:bidi="ar-SA"/>
        </w:rPr>
        <w:t>is an important component of demonstrating a satisfactory standard of accommodation but is not</w:t>
      </w:r>
      <w:proofErr w:type="gramStart"/>
      <w:r w:rsidRPr="00915409">
        <w:rPr>
          <w:lang w:bidi="ar-SA"/>
        </w:rPr>
        <w:t>, in itself, determinative</w:t>
      </w:r>
      <w:proofErr w:type="gramEnd"/>
      <w:r w:rsidRPr="00915409">
        <w:rPr>
          <w:lang w:bidi="ar-SA"/>
        </w:rPr>
        <w:t>. For example, a 25 sqm studio with poor room geometry, limited daylight, or inadequate circulation space may fail to provide sufficient internal living space. Conversely, above</w:t>
      </w:r>
      <w:r w:rsidRPr="00915409">
        <w:rPr>
          <w:rFonts w:ascii="Cambria Math" w:hAnsi="Cambria Math" w:cs="Cambria Math"/>
          <w:lang w:bidi="ar-SA"/>
        </w:rPr>
        <w:t>‑</w:t>
      </w:r>
      <w:r w:rsidRPr="00915409">
        <w:rPr>
          <w:lang w:bidi="ar-SA"/>
        </w:rPr>
        <w:t>average provision of high</w:t>
      </w:r>
      <w:r w:rsidRPr="00915409">
        <w:rPr>
          <w:rFonts w:ascii="Cambria Math" w:hAnsi="Cambria Math" w:cs="Cambria Math"/>
          <w:lang w:bidi="ar-SA"/>
        </w:rPr>
        <w:t>‑</w:t>
      </w:r>
      <w:r w:rsidRPr="00915409">
        <w:rPr>
          <w:lang w:bidi="ar-SA"/>
        </w:rPr>
        <w:t>quality amenity space, carefully distributed so that a limited number of private units share dedicated kitchen and living facilities, may support a modest reduction in private unit size where a clear design and operational rationale is demonstrated.</w:t>
      </w:r>
    </w:p>
    <w:p w14:paraId="1F5A0BF4" w14:textId="77777777" w:rsidR="002D5A19" w:rsidRDefault="002D5A19" w:rsidP="00DB547F">
      <w:pPr>
        <w:pStyle w:val="ListParagraph"/>
        <w:ind w:left="567" w:hanging="567"/>
        <w:rPr>
          <w:rFonts w:eastAsiaTheme="minorEastAsia"/>
          <w:lang w:bidi="ar-SA"/>
        </w:rPr>
      </w:pPr>
    </w:p>
    <w:p w14:paraId="3BBD3E10" w14:textId="45A69E7A" w:rsidR="00985352" w:rsidRPr="00DE7D52" w:rsidRDefault="00915409" w:rsidP="00D641B9">
      <w:pPr>
        <w:pStyle w:val="NormP"/>
        <w:ind w:left="567" w:hanging="567"/>
        <w:rPr>
          <w:lang w:bidi="ar-SA"/>
        </w:rPr>
      </w:pPr>
      <w:r w:rsidRPr="000444EB">
        <w:rPr>
          <w:lang w:bidi="ar-SA"/>
        </w:rPr>
        <w:t>Given the non</w:t>
      </w:r>
      <w:r w:rsidRPr="000444EB">
        <w:rPr>
          <w:rFonts w:ascii="Cambria Math" w:hAnsi="Cambria Math" w:cs="Cambria Math"/>
          <w:lang w:bidi="ar-SA"/>
        </w:rPr>
        <w:t>‑</w:t>
      </w:r>
      <w:r w:rsidRPr="000444EB">
        <w:rPr>
          <w:lang w:bidi="ar-SA"/>
        </w:rPr>
        <w:t xml:space="preserve">statutory status of this guidance, </w:t>
      </w:r>
      <w:r w:rsidR="002D5A19" w:rsidRPr="000444EB">
        <w:rPr>
          <w:lang w:bidi="ar-SA"/>
        </w:rPr>
        <w:t xml:space="preserve">it must be noted </w:t>
      </w:r>
      <w:r w:rsidRPr="000444EB">
        <w:rPr>
          <w:lang w:bidi="ar-SA"/>
        </w:rPr>
        <w:t xml:space="preserve">these </w:t>
      </w:r>
      <w:r w:rsidR="003B7BE9">
        <w:rPr>
          <w:lang w:bidi="ar-SA"/>
        </w:rPr>
        <w:t>guidelines</w:t>
      </w:r>
      <w:r w:rsidRPr="000444EB">
        <w:rPr>
          <w:lang w:bidi="ar-SA"/>
        </w:rPr>
        <w:t xml:space="preserve"> are not policy requirements but represent the Council’s reasoned interpretation of national and local planning policy</w:t>
      </w:r>
      <w:r w:rsidR="006A6751" w:rsidRPr="000444EB">
        <w:rPr>
          <w:rFonts w:ascii="Segoe UI" w:eastAsia="Times New Roman" w:hAnsi="Segoe UI" w:cs="Segoe UI"/>
          <w:sz w:val="21"/>
          <w:szCs w:val="21"/>
          <w:lang w:bidi="ar-SA"/>
        </w:rPr>
        <w:t xml:space="preserve"> </w:t>
      </w:r>
      <w:r w:rsidR="006A6751" w:rsidRPr="000444EB">
        <w:rPr>
          <w:lang w:bidi="ar-SA"/>
        </w:rPr>
        <w:t xml:space="preserve">and </w:t>
      </w:r>
      <w:r w:rsidR="006A6751" w:rsidRPr="00EC1D37">
        <w:rPr>
          <w:lang w:bidi="ar-SA"/>
        </w:rPr>
        <w:t>will be applied as a material consideration when assessing proposals</w:t>
      </w:r>
      <w:r w:rsidR="006A6751" w:rsidRPr="00DE7D52">
        <w:rPr>
          <w:lang w:bidi="ar-SA"/>
        </w:rPr>
        <w:t xml:space="preserve">. </w:t>
      </w:r>
    </w:p>
    <w:p w14:paraId="3C8B014A" w14:textId="77777777" w:rsidR="00985352" w:rsidRPr="00990564" w:rsidRDefault="00985352" w:rsidP="00DB547F">
      <w:pPr>
        <w:pStyle w:val="NormP"/>
        <w:numPr>
          <w:ilvl w:val="0"/>
          <w:numId w:val="0"/>
        </w:numPr>
        <w:ind w:left="567" w:hanging="567"/>
        <w:rPr>
          <w:lang w:bidi="ar-SA"/>
        </w:rPr>
      </w:pPr>
    </w:p>
    <w:p w14:paraId="44C61302" w14:textId="0FC9BAEC" w:rsidR="000D64FA" w:rsidRDefault="00214689" w:rsidP="00EB5D0E">
      <w:pPr>
        <w:pStyle w:val="ListParagraph"/>
        <w:numPr>
          <w:ilvl w:val="1"/>
          <w:numId w:val="1"/>
        </w:numPr>
        <w:ind w:left="567" w:hanging="567"/>
        <w:rPr>
          <w:sz w:val="24"/>
          <w:szCs w:val="24"/>
        </w:rPr>
      </w:pPr>
      <w:r w:rsidRPr="00214689">
        <w:rPr>
          <w:sz w:val="24"/>
          <w:szCs w:val="24"/>
        </w:rPr>
        <w:t>For the avoidance of doubt, the flexibility described above applies only to genuine co</w:t>
      </w:r>
      <w:r w:rsidR="00404505">
        <w:rPr>
          <w:sz w:val="24"/>
          <w:szCs w:val="24"/>
        </w:rPr>
        <w:t>-</w:t>
      </w:r>
      <w:r w:rsidRPr="00214689">
        <w:rPr>
          <w:sz w:val="24"/>
          <w:szCs w:val="24"/>
        </w:rPr>
        <w:t>living developments as defined in Section 3 of this guidance. It does not apply to Houses in Multiple Occupation or other shared residential accommodation, which will continue to be assessed against the Council’s HMO Amenity Guidance, including full compliance with national minimum room size standards without offset.</w:t>
      </w:r>
    </w:p>
    <w:p w14:paraId="1A53E0F9" w14:textId="77777777" w:rsidR="00237BCD" w:rsidRPr="00FF3709" w:rsidRDefault="00237BCD" w:rsidP="00B6134E">
      <w:pPr>
        <w:pStyle w:val="ListParagraph"/>
        <w:ind w:left="567" w:firstLine="0"/>
        <w:rPr>
          <w:sz w:val="24"/>
          <w:szCs w:val="24"/>
        </w:rPr>
      </w:pPr>
    </w:p>
    <w:p w14:paraId="0ABF9A56" w14:textId="3222AED6" w:rsidR="003D0221" w:rsidRPr="00B13894" w:rsidRDefault="00821540" w:rsidP="00B6134E">
      <w:pPr>
        <w:pStyle w:val="ListParagraph"/>
        <w:numPr>
          <w:ilvl w:val="1"/>
          <w:numId w:val="1"/>
        </w:numPr>
        <w:ind w:left="567" w:hanging="567"/>
        <w:jc w:val="left"/>
        <w:rPr>
          <w:sz w:val="24"/>
          <w:szCs w:val="24"/>
        </w:rPr>
      </w:pPr>
      <w:r>
        <w:rPr>
          <w:sz w:val="24"/>
          <w:szCs w:val="24"/>
        </w:rPr>
        <w:t xml:space="preserve">Standards for outdoor amenity space are addressed in separate planning guidance – </w:t>
      </w:r>
      <w:r w:rsidR="00EC6D59">
        <w:rPr>
          <w:sz w:val="24"/>
          <w:szCs w:val="24"/>
        </w:rPr>
        <w:t>please refer to the</w:t>
      </w:r>
      <w:r w:rsidR="002A5977">
        <w:rPr>
          <w:sz w:val="24"/>
          <w:szCs w:val="24"/>
        </w:rPr>
        <w:t xml:space="preserve"> ‘</w:t>
      </w:r>
      <w:hyperlink r:id="rId34" w:history="1">
        <w:r w:rsidR="00EC6D59" w:rsidRPr="002A5977">
          <w:rPr>
            <w:rStyle w:val="Hyperlink"/>
            <w:sz w:val="24"/>
            <w:szCs w:val="24"/>
          </w:rPr>
          <w:t>The Provision of Open Space in New Residential and Commercial Development</w:t>
        </w:r>
      </w:hyperlink>
      <w:r w:rsidR="00EC6D59" w:rsidRPr="00EC6D59">
        <w:rPr>
          <w:sz w:val="24"/>
          <w:szCs w:val="24"/>
        </w:rPr>
        <w:t>’ Supplementary Planning Document</w:t>
      </w:r>
      <w:r w:rsidR="002A5977">
        <w:rPr>
          <w:sz w:val="24"/>
          <w:szCs w:val="24"/>
        </w:rPr>
        <w:t xml:space="preserve">. </w:t>
      </w:r>
      <w:r w:rsidR="00837D3D" w:rsidRPr="00837D3D">
        <w:rPr>
          <w:sz w:val="24"/>
          <w:szCs w:val="24"/>
        </w:rPr>
        <w:t xml:space="preserve">In instances where most open space is likely to be provided </w:t>
      </w:r>
      <w:r w:rsidR="004249F7" w:rsidRPr="00837D3D">
        <w:rPr>
          <w:sz w:val="24"/>
          <w:szCs w:val="24"/>
        </w:rPr>
        <w:t>off-site;</w:t>
      </w:r>
      <w:r w:rsidR="00837D3D" w:rsidRPr="00837D3D">
        <w:rPr>
          <w:sz w:val="24"/>
          <w:szCs w:val="24"/>
        </w:rPr>
        <w:t xml:space="preserve"> it is recommended that at least 1 sqm per bedspace of open space is still provided on site.</w:t>
      </w:r>
    </w:p>
    <w:p w14:paraId="781E1DD5" w14:textId="10E89B95" w:rsidR="007F489B" w:rsidRDefault="007F489B" w:rsidP="00B6134E">
      <w:pPr>
        <w:pStyle w:val="ListParagraph"/>
        <w:ind w:left="567" w:firstLine="0"/>
        <w:jc w:val="left"/>
        <w:rPr>
          <w:rFonts w:eastAsiaTheme="minorEastAsia"/>
          <w:sz w:val="24"/>
          <w:szCs w:val="24"/>
        </w:rPr>
      </w:pPr>
    </w:p>
    <w:bookmarkEnd w:id="39"/>
    <w:p w14:paraId="3B863443" w14:textId="784794B1" w:rsidR="0035134F" w:rsidRPr="00B13894" w:rsidRDefault="00433093" w:rsidP="00B6134E">
      <w:pPr>
        <w:pStyle w:val="ListParagraph"/>
        <w:numPr>
          <w:ilvl w:val="1"/>
          <w:numId w:val="1"/>
        </w:numPr>
        <w:ind w:left="567" w:hanging="567"/>
        <w:jc w:val="left"/>
        <w:rPr>
          <w:rFonts w:eastAsiaTheme="minorEastAsia"/>
          <w:sz w:val="24"/>
          <w:szCs w:val="24"/>
          <w:lang w:bidi="ar-SA"/>
        </w:rPr>
      </w:pPr>
      <w:r w:rsidRPr="00B13894">
        <w:rPr>
          <w:rFonts w:eastAsiaTheme="minorHAnsi"/>
          <w:sz w:val="24"/>
          <w:szCs w:val="24"/>
          <w:lang w:bidi="ar-SA"/>
        </w:rPr>
        <w:t>To justify the unit mix, it is expected that a detailed accommodation schedule will be submitted with each planning application, which must include:</w:t>
      </w:r>
      <w:r w:rsidR="00D04A5E" w:rsidRPr="00B13894">
        <w:rPr>
          <w:rFonts w:eastAsiaTheme="minorHAnsi"/>
          <w:sz w:val="24"/>
          <w:szCs w:val="24"/>
          <w:lang w:bidi="ar-SA"/>
        </w:rPr>
        <w:t xml:space="preserve"> </w:t>
      </w:r>
    </w:p>
    <w:p w14:paraId="1691FA64" w14:textId="6BC47011" w:rsidR="00385F4C" w:rsidRPr="00D62754" w:rsidRDefault="00385F4C" w:rsidP="0002776A">
      <w:pPr>
        <w:pStyle w:val="ListParagraph"/>
        <w:numPr>
          <w:ilvl w:val="0"/>
          <w:numId w:val="4"/>
        </w:numPr>
        <w:rPr>
          <w:rFonts w:eastAsiaTheme="minorEastAsia"/>
          <w:sz w:val="24"/>
          <w:szCs w:val="24"/>
          <w:lang w:bidi="ar-SA"/>
        </w:rPr>
      </w:pPr>
      <w:r w:rsidRPr="00B13894">
        <w:rPr>
          <w:rFonts w:eastAsiaTheme="minorEastAsia"/>
          <w:sz w:val="24"/>
          <w:szCs w:val="24"/>
          <w:lang w:bidi="ar-SA"/>
        </w:rPr>
        <w:t xml:space="preserve">The size of every unit, with classification in terms of unit type and number of bedrooms,  </w:t>
      </w:r>
    </w:p>
    <w:p w14:paraId="142A1019" w14:textId="15E355AE" w:rsidR="00385F4C" w:rsidRPr="00D62754" w:rsidRDefault="00385F4C" w:rsidP="0002776A">
      <w:pPr>
        <w:pStyle w:val="ListParagraph"/>
        <w:numPr>
          <w:ilvl w:val="0"/>
          <w:numId w:val="4"/>
        </w:numPr>
        <w:rPr>
          <w:rFonts w:eastAsiaTheme="minorEastAsia"/>
          <w:sz w:val="24"/>
          <w:szCs w:val="24"/>
          <w:lang w:bidi="ar-SA"/>
        </w:rPr>
      </w:pPr>
      <w:r w:rsidRPr="00B13894">
        <w:rPr>
          <w:rFonts w:eastAsiaTheme="minorEastAsia"/>
          <w:sz w:val="24"/>
          <w:szCs w:val="24"/>
          <w:lang w:bidi="ar-SA"/>
        </w:rPr>
        <w:t xml:space="preserve">Details of indoor and outdoor amenity space, broken into type, with accompanying size (net floor area),  </w:t>
      </w:r>
    </w:p>
    <w:p w14:paraId="34AD3050" w14:textId="1EC391C0" w:rsidR="00385F4C" w:rsidRPr="00D62754" w:rsidRDefault="00385F4C" w:rsidP="0002776A">
      <w:pPr>
        <w:pStyle w:val="ListParagraph"/>
        <w:numPr>
          <w:ilvl w:val="0"/>
          <w:numId w:val="4"/>
        </w:numPr>
        <w:rPr>
          <w:rFonts w:eastAsiaTheme="minorEastAsia"/>
          <w:sz w:val="24"/>
          <w:szCs w:val="24"/>
          <w:lang w:bidi="ar-SA"/>
        </w:rPr>
      </w:pPr>
      <w:r w:rsidRPr="00B13894">
        <w:rPr>
          <w:rFonts w:eastAsiaTheme="minorEastAsia"/>
          <w:sz w:val="24"/>
          <w:szCs w:val="24"/>
          <w:lang w:bidi="ar-SA"/>
        </w:rPr>
        <w:t>Details of the other spaces that make up the building (reception areas, storage spaces, communal laundry spaces, etc.), broken into type and total area (net).</w:t>
      </w:r>
    </w:p>
    <w:p w14:paraId="07084B5C" w14:textId="209C79AF" w:rsidR="00B145E2" w:rsidRPr="00C11E86" w:rsidRDefault="00385F4C" w:rsidP="0002776A">
      <w:pPr>
        <w:pStyle w:val="ListParagraph"/>
        <w:numPr>
          <w:ilvl w:val="0"/>
          <w:numId w:val="4"/>
        </w:numPr>
        <w:jc w:val="left"/>
        <w:rPr>
          <w:rFonts w:eastAsiaTheme="minorEastAsia"/>
          <w:sz w:val="24"/>
          <w:szCs w:val="24"/>
          <w:lang w:bidi="ar-SA"/>
        </w:rPr>
      </w:pPr>
      <w:r w:rsidRPr="00C11E86">
        <w:rPr>
          <w:rFonts w:eastAsiaTheme="minorEastAsia"/>
          <w:sz w:val="24"/>
          <w:szCs w:val="24"/>
          <w:lang w:bidi="ar-SA"/>
        </w:rPr>
        <w:t>Calculation of both the scheme average of total amenity space</w:t>
      </w:r>
      <w:r w:rsidR="00D73727">
        <w:rPr>
          <w:rFonts w:eastAsiaTheme="minorEastAsia"/>
          <w:sz w:val="24"/>
          <w:szCs w:val="24"/>
          <w:lang w:bidi="ar-SA"/>
        </w:rPr>
        <w:t xml:space="preserve"> (i.e. </w:t>
      </w:r>
      <w:r w:rsidR="00DC6CD3">
        <w:rPr>
          <w:rFonts w:eastAsiaTheme="minorEastAsia"/>
          <w:sz w:val="24"/>
          <w:szCs w:val="24"/>
          <w:lang w:bidi="ar-SA"/>
        </w:rPr>
        <w:t>combined private unit area and indoor amenity space)</w:t>
      </w:r>
      <w:r w:rsidRPr="00C11E86">
        <w:rPr>
          <w:rFonts w:eastAsiaTheme="minorEastAsia"/>
          <w:sz w:val="24"/>
          <w:szCs w:val="24"/>
          <w:lang w:bidi="ar-SA"/>
        </w:rPr>
        <w:t>, and calculation of the total amenity space available to the smallest unit in the scheme</w:t>
      </w:r>
      <w:r w:rsidR="00DE76E9" w:rsidRPr="00C11E86">
        <w:rPr>
          <w:rFonts w:eastAsiaTheme="minorEastAsia"/>
          <w:sz w:val="24"/>
          <w:szCs w:val="24"/>
          <w:lang w:bidi="ar-SA"/>
        </w:rPr>
        <w:t xml:space="preserve">. </w:t>
      </w:r>
    </w:p>
    <w:p w14:paraId="0D2728D3" w14:textId="6285E2BE" w:rsidR="00840BC7" w:rsidRDefault="00840BC7" w:rsidP="00D56BCB">
      <w:pPr>
        <w:rPr>
          <w:b/>
          <w:bCs/>
          <w:sz w:val="24"/>
          <w:szCs w:val="24"/>
        </w:rPr>
      </w:pPr>
    </w:p>
    <w:p w14:paraId="5D2C4963" w14:textId="2C60804F" w:rsidR="00B145E2" w:rsidRPr="00D8055B" w:rsidRDefault="00B145E2" w:rsidP="00D8055B">
      <w:pPr>
        <w:pStyle w:val="Heading2"/>
      </w:pPr>
      <w:bookmarkStart w:id="41" w:name="_Toc229489660"/>
      <w:r w:rsidRPr="00D8055B">
        <w:t>Designing Effective Internal</w:t>
      </w:r>
      <w:r w:rsidR="00F814C9" w:rsidRPr="00D8055B">
        <w:t>/External</w:t>
      </w:r>
      <w:r w:rsidRPr="00D8055B">
        <w:t xml:space="preserve"> Communal Space</w:t>
      </w:r>
      <w:bookmarkEnd w:id="41"/>
    </w:p>
    <w:p w14:paraId="2171E633" w14:textId="77777777" w:rsidR="00064DB3" w:rsidRPr="00B13894" w:rsidRDefault="00064DB3" w:rsidP="00B13894">
      <w:pPr>
        <w:pStyle w:val="ListParagraph"/>
        <w:rPr>
          <w:rFonts w:eastAsiaTheme="minorEastAsia"/>
          <w:sz w:val="24"/>
          <w:szCs w:val="24"/>
          <w:lang w:bidi="ar-SA"/>
        </w:rPr>
      </w:pPr>
    </w:p>
    <w:p w14:paraId="1F42106F" w14:textId="2192A905" w:rsidR="00F92471" w:rsidRPr="009B28AA" w:rsidRDefault="00D62754" w:rsidP="00B13894">
      <w:pPr>
        <w:pStyle w:val="ListParagraph"/>
        <w:numPr>
          <w:ilvl w:val="1"/>
          <w:numId w:val="1"/>
        </w:numPr>
        <w:ind w:left="567" w:hanging="567"/>
        <w:rPr>
          <w:rFonts w:eastAsiaTheme="minorHAnsi"/>
          <w:sz w:val="24"/>
          <w:szCs w:val="24"/>
          <w:lang w:bidi="ar-SA"/>
        </w:rPr>
      </w:pPr>
      <w:r w:rsidRPr="009B28AA">
        <w:rPr>
          <w:rFonts w:eastAsiaTheme="minorHAnsi"/>
          <w:sz w:val="24"/>
          <w:szCs w:val="24"/>
          <w:lang w:bidi="ar-SA"/>
        </w:rPr>
        <w:t>For clarification, the council considers the following</w:t>
      </w:r>
      <w:r w:rsidR="00A46724" w:rsidRPr="009B28AA">
        <w:rPr>
          <w:rFonts w:eastAsiaTheme="minorHAnsi"/>
          <w:sz w:val="24"/>
          <w:szCs w:val="24"/>
          <w:lang w:bidi="ar-SA"/>
        </w:rPr>
        <w:t xml:space="preserve"> to be </w:t>
      </w:r>
      <w:r w:rsidRPr="009B28AA">
        <w:rPr>
          <w:rFonts w:eastAsiaTheme="minorHAnsi"/>
          <w:sz w:val="24"/>
          <w:szCs w:val="24"/>
          <w:lang w:bidi="ar-SA"/>
        </w:rPr>
        <w:t>e</w:t>
      </w:r>
      <w:r w:rsidR="00F92471" w:rsidRPr="009B28AA">
        <w:rPr>
          <w:rFonts w:eastAsiaTheme="minorHAnsi"/>
          <w:sz w:val="24"/>
          <w:szCs w:val="24"/>
          <w:lang w:bidi="ar-SA"/>
        </w:rPr>
        <w:t>xamples of shared amenity spaces:</w:t>
      </w:r>
    </w:p>
    <w:p w14:paraId="78F73904" w14:textId="6FB3A233"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 xml:space="preserve">Communal kitchens </w:t>
      </w:r>
    </w:p>
    <w:p w14:paraId="765FBE6B" w14:textId="34E19ACD"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 xml:space="preserve">Dining areas </w:t>
      </w:r>
    </w:p>
    <w:p w14:paraId="25028D7C" w14:textId="79FDB852"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 xml:space="preserve">Lounges </w:t>
      </w:r>
    </w:p>
    <w:p w14:paraId="3F6FD608" w14:textId="2EE54AA4"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 xml:space="preserve">Workspaces </w:t>
      </w:r>
    </w:p>
    <w:p w14:paraId="0E6B97FA" w14:textId="2C367EDC"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 xml:space="preserve">Gyms/exercise rooms </w:t>
      </w:r>
    </w:p>
    <w:p w14:paraId="58E981A0" w14:textId="30693519"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 xml:space="preserve">Gardens </w:t>
      </w:r>
    </w:p>
    <w:p w14:paraId="6229FD62" w14:textId="124A8EC9"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lastRenderedPageBreak/>
        <w:t xml:space="preserve">Rooftop terraces </w:t>
      </w:r>
    </w:p>
    <w:p w14:paraId="621814FE" w14:textId="6607AC74" w:rsidR="00384674" w:rsidRPr="009B28AA"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Courtyards</w:t>
      </w:r>
      <w:r w:rsidR="005D0800" w:rsidRPr="009B28AA">
        <w:rPr>
          <w:rFonts w:eastAsiaTheme="minorHAnsi"/>
          <w:sz w:val="24"/>
          <w:szCs w:val="24"/>
          <w:lang w:bidi="ar-SA"/>
        </w:rPr>
        <w:t>; and</w:t>
      </w:r>
    </w:p>
    <w:p w14:paraId="7468FCDF" w14:textId="5B2B7C66" w:rsidR="00384674" w:rsidRPr="005D0800" w:rsidRDefault="00384674" w:rsidP="0002776A">
      <w:pPr>
        <w:pStyle w:val="ListParagraph"/>
        <w:numPr>
          <w:ilvl w:val="0"/>
          <w:numId w:val="7"/>
        </w:numPr>
        <w:rPr>
          <w:rFonts w:eastAsiaTheme="minorHAnsi"/>
          <w:sz w:val="24"/>
          <w:szCs w:val="24"/>
          <w:lang w:bidi="ar-SA"/>
        </w:rPr>
      </w:pPr>
      <w:r w:rsidRPr="009B28AA">
        <w:rPr>
          <w:rFonts w:eastAsiaTheme="minorHAnsi"/>
          <w:sz w:val="24"/>
          <w:szCs w:val="24"/>
          <w:lang w:bidi="ar-SA"/>
        </w:rPr>
        <w:t>Other shared communal spaces</w:t>
      </w:r>
      <w:r w:rsidRPr="005D0800">
        <w:rPr>
          <w:rFonts w:eastAsiaTheme="minorHAnsi"/>
          <w:sz w:val="24"/>
          <w:szCs w:val="24"/>
          <w:lang w:bidi="ar-SA"/>
        </w:rPr>
        <w:t xml:space="preserve"> </w:t>
      </w:r>
      <w:r w:rsidR="007808D8" w:rsidRPr="005D0800">
        <w:rPr>
          <w:rFonts w:eastAsiaTheme="minorHAnsi"/>
          <w:sz w:val="24"/>
          <w:szCs w:val="24"/>
          <w:lang w:bidi="ar-SA"/>
        </w:rPr>
        <w:t xml:space="preserve"> </w:t>
      </w:r>
    </w:p>
    <w:p w14:paraId="3059F2EC" w14:textId="77777777" w:rsidR="007808D8" w:rsidRPr="00B13894" w:rsidRDefault="007808D8" w:rsidP="00B13894">
      <w:pPr>
        <w:rPr>
          <w:rFonts w:eastAsiaTheme="minorHAnsi"/>
          <w:lang w:bidi="ar-SA"/>
        </w:rPr>
      </w:pPr>
    </w:p>
    <w:p w14:paraId="44FFB93B" w14:textId="053F6DFF" w:rsidR="00064DB3" w:rsidRPr="00B13894" w:rsidRDefault="00193BBD" w:rsidP="00B13894">
      <w:pPr>
        <w:pStyle w:val="ListParagraph"/>
        <w:numPr>
          <w:ilvl w:val="1"/>
          <w:numId w:val="1"/>
        </w:numPr>
        <w:ind w:left="567" w:hanging="567"/>
        <w:jc w:val="left"/>
        <w:rPr>
          <w:rFonts w:eastAsiaTheme="minorHAnsi"/>
          <w:sz w:val="24"/>
          <w:szCs w:val="24"/>
          <w:lang w:bidi="ar-SA"/>
        </w:rPr>
      </w:pPr>
      <w:r w:rsidRPr="00B13894">
        <w:rPr>
          <w:rFonts w:eastAsiaTheme="minorHAnsi"/>
          <w:sz w:val="24"/>
          <w:szCs w:val="24"/>
          <w:lang w:bidi="ar-SA"/>
        </w:rPr>
        <w:t xml:space="preserve">These spaces should be thoughtfully designed to encourage recreational use, be (normally) freely accessible to all residents, and integrate seamlessly with the accommodation. They need to be </w:t>
      </w:r>
      <w:r w:rsidR="001F6385" w:rsidRPr="00B13894">
        <w:rPr>
          <w:rFonts w:eastAsiaTheme="minorHAnsi"/>
          <w:sz w:val="24"/>
          <w:szCs w:val="24"/>
          <w:lang w:bidi="ar-SA"/>
        </w:rPr>
        <w:t>w</w:t>
      </w:r>
      <w:r w:rsidRPr="00B13894">
        <w:rPr>
          <w:rFonts w:eastAsiaTheme="minorHAnsi"/>
          <w:sz w:val="24"/>
          <w:szCs w:val="24"/>
          <w:lang w:bidi="ar-SA"/>
        </w:rPr>
        <w:t>ell-designed communal areas which foster social interaction and enhance the overall quality of life for co-living residents.</w:t>
      </w:r>
      <w:r w:rsidR="007808D8" w:rsidRPr="00B13894">
        <w:rPr>
          <w:rFonts w:eastAsiaTheme="minorHAnsi"/>
          <w:sz w:val="24"/>
          <w:szCs w:val="24"/>
          <w:lang w:bidi="ar-SA"/>
        </w:rPr>
        <w:t xml:space="preserve"> </w:t>
      </w:r>
    </w:p>
    <w:p w14:paraId="0ECA564D" w14:textId="77777777" w:rsidR="00E60337" w:rsidRPr="00D641B9" w:rsidRDefault="00E60337" w:rsidP="00D641B9">
      <w:pPr>
        <w:rPr>
          <w:rFonts w:eastAsiaTheme="minorHAnsi"/>
          <w:sz w:val="24"/>
          <w:szCs w:val="24"/>
          <w:lang w:bidi="ar-SA"/>
        </w:rPr>
      </w:pPr>
    </w:p>
    <w:p w14:paraId="60C98AFB" w14:textId="69D4E91F" w:rsidR="00136C74" w:rsidRPr="00B13894" w:rsidRDefault="00136C74" w:rsidP="00B13894">
      <w:pPr>
        <w:pStyle w:val="ListParagraph"/>
        <w:numPr>
          <w:ilvl w:val="1"/>
          <w:numId w:val="1"/>
        </w:numPr>
        <w:ind w:left="567" w:hanging="567"/>
        <w:jc w:val="left"/>
        <w:rPr>
          <w:rFonts w:eastAsiaTheme="minorHAnsi"/>
          <w:sz w:val="24"/>
          <w:szCs w:val="24"/>
          <w:lang w:bidi="ar-SA"/>
        </w:rPr>
      </w:pPr>
      <w:r w:rsidRPr="00B13894">
        <w:rPr>
          <w:rFonts w:eastAsiaTheme="minorHAnsi"/>
          <w:sz w:val="24"/>
          <w:szCs w:val="24"/>
          <w:lang w:bidi="ar-SA"/>
        </w:rPr>
        <w:t>Only general-use recreational or work-oriented spaces freely available to all residents at all reasonable times should be included in the communal-space calculation. Service areas (laundry, bike stores, bin rooms), circulation spaces, reception areas and bookable/</w:t>
      </w:r>
      <w:r w:rsidR="0014268E">
        <w:rPr>
          <w:rFonts w:eastAsiaTheme="minorHAnsi"/>
          <w:sz w:val="24"/>
          <w:szCs w:val="24"/>
          <w:lang w:bidi="ar-SA"/>
        </w:rPr>
        <w:t>paid/</w:t>
      </w:r>
      <w:r w:rsidRPr="00B13894">
        <w:rPr>
          <w:rFonts w:eastAsiaTheme="minorHAnsi"/>
          <w:sz w:val="24"/>
          <w:szCs w:val="24"/>
          <w:lang w:bidi="ar-SA"/>
        </w:rPr>
        <w:t xml:space="preserve">private-hire spaces </w:t>
      </w:r>
      <w:r w:rsidR="00B3294C">
        <w:rPr>
          <w:rFonts w:eastAsiaTheme="minorHAnsi"/>
          <w:sz w:val="24"/>
          <w:szCs w:val="24"/>
          <w:lang w:bidi="ar-SA"/>
        </w:rPr>
        <w:t>should be</w:t>
      </w:r>
      <w:r w:rsidRPr="00B13894">
        <w:rPr>
          <w:rFonts w:eastAsiaTheme="minorHAnsi"/>
          <w:sz w:val="24"/>
          <w:szCs w:val="24"/>
          <w:lang w:bidi="ar-SA"/>
        </w:rPr>
        <w:t xml:space="preserve"> excluded.</w:t>
      </w:r>
    </w:p>
    <w:p w14:paraId="33B36748" w14:textId="77777777" w:rsidR="00FA2074" w:rsidRPr="00B13894" w:rsidRDefault="00FA2074" w:rsidP="00B13894">
      <w:pPr>
        <w:pStyle w:val="ListParagraph"/>
        <w:rPr>
          <w:rFonts w:eastAsiaTheme="minorHAnsi"/>
          <w:sz w:val="24"/>
          <w:szCs w:val="24"/>
          <w:lang w:bidi="ar-SA"/>
        </w:rPr>
      </w:pPr>
    </w:p>
    <w:p w14:paraId="0F1BAC73" w14:textId="2DF4DF81" w:rsidR="00FA2074" w:rsidRPr="00B13894" w:rsidRDefault="00FA2074" w:rsidP="00B13894">
      <w:pPr>
        <w:pStyle w:val="ListParagraph"/>
        <w:numPr>
          <w:ilvl w:val="1"/>
          <w:numId w:val="1"/>
        </w:numPr>
        <w:ind w:left="567" w:hanging="567"/>
        <w:jc w:val="left"/>
        <w:rPr>
          <w:rFonts w:eastAsiaTheme="minorHAnsi"/>
          <w:sz w:val="24"/>
          <w:szCs w:val="24"/>
          <w:lang w:bidi="ar-SA"/>
        </w:rPr>
      </w:pPr>
      <w:r w:rsidRPr="00B13894">
        <w:rPr>
          <w:rFonts w:eastAsiaTheme="minorHAnsi"/>
          <w:sz w:val="24"/>
          <w:szCs w:val="24"/>
          <w:lang w:bidi="ar-SA"/>
        </w:rPr>
        <w:t xml:space="preserve">The quality, distribution and genuine accessibility of internal </w:t>
      </w:r>
      <w:r w:rsidR="00097678">
        <w:rPr>
          <w:rFonts w:eastAsiaTheme="minorHAnsi"/>
          <w:sz w:val="24"/>
          <w:szCs w:val="24"/>
          <w:lang w:bidi="ar-SA"/>
        </w:rPr>
        <w:t>amenity</w:t>
      </w:r>
      <w:r w:rsidRPr="00B13894">
        <w:rPr>
          <w:rFonts w:eastAsiaTheme="minorHAnsi"/>
          <w:sz w:val="24"/>
          <w:szCs w:val="24"/>
          <w:lang w:bidi="ar-SA"/>
        </w:rPr>
        <w:t xml:space="preserve"> space are critical to the success of a co-living scheme. To avoid token provision, applicants should note the following best-practice principles, and ensure that a range of such facilities are included in each scheme</w:t>
      </w:r>
      <w:r w:rsidR="00F30E0B">
        <w:rPr>
          <w:rFonts w:eastAsiaTheme="minorHAnsi"/>
          <w:sz w:val="24"/>
          <w:szCs w:val="24"/>
          <w:lang w:bidi="ar-SA"/>
        </w:rPr>
        <w:t xml:space="preserve"> - </w:t>
      </w:r>
    </w:p>
    <w:p w14:paraId="0BF54774" w14:textId="77777777" w:rsidR="009B28AA" w:rsidRPr="00E6380C" w:rsidRDefault="009B28AA" w:rsidP="00E6380C">
      <w:pPr>
        <w:rPr>
          <w:rFonts w:eastAsiaTheme="minorHAnsi"/>
          <w:sz w:val="24"/>
          <w:szCs w:val="24"/>
          <w:lang w:bidi="ar-SA"/>
        </w:rPr>
      </w:pPr>
    </w:p>
    <w:p w14:paraId="3B1860AB" w14:textId="092426F7" w:rsidR="00DC535F" w:rsidRDefault="00DC535F" w:rsidP="0002776A">
      <w:pPr>
        <w:pStyle w:val="ListParagraph"/>
        <w:numPr>
          <w:ilvl w:val="0"/>
          <w:numId w:val="5"/>
        </w:numPr>
        <w:rPr>
          <w:rFonts w:eastAsiaTheme="minorHAnsi"/>
          <w:sz w:val="24"/>
          <w:szCs w:val="24"/>
          <w:lang w:bidi="ar-SA"/>
        </w:rPr>
      </w:pPr>
      <w:r w:rsidRPr="00B13894">
        <w:rPr>
          <w:rFonts w:eastAsiaTheme="minorHAnsi"/>
          <w:b/>
          <w:bCs/>
          <w:sz w:val="24"/>
          <w:szCs w:val="24"/>
          <w:lang w:bidi="ar-SA"/>
        </w:rPr>
        <w:t>Cluster-Based Lounges</w:t>
      </w:r>
      <w:r w:rsidR="003150E3">
        <w:rPr>
          <w:rFonts w:eastAsiaTheme="minorHAnsi"/>
          <w:b/>
          <w:bCs/>
          <w:sz w:val="24"/>
          <w:szCs w:val="24"/>
          <w:lang w:bidi="ar-SA"/>
        </w:rPr>
        <w:t>:</w:t>
      </w:r>
      <w:r w:rsidR="003150E3">
        <w:rPr>
          <w:rFonts w:eastAsiaTheme="minorHAnsi"/>
          <w:sz w:val="24"/>
          <w:szCs w:val="24"/>
          <w:lang w:bidi="ar-SA"/>
        </w:rPr>
        <w:t xml:space="preserve"> </w:t>
      </w:r>
      <w:r w:rsidRPr="00B13894">
        <w:rPr>
          <w:rFonts w:eastAsiaTheme="minorHAnsi"/>
          <w:sz w:val="24"/>
          <w:szCs w:val="24"/>
          <w:lang w:bidi="ar-SA"/>
        </w:rPr>
        <w:t>In larger blocks, consider providing dedicated communal lounges serving no more than 20–25 bedspaces each. This creates manageable social groups and prevents smaller units from being overly reliant on distant or over-subscribed shared areas. These lounges could also include communal kitchen and dining facilities, which would be in addition to kitchen facilities in each private unit</w:t>
      </w:r>
      <w:r w:rsidR="00DE76E9" w:rsidRPr="00B13894">
        <w:rPr>
          <w:rFonts w:eastAsiaTheme="minorHAnsi"/>
          <w:sz w:val="24"/>
          <w:szCs w:val="24"/>
          <w:lang w:bidi="ar-SA"/>
        </w:rPr>
        <w:t xml:space="preserve">. </w:t>
      </w:r>
    </w:p>
    <w:p w14:paraId="2CF0D84D" w14:textId="1359A3F7" w:rsidR="00DC535F" w:rsidRDefault="00DC535F" w:rsidP="0002776A">
      <w:pPr>
        <w:pStyle w:val="ListParagraph"/>
        <w:numPr>
          <w:ilvl w:val="0"/>
          <w:numId w:val="5"/>
        </w:numPr>
        <w:rPr>
          <w:rFonts w:eastAsiaTheme="minorHAnsi"/>
          <w:sz w:val="24"/>
          <w:szCs w:val="24"/>
          <w:lang w:bidi="ar-SA"/>
        </w:rPr>
      </w:pPr>
      <w:r w:rsidRPr="00B13894">
        <w:rPr>
          <w:rFonts w:eastAsiaTheme="minorHAnsi"/>
          <w:b/>
          <w:bCs/>
          <w:sz w:val="24"/>
          <w:szCs w:val="24"/>
          <w:lang w:bidi="ar-SA"/>
        </w:rPr>
        <w:t>Co-working Spaces</w:t>
      </w:r>
      <w:r w:rsidR="00F30E0B">
        <w:rPr>
          <w:rFonts w:eastAsiaTheme="minorHAnsi"/>
          <w:sz w:val="24"/>
          <w:szCs w:val="24"/>
          <w:lang w:bidi="ar-SA"/>
        </w:rPr>
        <w:t xml:space="preserve">: </w:t>
      </w:r>
      <w:r w:rsidRPr="00B13894">
        <w:rPr>
          <w:rFonts w:eastAsiaTheme="minorHAnsi"/>
          <w:sz w:val="24"/>
          <w:szCs w:val="24"/>
          <w:lang w:bidi="ar-SA"/>
        </w:rPr>
        <w:t xml:space="preserve">In recognition of the growing trend toward remote and flexible working, provide well-designed co-working areas with reliable high-speed internet, ergonomic seating, and access to natural light. These spaces should be acoustically treated to allow focused work and include a mix of open desks, private booths, and small meeting rooms. Ideally, co-working spaces should </w:t>
      </w:r>
      <w:r w:rsidR="00F51521" w:rsidRPr="00B13894">
        <w:rPr>
          <w:rFonts w:eastAsiaTheme="minorHAnsi"/>
          <w:sz w:val="24"/>
          <w:szCs w:val="24"/>
          <w:lang w:bidi="ar-SA"/>
        </w:rPr>
        <w:t>be in</w:t>
      </w:r>
      <w:r w:rsidRPr="00B13894">
        <w:rPr>
          <w:rFonts w:eastAsiaTheme="minorHAnsi"/>
          <w:sz w:val="24"/>
          <w:szCs w:val="24"/>
          <w:lang w:bidi="ar-SA"/>
        </w:rPr>
        <w:t xml:space="preserve"> quieter parts of the building to avoid conflict with social areas. </w:t>
      </w:r>
    </w:p>
    <w:p w14:paraId="47DADBA8" w14:textId="5ACC647E" w:rsidR="00DC535F" w:rsidRDefault="00DC535F" w:rsidP="0002776A">
      <w:pPr>
        <w:pStyle w:val="ListParagraph"/>
        <w:numPr>
          <w:ilvl w:val="0"/>
          <w:numId w:val="5"/>
        </w:numPr>
        <w:rPr>
          <w:rFonts w:eastAsiaTheme="minorHAnsi"/>
          <w:sz w:val="24"/>
          <w:szCs w:val="24"/>
          <w:lang w:bidi="ar-SA"/>
        </w:rPr>
      </w:pPr>
      <w:r w:rsidRPr="00B13894">
        <w:rPr>
          <w:rFonts w:eastAsiaTheme="minorHAnsi"/>
          <w:b/>
          <w:bCs/>
          <w:sz w:val="24"/>
          <w:szCs w:val="24"/>
          <w:lang w:bidi="ar-SA"/>
        </w:rPr>
        <w:t>Gym and Fitness Areas</w:t>
      </w:r>
      <w:r w:rsidR="00F30E0B">
        <w:rPr>
          <w:rFonts w:eastAsiaTheme="minorHAnsi"/>
          <w:sz w:val="24"/>
          <w:szCs w:val="24"/>
          <w:lang w:bidi="ar-SA"/>
        </w:rPr>
        <w:t xml:space="preserve">: </w:t>
      </w:r>
      <w:r w:rsidRPr="00B13894">
        <w:rPr>
          <w:rFonts w:eastAsiaTheme="minorHAnsi"/>
          <w:sz w:val="24"/>
          <w:szCs w:val="24"/>
          <w:lang w:bidi="ar-SA"/>
        </w:rPr>
        <w:t>Incorporate fitness facilities that cater to a range of activities, such as cardio, strength training, and yoga/stretching. Good ventilation, natural light, and safe flooring are essential</w:t>
      </w:r>
      <w:r w:rsidR="00DE76E9" w:rsidRPr="00B13894">
        <w:rPr>
          <w:rFonts w:eastAsiaTheme="minorHAnsi"/>
          <w:sz w:val="24"/>
          <w:szCs w:val="24"/>
          <w:lang w:bidi="ar-SA"/>
        </w:rPr>
        <w:t xml:space="preserve">. </w:t>
      </w:r>
    </w:p>
    <w:p w14:paraId="10A3D4DA" w14:textId="77D2CAAB" w:rsidR="00DC535F" w:rsidRDefault="00DC535F" w:rsidP="0002776A">
      <w:pPr>
        <w:pStyle w:val="ListParagraph"/>
        <w:numPr>
          <w:ilvl w:val="0"/>
          <w:numId w:val="5"/>
        </w:numPr>
        <w:rPr>
          <w:rFonts w:eastAsiaTheme="minorHAnsi"/>
          <w:sz w:val="24"/>
          <w:szCs w:val="24"/>
          <w:lang w:bidi="ar-SA"/>
        </w:rPr>
      </w:pPr>
      <w:r w:rsidRPr="00B13894">
        <w:rPr>
          <w:rFonts w:eastAsiaTheme="minorHAnsi"/>
          <w:b/>
          <w:bCs/>
          <w:sz w:val="24"/>
          <w:szCs w:val="24"/>
          <w:lang w:bidi="ar-SA"/>
        </w:rPr>
        <w:t>Shared Kitchens and Dining Rooms</w:t>
      </w:r>
      <w:r w:rsidR="002C0CB8">
        <w:rPr>
          <w:rFonts w:eastAsiaTheme="minorHAnsi"/>
          <w:b/>
          <w:bCs/>
          <w:sz w:val="24"/>
          <w:szCs w:val="24"/>
          <w:lang w:bidi="ar-SA"/>
        </w:rPr>
        <w:t>:</w:t>
      </w:r>
      <w:r w:rsidR="009405F8">
        <w:rPr>
          <w:rFonts w:eastAsiaTheme="minorHAnsi"/>
          <w:sz w:val="24"/>
          <w:szCs w:val="24"/>
          <w:lang w:bidi="ar-SA"/>
        </w:rPr>
        <w:t xml:space="preserve"> I</w:t>
      </w:r>
      <w:r w:rsidRPr="00B13894">
        <w:rPr>
          <w:rFonts w:eastAsiaTheme="minorHAnsi"/>
          <w:sz w:val="24"/>
          <w:szCs w:val="24"/>
          <w:lang w:bidi="ar-SA"/>
        </w:rPr>
        <w:t>nclude larger communal kitchens and dining halls for social events and group cooking. These spaces should be well-equipped, with sufficient appliances, storage, and seating to accommodate multiple users simultaneously</w:t>
      </w:r>
      <w:r w:rsidR="00DE76E9" w:rsidRPr="00B13894">
        <w:rPr>
          <w:rFonts w:eastAsiaTheme="minorHAnsi"/>
          <w:sz w:val="24"/>
          <w:szCs w:val="24"/>
          <w:lang w:bidi="ar-SA"/>
        </w:rPr>
        <w:t xml:space="preserve">. </w:t>
      </w:r>
    </w:p>
    <w:p w14:paraId="151777F3" w14:textId="17BAED0D" w:rsidR="00DC535F" w:rsidRDefault="00DC535F" w:rsidP="0002776A">
      <w:pPr>
        <w:pStyle w:val="ListParagraph"/>
        <w:numPr>
          <w:ilvl w:val="0"/>
          <w:numId w:val="5"/>
        </w:numPr>
        <w:rPr>
          <w:rFonts w:eastAsiaTheme="minorHAnsi"/>
          <w:sz w:val="24"/>
          <w:szCs w:val="24"/>
          <w:lang w:bidi="ar-SA"/>
        </w:rPr>
      </w:pPr>
      <w:r w:rsidRPr="00B13894">
        <w:rPr>
          <w:rFonts w:eastAsiaTheme="minorHAnsi"/>
          <w:b/>
          <w:bCs/>
          <w:sz w:val="24"/>
          <w:szCs w:val="24"/>
          <w:lang w:bidi="ar-SA"/>
        </w:rPr>
        <w:t>Wellness and Quiet Rooms</w:t>
      </w:r>
      <w:r w:rsidR="00F30E0B">
        <w:rPr>
          <w:rFonts w:eastAsiaTheme="minorHAnsi"/>
          <w:sz w:val="24"/>
          <w:szCs w:val="24"/>
          <w:lang w:bidi="ar-SA"/>
        </w:rPr>
        <w:t xml:space="preserve">: </w:t>
      </w:r>
      <w:r w:rsidRPr="00B13894">
        <w:rPr>
          <w:rFonts w:eastAsiaTheme="minorHAnsi"/>
          <w:sz w:val="24"/>
          <w:szCs w:val="24"/>
          <w:lang w:bidi="ar-SA"/>
        </w:rPr>
        <w:t>Designate spaces for meditation, reading, or quiet reflection. These rooms should be soundproofed and furnished with comfortable seating, soft lighting, and calming d</w:t>
      </w:r>
      <w:r w:rsidR="00C62149">
        <w:rPr>
          <w:rFonts w:eastAsiaTheme="minorHAnsi"/>
          <w:sz w:val="24"/>
          <w:szCs w:val="24"/>
          <w:lang w:bidi="ar-SA"/>
        </w:rPr>
        <w:t>e</w:t>
      </w:r>
      <w:r w:rsidRPr="00B13894">
        <w:rPr>
          <w:rFonts w:eastAsiaTheme="minorHAnsi"/>
          <w:sz w:val="24"/>
          <w:szCs w:val="24"/>
          <w:lang w:bidi="ar-SA"/>
        </w:rPr>
        <w:t xml:space="preserve">cor. </w:t>
      </w:r>
    </w:p>
    <w:p w14:paraId="059EECEE" w14:textId="13A35E93" w:rsidR="00CE2884" w:rsidRPr="00B13894" w:rsidRDefault="00DC535F" w:rsidP="0002776A">
      <w:pPr>
        <w:pStyle w:val="ListParagraph"/>
        <w:numPr>
          <w:ilvl w:val="0"/>
          <w:numId w:val="5"/>
        </w:numPr>
        <w:jc w:val="left"/>
        <w:rPr>
          <w:rFonts w:eastAsiaTheme="minorHAnsi"/>
          <w:sz w:val="24"/>
          <w:szCs w:val="24"/>
          <w:lang w:bidi="ar-SA"/>
        </w:rPr>
      </w:pPr>
      <w:r w:rsidRPr="00B13894">
        <w:rPr>
          <w:rFonts w:eastAsiaTheme="minorHAnsi"/>
          <w:b/>
          <w:bCs/>
          <w:sz w:val="24"/>
          <w:szCs w:val="24"/>
          <w:lang w:bidi="ar-SA"/>
        </w:rPr>
        <w:t>Entertainment and Social Rooms</w:t>
      </w:r>
      <w:r w:rsidR="00F30E0B">
        <w:rPr>
          <w:rFonts w:eastAsiaTheme="minorHAnsi"/>
          <w:sz w:val="24"/>
          <w:szCs w:val="24"/>
          <w:lang w:bidi="ar-SA"/>
        </w:rPr>
        <w:t xml:space="preserve">: </w:t>
      </w:r>
      <w:r w:rsidRPr="00B13894">
        <w:rPr>
          <w:rFonts w:eastAsiaTheme="minorHAnsi"/>
          <w:sz w:val="24"/>
          <w:szCs w:val="24"/>
          <w:lang w:bidi="ar-SA"/>
        </w:rPr>
        <w:t>Include spaces for leisure activities such as cinema spaces, gaming rooms or multipurpose leisure uses. These should be acoustically separated from quiet zones to avoid disturbance.</w:t>
      </w:r>
    </w:p>
    <w:p w14:paraId="0DF48DB2" w14:textId="37E3FBF5" w:rsidR="00EB24BA" w:rsidRPr="00B13894" w:rsidRDefault="00EB24BA" w:rsidP="00B13894">
      <w:pPr>
        <w:rPr>
          <w:rFonts w:eastAsiaTheme="minorEastAsia"/>
          <w:sz w:val="24"/>
          <w:szCs w:val="24"/>
          <w:lang w:bidi="ar-SA"/>
        </w:rPr>
      </w:pPr>
    </w:p>
    <w:p w14:paraId="4C32EF0C" w14:textId="58E0C18A" w:rsidR="005C0B81" w:rsidRPr="00B13894" w:rsidRDefault="005D15E4" w:rsidP="00B13894">
      <w:pPr>
        <w:pStyle w:val="ListParagraph"/>
        <w:numPr>
          <w:ilvl w:val="1"/>
          <w:numId w:val="1"/>
        </w:numPr>
        <w:ind w:left="567" w:hanging="567"/>
        <w:jc w:val="left"/>
        <w:rPr>
          <w:rFonts w:eastAsiaTheme="minorHAnsi"/>
          <w:sz w:val="24"/>
          <w:szCs w:val="24"/>
          <w:lang w:bidi="ar-SA"/>
        </w:rPr>
      </w:pPr>
      <w:r w:rsidRPr="00B13894">
        <w:rPr>
          <w:rFonts w:eastAsiaTheme="minorHAnsi"/>
          <w:sz w:val="24"/>
          <w:szCs w:val="24"/>
          <w:lang w:bidi="ar-SA"/>
        </w:rPr>
        <w:t xml:space="preserve">While not counting towards </w:t>
      </w:r>
      <w:r w:rsidR="00F258E3">
        <w:rPr>
          <w:rFonts w:eastAsiaTheme="minorHAnsi"/>
          <w:sz w:val="24"/>
          <w:szCs w:val="24"/>
          <w:lang w:bidi="ar-SA"/>
        </w:rPr>
        <w:t xml:space="preserve">internal </w:t>
      </w:r>
      <w:r w:rsidRPr="00B13894">
        <w:rPr>
          <w:rFonts w:eastAsiaTheme="minorHAnsi"/>
          <w:sz w:val="24"/>
          <w:szCs w:val="24"/>
          <w:lang w:bidi="ar-SA"/>
        </w:rPr>
        <w:t xml:space="preserve">amenity space calculations, these additional facilities should also be considered for provision in </w:t>
      </w:r>
      <w:r w:rsidR="0040625A">
        <w:rPr>
          <w:rFonts w:eastAsiaTheme="minorHAnsi"/>
          <w:sz w:val="24"/>
          <w:szCs w:val="24"/>
          <w:lang w:bidi="ar-SA"/>
        </w:rPr>
        <w:t xml:space="preserve">most </w:t>
      </w:r>
      <w:r w:rsidRPr="00B13894">
        <w:rPr>
          <w:rFonts w:eastAsiaTheme="minorHAnsi"/>
          <w:sz w:val="24"/>
          <w:szCs w:val="24"/>
          <w:lang w:bidi="ar-SA"/>
        </w:rPr>
        <w:t xml:space="preserve">co-living schemes: </w:t>
      </w:r>
      <w:r w:rsidR="00253988" w:rsidRPr="00B13894">
        <w:rPr>
          <w:rFonts w:eastAsiaTheme="minorHAnsi"/>
          <w:sz w:val="24"/>
          <w:szCs w:val="24"/>
          <w:lang w:bidi="ar-SA"/>
        </w:rPr>
        <w:t xml:space="preserve"> </w:t>
      </w:r>
    </w:p>
    <w:p w14:paraId="67C6E6F1" w14:textId="77777777" w:rsidR="007A4B8E" w:rsidRPr="00B13894" w:rsidRDefault="007A4B8E" w:rsidP="00B13894">
      <w:pPr>
        <w:pStyle w:val="ListParagraph"/>
        <w:ind w:left="567" w:firstLine="0"/>
        <w:jc w:val="left"/>
        <w:rPr>
          <w:rFonts w:eastAsiaTheme="minorEastAsia"/>
          <w:sz w:val="24"/>
          <w:szCs w:val="24"/>
          <w:lang w:bidi="ar-SA"/>
        </w:rPr>
      </w:pPr>
    </w:p>
    <w:p w14:paraId="03BB49D1" w14:textId="7D6FE166" w:rsidR="0023134E" w:rsidRDefault="0023134E" w:rsidP="0002776A">
      <w:pPr>
        <w:pStyle w:val="ListParagraph"/>
        <w:numPr>
          <w:ilvl w:val="0"/>
          <w:numId w:val="6"/>
        </w:numPr>
        <w:rPr>
          <w:rFonts w:eastAsiaTheme="minorEastAsia"/>
          <w:sz w:val="24"/>
          <w:szCs w:val="24"/>
          <w:lang w:bidi="ar-SA"/>
        </w:rPr>
      </w:pPr>
      <w:r w:rsidRPr="00B13894">
        <w:rPr>
          <w:rFonts w:eastAsiaTheme="minorEastAsia"/>
          <w:b/>
          <w:bCs/>
          <w:sz w:val="24"/>
          <w:szCs w:val="24"/>
          <w:lang w:bidi="ar-SA"/>
        </w:rPr>
        <w:t>Laundry Facilities</w:t>
      </w:r>
      <w:r w:rsidR="00F30E0B">
        <w:rPr>
          <w:rFonts w:eastAsiaTheme="minorEastAsia"/>
          <w:sz w:val="24"/>
          <w:szCs w:val="24"/>
          <w:lang w:bidi="ar-SA"/>
        </w:rPr>
        <w:t xml:space="preserve">: </w:t>
      </w:r>
      <w:r w:rsidR="00194271" w:rsidRPr="00B13894">
        <w:rPr>
          <w:rFonts w:eastAsiaTheme="minorEastAsia"/>
          <w:sz w:val="24"/>
          <w:szCs w:val="24"/>
          <w:lang w:bidi="ar-SA"/>
        </w:rPr>
        <w:t>Centralised</w:t>
      </w:r>
      <w:r w:rsidRPr="00B13894">
        <w:rPr>
          <w:rFonts w:eastAsiaTheme="minorEastAsia"/>
          <w:sz w:val="24"/>
          <w:szCs w:val="24"/>
          <w:lang w:bidi="ar-SA"/>
        </w:rPr>
        <w:t xml:space="preserve"> laundry rooms with adequate machines, drying areas, and folding stations are essential. Consider integrating social elements, such as seating or coffee points/vending machines, to make these spaces more inviting. </w:t>
      </w:r>
    </w:p>
    <w:p w14:paraId="1343B893" w14:textId="48270881" w:rsidR="0023134E" w:rsidRDefault="0023134E" w:rsidP="0002776A">
      <w:pPr>
        <w:pStyle w:val="ListParagraph"/>
        <w:numPr>
          <w:ilvl w:val="0"/>
          <w:numId w:val="6"/>
        </w:numPr>
        <w:rPr>
          <w:rFonts w:eastAsiaTheme="minorEastAsia"/>
          <w:sz w:val="24"/>
          <w:szCs w:val="24"/>
          <w:lang w:bidi="ar-SA"/>
        </w:rPr>
      </w:pPr>
      <w:r w:rsidRPr="00B13894">
        <w:rPr>
          <w:rFonts w:eastAsiaTheme="minorEastAsia"/>
          <w:b/>
          <w:bCs/>
          <w:sz w:val="24"/>
          <w:szCs w:val="24"/>
          <w:lang w:bidi="ar-SA"/>
        </w:rPr>
        <w:t>Storage Solutions</w:t>
      </w:r>
      <w:r w:rsidR="00F30E0B">
        <w:rPr>
          <w:rFonts w:eastAsiaTheme="minorEastAsia"/>
          <w:sz w:val="24"/>
          <w:szCs w:val="24"/>
          <w:lang w:bidi="ar-SA"/>
        </w:rPr>
        <w:t xml:space="preserve">: </w:t>
      </w:r>
      <w:r w:rsidRPr="00B13894">
        <w:rPr>
          <w:rFonts w:eastAsiaTheme="minorEastAsia"/>
          <w:sz w:val="24"/>
          <w:szCs w:val="24"/>
          <w:lang w:bidi="ar-SA"/>
        </w:rPr>
        <w:t xml:space="preserve">Offer secure communal storage for bicycles, sports equipment, and seasonal items. Adequate storage reduces clutter in private units and supports active lifestyles. </w:t>
      </w:r>
    </w:p>
    <w:p w14:paraId="15E39AB3" w14:textId="1C7E1FD9" w:rsidR="0023134E" w:rsidRDefault="0023134E" w:rsidP="0002776A">
      <w:pPr>
        <w:pStyle w:val="ListParagraph"/>
        <w:numPr>
          <w:ilvl w:val="0"/>
          <w:numId w:val="6"/>
        </w:numPr>
        <w:rPr>
          <w:rFonts w:eastAsiaTheme="minorEastAsia"/>
          <w:sz w:val="24"/>
          <w:szCs w:val="24"/>
          <w:lang w:bidi="ar-SA"/>
        </w:rPr>
      </w:pPr>
      <w:r w:rsidRPr="00B13894">
        <w:rPr>
          <w:rFonts w:eastAsiaTheme="minorEastAsia"/>
          <w:b/>
          <w:bCs/>
          <w:sz w:val="24"/>
          <w:szCs w:val="24"/>
          <w:lang w:bidi="ar-SA"/>
        </w:rPr>
        <w:lastRenderedPageBreak/>
        <w:t>Coffee Shops</w:t>
      </w:r>
      <w:r w:rsidR="00F30E0B">
        <w:rPr>
          <w:rFonts w:eastAsiaTheme="minorEastAsia"/>
          <w:sz w:val="24"/>
          <w:szCs w:val="24"/>
          <w:lang w:bidi="ar-SA"/>
        </w:rPr>
        <w:t xml:space="preserve">: </w:t>
      </w:r>
      <w:r w:rsidRPr="00B13894">
        <w:rPr>
          <w:rFonts w:eastAsiaTheme="minorEastAsia"/>
          <w:sz w:val="24"/>
          <w:szCs w:val="24"/>
          <w:lang w:bidi="ar-SA"/>
        </w:rPr>
        <w:t xml:space="preserve">Where feasible and depending on the size of the co-living scheme, incorporate a small café or coffee bar within the scheme. This can act as a social anchor, encouraging casual interaction and providing a convenient amenity for residents. Ideally, this space should be accessible to the public to foster community integration, but with clear boundaries to maintain security for residents. </w:t>
      </w:r>
    </w:p>
    <w:p w14:paraId="4E9CC289" w14:textId="2D987949" w:rsidR="00ED601F" w:rsidRDefault="0023134E" w:rsidP="0002776A">
      <w:pPr>
        <w:pStyle w:val="ListParagraph"/>
        <w:numPr>
          <w:ilvl w:val="0"/>
          <w:numId w:val="6"/>
        </w:numPr>
        <w:jc w:val="left"/>
        <w:rPr>
          <w:rFonts w:eastAsiaTheme="minorEastAsia"/>
          <w:sz w:val="24"/>
          <w:szCs w:val="24"/>
          <w:lang w:bidi="ar-SA"/>
        </w:rPr>
      </w:pPr>
      <w:r w:rsidRPr="00B13894">
        <w:rPr>
          <w:rFonts w:eastAsiaTheme="minorEastAsia"/>
          <w:b/>
          <w:bCs/>
          <w:sz w:val="24"/>
          <w:szCs w:val="24"/>
          <w:lang w:bidi="ar-SA"/>
        </w:rPr>
        <w:t>Parcel and Delivery Rooms</w:t>
      </w:r>
      <w:r w:rsidR="00F30E0B">
        <w:rPr>
          <w:rFonts w:eastAsiaTheme="minorEastAsia"/>
          <w:sz w:val="24"/>
          <w:szCs w:val="24"/>
          <w:lang w:bidi="ar-SA"/>
        </w:rPr>
        <w:t xml:space="preserve">: </w:t>
      </w:r>
      <w:r w:rsidRPr="00B13894">
        <w:rPr>
          <w:rFonts w:eastAsiaTheme="minorEastAsia"/>
          <w:sz w:val="24"/>
          <w:szCs w:val="24"/>
          <w:lang w:bidi="ar-SA"/>
        </w:rPr>
        <w:t>Provide secure, dedicated areas for parcel storage and delivery management which could take the form of a manned counter or parcel lockers. With the rise of online shopping, this helps avoid clutter in communal areas and ensures safe handling of deliveries.</w:t>
      </w:r>
    </w:p>
    <w:p w14:paraId="40503436" w14:textId="3F7CE447" w:rsidR="00F258E3" w:rsidRDefault="00F258E3" w:rsidP="0002776A">
      <w:pPr>
        <w:pStyle w:val="ListParagraph"/>
        <w:numPr>
          <w:ilvl w:val="0"/>
          <w:numId w:val="6"/>
        </w:numPr>
        <w:rPr>
          <w:rFonts w:eastAsiaTheme="minorHAnsi"/>
          <w:sz w:val="24"/>
          <w:szCs w:val="24"/>
          <w:lang w:bidi="ar-SA"/>
        </w:rPr>
      </w:pPr>
      <w:r w:rsidRPr="00B13894">
        <w:rPr>
          <w:rFonts w:eastAsiaTheme="minorHAnsi"/>
          <w:b/>
          <w:bCs/>
          <w:sz w:val="24"/>
          <w:szCs w:val="24"/>
          <w:lang w:bidi="ar-SA"/>
        </w:rPr>
        <w:t>Outdoor Communal Spaces</w:t>
      </w:r>
      <w:r w:rsidR="00F30E0B">
        <w:rPr>
          <w:rFonts w:eastAsiaTheme="minorHAnsi"/>
          <w:sz w:val="24"/>
          <w:szCs w:val="24"/>
          <w:lang w:bidi="ar-SA"/>
        </w:rPr>
        <w:t xml:space="preserve">: </w:t>
      </w:r>
      <w:r w:rsidRPr="00B13894">
        <w:rPr>
          <w:rFonts w:eastAsiaTheme="minorHAnsi"/>
          <w:sz w:val="24"/>
          <w:szCs w:val="24"/>
          <w:lang w:bidi="ar-SA"/>
        </w:rPr>
        <w:t xml:space="preserve">Provide accessible outdoor areas such as terraces, gardens, or courtyards. These should include seating, greenery, and possibly BBQ facilities to encourage informal social interaction and relaxation. </w:t>
      </w:r>
    </w:p>
    <w:p w14:paraId="1F15AE37" w14:textId="77777777" w:rsidR="00423AFE" w:rsidRPr="00FF3709" w:rsidRDefault="00423AFE" w:rsidP="00FF3709">
      <w:pPr>
        <w:pStyle w:val="ListParagraph"/>
        <w:rPr>
          <w:rFonts w:eastAsiaTheme="minorEastAsia"/>
          <w:sz w:val="24"/>
          <w:szCs w:val="24"/>
          <w:lang w:bidi="ar-SA"/>
        </w:rPr>
      </w:pPr>
    </w:p>
    <w:p w14:paraId="5AF4434E" w14:textId="13B773DB" w:rsidR="007A4B8E" w:rsidRPr="00B13894" w:rsidRDefault="00832F50" w:rsidP="00B13894">
      <w:pPr>
        <w:pStyle w:val="ListParagraph"/>
        <w:numPr>
          <w:ilvl w:val="1"/>
          <w:numId w:val="1"/>
        </w:numPr>
        <w:ind w:left="567" w:hanging="567"/>
        <w:jc w:val="left"/>
        <w:rPr>
          <w:rFonts w:eastAsiaTheme="minorEastAsia"/>
          <w:sz w:val="24"/>
          <w:szCs w:val="24"/>
          <w:lang w:bidi="ar-SA"/>
        </w:rPr>
      </w:pPr>
      <w:r w:rsidRPr="00B13894">
        <w:rPr>
          <w:rFonts w:eastAsiaTheme="minorEastAsia"/>
          <w:sz w:val="24"/>
          <w:szCs w:val="24"/>
          <w:lang w:bidi="ar-SA"/>
        </w:rPr>
        <w:t>In large co-living schemes,</w:t>
      </w:r>
      <w:r w:rsidRPr="000B3C9F">
        <w:rPr>
          <w:rFonts w:eastAsiaTheme="minorEastAsia"/>
          <w:sz w:val="24"/>
          <w:szCs w:val="24"/>
          <w:lang w:bidi="ar-SA"/>
        </w:rPr>
        <w:t xml:space="preserve"> </w:t>
      </w:r>
      <w:r w:rsidRPr="00DB547F">
        <w:rPr>
          <w:rFonts w:eastAsiaTheme="minorEastAsia"/>
          <w:sz w:val="24"/>
          <w:szCs w:val="24"/>
          <w:lang w:bidi="ar-SA"/>
        </w:rPr>
        <w:t>amenity spaces should not be overly concentrated in a single location</w:t>
      </w:r>
      <w:r w:rsidRPr="00B13894">
        <w:rPr>
          <w:rFonts w:eastAsiaTheme="minorEastAsia"/>
          <w:sz w:val="24"/>
          <w:szCs w:val="24"/>
          <w:lang w:bidi="ar-SA"/>
        </w:rPr>
        <w:t xml:space="preserve">. While some central facilities are appropriate, a degree of distribution throughout the building is </w:t>
      </w:r>
      <w:r w:rsidR="008C3FA0">
        <w:rPr>
          <w:rFonts w:eastAsiaTheme="minorEastAsia"/>
          <w:sz w:val="24"/>
          <w:szCs w:val="24"/>
          <w:lang w:bidi="ar-SA"/>
        </w:rPr>
        <w:t>encouraged</w:t>
      </w:r>
      <w:r w:rsidRPr="00B13894">
        <w:rPr>
          <w:rFonts w:eastAsiaTheme="minorEastAsia"/>
          <w:sz w:val="24"/>
          <w:szCs w:val="24"/>
          <w:lang w:bidi="ar-SA"/>
        </w:rPr>
        <w:t xml:space="preserve"> to ensure accessibility and usability for all residents. Concentrating all communal spaces in one area can lead to overcrowding, reduce convenience for occupants in distant parts of the building, and discourage spontaneous social interaction.</w:t>
      </w:r>
      <w:r w:rsidR="007A4B8E" w:rsidRPr="00B13894">
        <w:rPr>
          <w:rFonts w:eastAsiaTheme="minorEastAsia"/>
          <w:sz w:val="24"/>
          <w:szCs w:val="24"/>
          <w:lang w:bidi="ar-SA"/>
        </w:rPr>
        <w:t xml:space="preserve"> </w:t>
      </w:r>
    </w:p>
    <w:p w14:paraId="2474E519" w14:textId="77777777" w:rsidR="009F048E" w:rsidRPr="00211F00" w:rsidRDefault="009F048E" w:rsidP="00B13894">
      <w:pPr>
        <w:pStyle w:val="ListParagraph"/>
        <w:rPr>
          <w:rFonts w:eastAsiaTheme="minorEastAsia"/>
          <w:lang w:bidi="ar-SA"/>
        </w:rPr>
      </w:pPr>
    </w:p>
    <w:p w14:paraId="6254CAD1" w14:textId="7E46CD2B" w:rsidR="005331A8" w:rsidRPr="0070000B" w:rsidRDefault="005331A8" w:rsidP="00D8055B">
      <w:pPr>
        <w:pStyle w:val="Heading2"/>
        <w:rPr>
          <w:lang w:bidi="ar-SA"/>
        </w:rPr>
      </w:pPr>
      <w:bookmarkStart w:id="42" w:name="_Toc229489661"/>
      <w:r w:rsidRPr="0070000B">
        <w:rPr>
          <w:lang w:bidi="ar-SA"/>
        </w:rPr>
        <w:t>Accessibility Standards</w:t>
      </w:r>
      <w:bookmarkEnd w:id="42"/>
    </w:p>
    <w:p w14:paraId="0AD0D81D" w14:textId="77777777" w:rsidR="005331A8" w:rsidRPr="00211F00" w:rsidRDefault="005331A8" w:rsidP="005331A8">
      <w:pPr>
        <w:pStyle w:val="ListParagraph"/>
        <w:rPr>
          <w:rFonts w:eastAsiaTheme="minorHAnsi"/>
          <w:sz w:val="20"/>
          <w:szCs w:val="20"/>
          <w:lang w:bidi="ar-SA"/>
        </w:rPr>
      </w:pPr>
    </w:p>
    <w:p w14:paraId="36B2F795" w14:textId="115B3863" w:rsidR="005331A8" w:rsidRDefault="003739E4" w:rsidP="003D0221">
      <w:pPr>
        <w:pStyle w:val="ListParagraph"/>
        <w:numPr>
          <w:ilvl w:val="1"/>
          <w:numId w:val="1"/>
        </w:numPr>
        <w:ind w:left="567" w:hanging="567"/>
        <w:jc w:val="left"/>
        <w:rPr>
          <w:rFonts w:eastAsiaTheme="minorHAnsi"/>
          <w:sz w:val="24"/>
          <w:szCs w:val="24"/>
          <w:lang w:bidi="ar-SA"/>
        </w:rPr>
      </w:pPr>
      <w:r>
        <w:rPr>
          <w:rFonts w:eastAsiaTheme="minorHAnsi"/>
          <w:sz w:val="24"/>
          <w:szCs w:val="24"/>
          <w:lang w:bidi="ar-SA"/>
        </w:rPr>
        <w:t>C</w:t>
      </w:r>
      <w:r w:rsidRPr="00250CF4">
        <w:rPr>
          <w:rFonts w:eastAsiaTheme="minorHAnsi"/>
          <w:sz w:val="24"/>
          <w:szCs w:val="24"/>
          <w:lang w:bidi="ar-SA"/>
        </w:rPr>
        <w:t xml:space="preserve">o-living </w:t>
      </w:r>
      <w:r>
        <w:rPr>
          <w:rFonts w:eastAsiaTheme="minorHAnsi"/>
          <w:sz w:val="24"/>
          <w:szCs w:val="24"/>
          <w:lang w:bidi="ar-SA"/>
        </w:rPr>
        <w:t>schemes</w:t>
      </w:r>
      <w:r w:rsidRPr="00250CF4">
        <w:rPr>
          <w:rFonts w:eastAsiaTheme="minorHAnsi"/>
          <w:sz w:val="24"/>
          <w:szCs w:val="24"/>
          <w:lang w:bidi="ar-SA"/>
        </w:rPr>
        <w:t xml:space="preserve"> </w:t>
      </w:r>
      <w:r>
        <w:rPr>
          <w:rFonts w:eastAsiaTheme="minorHAnsi"/>
          <w:sz w:val="24"/>
          <w:szCs w:val="24"/>
          <w:lang w:bidi="ar-SA"/>
        </w:rPr>
        <w:t>are</w:t>
      </w:r>
      <w:r w:rsidRPr="00250CF4">
        <w:rPr>
          <w:rFonts w:eastAsiaTheme="minorHAnsi"/>
          <w:sz w:val="24"/>
          <w:szCs w:val="24"/>
          <w:lang w:bidi="ar-SA"/>
        </w:rPr>
        <w:t xml:space="preserve"> </w:t>
      </w:r>
      <w:r>
        <w:rPr>
          <w:rFonts w:eastAsiaTheme="minorHAnsi"/>
          <w:sz w:val="24"/>
          <w:szCs w:val="24"/>
          <w:lang w:bidi="ar-SA"/>
        </w:rPr>
        <w:t xml:space="preserve">also </w:t>
      </w:r>
      <w:r w:rsidRPr="00250CF4">
        <w:rPr>
          <w:rFonts w:eastAsiaTheme="minorHAnsi"/>
          <w:sz w:val="24"/>
          <w:szCs w:val="24"/>
          <w:lang w:bidi="ar-SA"/>
        </w:rPr>
        <w:t>require</w:t>
      </w:r>
      <w:r>
        <w:rPr>
          <w:rFonts w:eastAsiaTheme="minorHAnsi"/>
          <w:sz w:val="24"/>
          <w:szCs w:val="24"/>
          <w:lang w:bidi="ar-SA"/>
        </w:rPr>
        <w:t>d</w:t>
      </w:r>
      <w:r w:rsidRPr="00250CF4">
        <w:rPr>
          <w:rFonts w:eastAsiaTheme="minorHAnsi"/>
          <w:sz w:val="24"/>
          <w:szCs w:val="24"/>
          <w:lang w:bidi="ar-SA"/>
        </w:rPr>
        <w:t xml:space="preserve"> </w:t>
      </w:r>
      <w:r>
        <w:rPr>
          <w:rFonts w:eastAsiaTheme="minorHAnsi"/>
          <w:sz w:val="24"/>
          <w:szCs w:val="24"/>
          <w:lang w:bidi="ar-SA"/>
        </w:rPr>
        <w:t xml:space="preserve">to meet </w:t>
      </w:r>
      <w:hyperlink r:id="rId35" w:anchor="page=97" w:history="1">
        <w:r w:rsidRPr="0099514A">
          <w:rPr>
            <w:rStyle w:val="Hyperlink"/>
            <w:rFonts w:eastAsiaTheme="minorHAnsi"/>
            <w:sz w:val="24"/>
            <w:szCs w:val="24"/>
            <w:lang w:bidi="ar-SA"/>
          </w:rPr>
          <w:t>Policy HO4: Specialist and Adaptable Housing</w:t>
        </w:r>
      </w:hyperlink>
      <w:r w:rsidR="00250CF4" w:rsidRPr="00250CF4">
        <w:rPr>
          <w:rFonts w:eastAsiaTheme="minorHAnsi"/>
          <w:sz w:val="24"/>
          <w:szCs w:val="24"/>
          <w:lang w:bidi="ar-SA"/>
        </w:rPr>
        <w:t xml:space="preserve">). Applicants </w:t>
      </w:r>
      <w:r w:rsidR="00C76AEE">
        <w:rPr>
          <w:rFonts w:eastAsiaTheme="minorHAnsi"/>
          <w:sz w:val="24"/>
          <w:szCs w:val="24"/>
          <w:lang w:bidi="ar-SA"/>
        </w:rPr>
        <w:t>should</w:t>
      </w:r>
      <w:r w:rsidR="00250CF4" w:rsidRPr="00250CF4">
        <w:rPr>
          <w:rFonts w:eastAsiaTheme="minorHAnsi"/>
          <w:sz w:val="24"/>
          <w:szCs w:val="24"/>
          <w:lang w:bidi="ar-SA"/>
        </w:rPr>
        <w:t xml:space="preserve"> submit drawings demonstrating that accessible private </w:t>
      </w:r>
      <w:r w:rsidR="003D0221">
        <w:rPr>
          <w:rFonts w:eastAsiaTheme="minorHAnsi"/>
          <w:sz w:val="24"/>
          <w:szCs w:val="24"/>
          <w:lang w:bidi="ar-SA"/>
        </w:rPr>
        <w:t>units</w:t>
      </w:r>
      <w:r w:rsidR="00250CF4" w:rsidRPr="00250CF4">
        <w:rPr>
          <w:rFonts w:eastAsiaTheme="minorHAnsi"/>
          <w:sz w:val="24"/>
          <w:szCs w:val="24"/>
          <w:lang w:bidi="ar-SA"/>
        </w:rPr>
        <w:t xml:space="preserve"> comply with Part M of the Building Regulations, ensuring sufficient space and wheelchair accessibility. Accessible private studios are likely to require significantly more space than the minimum standards for general private studios or bedspaces, and developers should account for this during the initial design phase of a co-living scheme.</w:t>
      </w:r>
    </w:p>
    <w:p w14:paraId="25978A42" w14:textId="77777777" w:rsidR="00105B9C" w:rsidRDefault="00105B9C" w:rsidP="00032E08">
      <w:pPr>
        <w:pStyle w:val="ListParagraph"/>
        <w:ind w:left="567" w:firstLine="0"/>
        <w:jc w:val="left"/>
        <w:rPr>
          <w:rFonts w:eastAsiaTheme="minorHAnsi"/>
          <w:sz w:val="24"/>
          <w:szCs w:val="24"/>
          <w:lang w:bidi="ar-SA"/>
        </w:rPr>
      </w:pPr>
    </w:p>
    <w:p w14:paraId="40F2E610" w14:textId="0D856EDB" w:rsidR="00697B06" w:rsidRPr="0070000B" w:rsidRDefault="00697B06" w:rsidP="00D8055B">
      <w:pPr>
        <w:pStyle w:val="Heading2"/>
        <w:rPr>
          <w:lang w:bidi="ar-SA"/>
        </w:rPr>
      </w:pPr>
      <w:bookmarkStart w:id="43" w:name="_Toc229489662"/>
      <w:r w:rsidRPr="0070000B">
        <w:rPr>
          <w:lang w:bidi="ar-SA"/>
        </w:rPr>
        <w:t>Washing and Drying Amenities</w:t>
      </w:r>
      <w:bookmarkEnd w:id="43"/>
    </w:p>
    <w:p w14:paraId="44943025" w14:textId="77777777" w:rsidR="00697B06" w:rsidRPr="00211F00" w:rsidRDefault="00697B06" w:rsidP="00697B06">
      <w:pPr>
        <w:rPr>
          <w:rFonts w:eastAsiaTheme="minorHAnsi"/>
          <w:sz w:val="20"/>
          <w:szCs w:val="20"/>
          <w:lang w:bidi="ar-SA"/>
        </w:rPr>
      </w:pPr>
    </w:p>
    <w:p w14:paraId="04FDFB56" w14:textId="49B3AFBF" w:rsidR="00060B1C" w:rsidRPr="000E0B18" w:rsidRDefault="00F263FB" w:rsidP="000E0B18">
      <w:pPr>
        <w:pStyle w:val="BodyText"/>
        <w:numPr>
          <w:ilvl w:val="1"/>
          <w:numId w:val="1"/>
        </w:numPr>
        <w:spacing w:before="6"/>
        <w:ind w:left="567" w:hanging="567"/>
        <w:rPr>
          <w:sz w:val="24"/>
        </w:rPr>
      </w:pPr>
      <w:r w:rsidRPr="000E0B18">
        <w:rPr>
          <w:sz w:val="24"/>
        </w:rPr>
        <w:t>Sufficient washing and drying facilities should be provided for residents, either within private rooms or as part of shared communal provision. The format may vary depending on the overall design of the scheme, and the guidance does not prescribe a rigid approach. However, shared laundry facilities may offer a more efficient use of space, particularly in high-density developments, by avoiding the need to duplicate equipment in each unit. Shared facilities should be situated in a convenient, well-ventilated area and will not contribute to the communal space requirements unless purposefully designed to support recreational activities or social engagement. Washing and drying areas should not encroach upon or disrupt other communal spaces designated for cooking, dining, recreation, or socialising.</w:t>
      </w:r>
    </w:p>
    <w:p w14:paraId="5F1C45AE" w14:textId="77777777" w:rsidR="00840BC7" w:rsidRPr="00211F00" w:rsidRDefault="00840BC7" w:rsidP="0070000B">
      <w:pPr>
        <w:rPr>
          <w:rFonts w:eastAsiaTheme="minorHAnsi"/>
          <w:b/>
          <w:bCs/>
          <w:lang w:bidi="ar-SA"/>
        </w:rPr>
      </w:pPr>
    </w:p>
    <w:p w14:paraId="5E5602C6" w14:textId="63260CD3" w:rsidR="00F52283" w:rsidRPr="0070000B" w:rsidRDefault="00060B1C" w:rsidP="00D8055B">
      <w:pPr>
        <w:pStyle w:val="Heading2"/>
        <w:rPr>
          <w:lang w:bidi="ar-SA"/>
        </w:rPr>
      </w:pPr>
      <w:bookmarkStart w:id="44" w:name="_Toc229489663"/>
      <w:r w:rsidRPr="0070000B">
        <w:rPr>
          <w:lang w:bidi="ar-SA"/>
        </w:rPr>
        <w:t>Occupancy Profile</w:t>
      </w:r>
      <w:bookmarkEnd w:id="44"/>
    </w:p>
    <w:p w14:paraId="3E4ABB4B" w14:textId="77777777" w:rsidR="00FD5BF4" w:rsidRPr="00211F00" w:rsidRDefault="00FD5BF4" w:rsidP="00A465D8">
      <w:pPr>
        <w:rPr>
          <w:rFonts w:eastAsiaTheme="minorHAnsi"/>
          <w:sz w:val="20"/>
          <w:szCs w:val="20"/>
          <w:lang w:bidi="ar-SA"/>
        </w:rPr>
      </w:pPr>
    </w:p>
    <w:p w14:paraId="1653CF8A" w14:textId="72EC3CBD" w:rsidR="00F52283" w:rsidRPr="00F263FB" w:rsidRDefault="00A465D8" w:rsidP="00F263FB">
      <w:pPr>
        <w:pStyle w:val="ListParagraph"/>
        <w:numPr>
          <w:ilvl w:val="1"/>
          <w:numId w:val="1"/>
        </w:numPr>
        <w:ind w:left="567" w:hanging="567"/>
        <w:jc w:val="left"/>
        <w:rPr>
          <w:rFonts w:eastAsiaTheme="minorEastAsia"/>
          <w:sz w:val="24"/>
          <w:szCs w:val="24"/>
          <w:lang w:bidi="ar-SA"/>
        </w:rPr>
      </w:pPr>
      <w:r w:rsidRPr="29F8EA0D">
        <w:rPr>
          <w:rFonts w:eastAsiaTheme="minorEastAsia"/>
          <w:sz w:val="24"/>
          <w:szCs w:val="24"/>
          <w:lang w:bidi="ar-SA"/>
        </w:rPr>
        <w:t xml:space="preserve">Co-living schemes typically attract </w:t>
      </w:r>
      <w:r w:rsidRPr="00F263FB">
        <w:rPr>
          <w:rFonts w:eastAsiaTheme="minorEastAsia"/>
          <w:sz w:val="24"/>
          <w:szCs w:val="24"/>
          <w:lang w:bidi="ar-SA"/>
        </w:rPr>
        <w:t xml:space="preserve">individuals who are currently part of the private rented sector. These occupiers are generally aged between 18 and 40 years and reside in households without children. The appeal lies in the </w:t>
      </w:r>
      <w:r w:rsidR="00EC6AFA" w:rsidRPr="00F263FB">
        <w:rPr>
          <w:rFonts w:eastAsiaTheme="minorEastAsia"/>
          <w:sz w:val="24"/>
          <w:szCs w:val="24"/>
          <w:lang w:bidi="ar-SA"/>
        </w:rPr>
        <w:t>high specification</w:t>
      </w:r>
      <w:r w:rsidRPr="00F263FB">
        <w:rPr>
          <w:rFonts w:eastAsiaTheme="minorEastAsia"/>
          <w:sz w:val="24"/>
          <w:szCs w:val="24"/>
          <w:lang w:bidi="ar-SA"/>
        </w:rPr>
        <w:t xml:space="preserve">, fully managed </w:t>
      </w:r>
      <w:r w:rsidR="540CAA92" w:rsidRPr="00F263FB">
        <w:rPr>
          <w:rFonts w:eastAsiaTheme="minorEastAsia"/>
          <w:sz w:val="24"/>
          <w:szCs w:val="24"/>
          <w:lang w:bidi="ar-SA"/>
        </w:rPr>
        <w:t>and</w:t>
      </w:r>
      <w:r w:rsidR="001D611A" w:rsidRPr="00F263FB">
        <w:rPr>
          <w:rFonts w:eastAsiaTheme="minorEastAsia"/>
          <w:sz w:val="24"/>
          <w:szCs w:val="24"/>
          <w:lang w:bidi="ar-SA"/>
        </w:rPr>
        <w:t xml:space="preserve"> </w:t>
      </w:r>
      <w:r w:rsidR="00A30473" w:rsidRPr="00F263FB">
        <w:rPr>
          <w:rFonts w:eastAsiaTheme="minorEastAsia"/>
          <w:sz w:val="24"/>
          <w:szCs w:val="24"/>
          <w:lang w:bidi="ar-SA"/>
        </w:rPr>
        <w:t>reasonably priced</w:t>
      </w:r>
      <w:r w:rsidR="0099514A">
        <w:rPr>
          <w:rFonts w:eastAsiaTheme="minorEastAsia"/>
          <w:sz w:val="24"/>
          <w:szCs w:val="24"/>
          <w:lang w:bidi="ar-SA"/>
        </w:rPr>
        <w:t>, all-inclusive</w:t>
      </w:r>
      <w:r w:rsidR="00A30473" w:rsidRPr="00F263FB">
        <w:rPr>
          <w:rFonts w:eastAsiaTheme="minorEastAsia"/>
          <w:sz w:val="24"/>
          <w:szCs w:val="24"/>
          <w:lang w:bidi="ar-SA"/>
        </w:rPr>
        <w:t xml:space="preserve"> </w:t>
      </w:r>
      <w:r w:rsidRPr="00F263FB">
        <w:rPr>
          <w:rFonts w:eastAsiaTheme="minorEastAsia"/>
          <w:sz w:val="24"/>
          <w:szCs w:val="24"/>
          <w:lang w:bidi="ar-SA"/>
        </w:rPr>
        <w:t>accommodation that caters to their lifestyle, offering a modern and convenient living solution tailored to their needs.</w:t>
      </w:r>
    </w:p>
    <w:p w14:paraId="7CD1149F" w14:textId="77777777" w:rsidR="00C55B10" w:rsidRPr="00211F00" w:rsidRDefault="00C55B10" w:rsidP="00C55B10">
      <w:pPr>
        <w:pStyle w:val="ListParagraph"/>
        <w:ind w:left="567" w:firstLine="0"/>
        <w:jc w:val="left"/>
        <w:rPr>
          <w:rFonts w:eastAsiaTheme="minorHAnsi"/>
          <w:lang w:bidi="ar-SA"/>
        </w:rPr>
      </w:pPr>
    </w:p>
    <w:p w14:paraId="2D0062D9" w14:textId="2A237738" w:rsidR="00A465D8" w:rsidRDefault="3F322455" w:rsidP="003D0221">
      <w:pPr>
        <w:pStyle w:val="ListParagraph"/>
        <w:numPr>
          <w:ilvl w:val="1"/>
          <w:numId w:val="1"/>
        </w:numPr>
        <w:ind w:left="567" w:hanging="567"/>
        <w:jc w:val="left"/>
        <w:rPr>
          <w:rFonts w:eastAsiaTheme="minorEastAsia"/>
          <w:sz w:val="24"/>
          <w:szCs w:val="24"/>
          <w:lang w:bidi="ar-SA"/>
        </w:rPr>
      </w:pPr>
      <w:r w:rsidRPr="6071C8BD">
        <w:rPr>
          <w:rFonts w:eastAsiaTheme="minorEastAsia"/>
          <w:sz w:val="24"/>
          <w:szCs w:val="24"/>
          <w:lang w:bidi="ar-SA"/>
        </w:rPr>
        <w:t>A</w:t>
      </w:r>
      <w:r w:rsidR="00AE0F8B" w:rsidRPr="6071C8BD">
        <w:rPr>
          <w:rFonts w:eastAsiaTheme="minorEastAsia"/>
          <w:sz w:val="24"/>
          <w:szCs w:val="24"/>
          <w:lang w:bidi="ar-SA"/>
        </w:rPr>
        <w:t xml:space="preserve"> prime </w:t>
      </w:r>
      <w:r w:rsidR="003D0221" w:rsidRPr="6071C8BD">
        <w:rPr>
          <w:rFonts w:eastAsiaTheme="minorEastAsia"/>
          <w:sz w:val="24"/>
          <w:szCs w:val="24"/>
          <w:lang w:bidi="ar-SA"/>
        </w:rPr>
        <w:t xml:space="preserve">accessible </w:t>
      </w:r>
      <w:r w:rsidR="00AE0F8B" w:rsidRPr="6071C8BD">
        <w:rPr>
          <w:rFonts w:eastAsiaTheme="minorEastAsia"/>
          <w:sz w:val="24"/>
          <w:szCs w:val="24"/>
          <w:lang w:bidi="ar-SA"/>
        </w:rPr>
        <w:t xml:space="preserve">location </w:t>
      </w:r>
      <w:r w:rsidR="75D0F036" w:rsidRPr="0978ACF6">
        <w:rPr>
          <w:rFonts w:eastAsiaTheme="minorEastAsia"/>
          <w:sz w:val="24"/>
          <w:szCs w:val="24"/>
          <w:lang w:bidi="ar-SA"/>
        </w:rPr>
        <w:t>for</w:t>
      </w:r>
      <w:r w:rsidR="00AE0F8B" w:rsidRPr="6071C8BD">
        <w:rPr>
          <w:rFonts w:eastAsiaTheme="minorEastAsia"/>
          <w:sz w:val="24"/>
          <w:szCs w:val="24"/>
          <w:lang w:bidi="ar-SA"/>
        </w:rPr>
        <w:t xml:space="preserve"> co-living developments significantly enhances their attractiveness, with properties situated in </w:t>
      </w:r>
      <w:r w:rsidR="0099514A">
        <w:rPr>
          <w:rFonts w:eastAsiaTheme="minorEastAsia"/>
          <w:sz w:val="24"/>
          <w:szCs w:val="24"/>
          <w:lang w:bidi="ar-SA"/>
        </w:rPr>
        <w:t>the city centre</w:t>
      </w:r>
      <w:r w:rsidR="00AE0F8B" w:rsidRPr="6071C8BD">
        <w:rPr>
          <w:rFonts w:eastAsiaTheme="minorEastAsia"/>
          <w:sz w:val="24"/>
          <w:szCs w:val="24"/>
          <w:lang w:bidi="ar-SA"/>
        </w:rPr>
        <w:t xml:space="preserve"> near essential amenities, facilities, </w:t>
      </w:r>
      <w:r w:rsidR="0099514A">
        <w:rPr>
          <w:rFonts w:eastAsiaTheme="minorEastAsia"/>
          <w:sz w:val="24"/>
          <w:szCs w:val="24"/>
          <w:lang w:bidi="ar-SA"/>
        </w:rPr>
        <w:t xml:space="preserve">retail/services </w:t>
      </w:r>
      <w:r w:rsidR="00AE0F8B" w:rsidRPr="6071C8BD">
        <w:rPr>
          <w:rFonts w:eastAsiaTheme="minorEastAsia"/>
          <w:sz w:val="24"/>
          <w:szCs w:val="24"/>
          <w:lang w:bidi="ar-SA"/>
        </w:rPr>
        <w:t xml:space="preserve">and employment opportunities. This proximity ensures residents </w:t>
      </w:r>
      <w:r w:rsidR="00AE0F8B" w:rsidRPr="6071C8BD">
        <w:rPr>
          <w:rFonts w:eastAsiaTheme="minorEastAsia"/>
          <w:sz w:val="24"/>
          <w:szCs w:val="24"/>
          <w:lang w:bidi="ar-SA"/>
        </w:rPr>
        <w:lastRenderedPageBreak/>
        <w:t xml:space="preserve">can easily access urban conveniences, making co-living an ideal choice for those seeking a connected and vibrant lifestyle. These schemes are designed to align with the dynamic demands of city living. </w:t>
      </w:r>
    </w:p>
    <w:p w14:paraId="251EF015" w14:textId="77777777" w:rsidR="00947700" w:rsidRPr="00211F00" w:rsidRDefault="00947700" w:rsidP="00947700">
      <w:pPr>
        <w:pStyle w:val="ListParagraph"/>
        <w:ind w:left="567" w:firstLine="0"/>
        <w:jc w:val="left"/>
        <w:rPr>
          <w:rFonts w:eastAsiaTheme="minorHAnsi"/>
          <w:sz w:val="20"/>
          <w:szCs w:val="20"/>
          <w:lang w:bidi="ar-SA"/>
        </w:rPr>
      </w:pPr>
    </w:p>
    <w:p w14:paraId="20D76B19" w14:textId="109C62FA" w:rsidR="00021956" w:rsidRDefault="00947700" w:rsidP="003D0221">
      <w:pPr>
        <w:pStyle w:val="ListParagraph"/>
        <w:numPr>
          <w:ilvl w:val="1"/>
          <w:numId w:val="1"/>
        </w:numPr>
        <w:ind w:left="567" w:hanging="567"/>
        <w:jc w:val="left"/>
        <w:rPr>
          <w:rFonts w:eastAsiaTheme="minorHAnsi"/>
          <w:sz w:val="24"/>
          <w:szCs w:val="24"/>
          <w:lang w:bidi="ar-SA"/>
        </w:rPr>
      </w:pPr>
      <w:r w:rsidRPr="00947700">
        <w:rPr>
          <w:rFonts w:eastAsiaTheme="minorHAnsi"/>
          <w:sz w:val="24"/>
          <w:szCs w:val="24"/>
          <w:lang w:bidi="ar-SA"/>
        </w:rPr>
        <w:t>A defining feature of co-living is the provision of high-quality shared communal spaces that promote sociable living arrangements. These areas are designed to encourage interaction and foster a sense of community among residents. The all-inclusive rental packages and streamlined management regimes further enhance the appeal by simplifying the tenancy experience, offering convenience and ease for occupiers.</w:t>
      </w:r>
    </w:p>
    <w:p w14:paraId="6DB39D55" w14:textId="77777777" w:rsidR="009241D5" w:rsidRPr="009241D5" w:rsidRDefault="009241D5" w:rsidP="009241D5">
      <w:pPr>
        <w:pStyle w:val="ListParagraph"/>
        <w:rPr>
          <w:rFonts w:eastAsiaTheme="minorHAnsi"/>
          <w:sz w:val="24"/>
          <w:szCs w:val="24"/>
          <w:lang w:bidi="ar-SA"/>
        </w:rPr>
      </w:pPr>
    </w:p>
    <w:p w14:paraId="5425D7C2" w14:textId="44ED7668" w:rsidR="00D25EE6" w:rsidRDefault="00D25EE6" w:rsidP="003D0221">
      <w:pPr>
        <w:pStyle w:val="ListParagraph"/>
        <w:numPr>
          <w:ilvl w:val="1"/>
          <w:numId w:val="1"/>
        </w:numPr>
        <w:ind w:left="567" w:hanging="567"/>
        <w:jc w:val="left"/>
        <w:rPr>
          <w:rFonts w:eastAsiaTheme="minorHAnsi"/>
          <w:sz w:val="24"/>
          <w:szCs w:val="24"/>
          <w:lang w:bidi="ar-SA"/>
        </w:rPr>
      </w:pPr>
      <w:r w:rsidRPr="00D25EE6">
        <w:rPr>
          <w:rFonts w:eastAsiaTheme="minorHAnsi"/>
          <w:sz w:val="24"/>
          <w:szCs w:val="24"/>
          <w:lang w:bidi="ar-SA"/>
        </w:rPr>
        <w:t xml:space="preserve">The Council </w:t>
      </w:r>
      <w:r>
        <w:rPr>
          <w:rFonts w:eastAsiaTheme="minorHAnsi"/>
          <w:sz w:val="24"/>
          <w:szCs w:val="24"/>
          <w:lang w:bidi="ar-SA"/>
        </w:rPr>
        <w:t xml:space="preserve">will </w:t>
      </w:r>
      <w:r w:rsidR="00FF0413">
        <w:rPr>
          <w:rFonts w:eastAsiaTheme="minorHAnsi"/>
          <w:sz w:val="24"/>
          <w:szCs w:val="24"/>
          <w:lang w:bidi="ar-SA"/>
        </w:rPr>
        <w:t xml:space="preserve">support </w:t>
      </w:r>
      <w:r w:rsidRPr="00D25EE6">
        <w:rPr>
          <w:rFonts w:eastAsiaTheme="minorHAnsi"/>
          <w:sz w:val="24"/>
          <w:szCs w:val="24"/>
          <w:lang w:bidi="ar-SA"/>
        </w:rPr>
        <w:t xml:space="preserve">the development of </w:t>
      </w:r>
      <w:r w:rsidR="003D0221">
        <w:rPr>
          <w:rFonts w:eastAsiaTheme="minorHAnsi"/>
          <w:sz w:val="24"/>
          <w:szCs w:val="24"/>
          <w:lang w:bidi="ar-SA"/>
        </w:rPr>
        <w:t>co</w:t>
      </w:r>
      <w:r w:rsidR="00411C29">
        <w:rPr>
          <w:rFonts w:eastAsiaTheme="minorHAnsi"/>
          <w:sz w:val="24"/>
          <w:szCs w:val="24"/>
          <w:lang w:bidi="ar-SA"/>
        </w:rPr>
        <w:t>-</w:t>
      </w:r>
      <w:r w:rsidR="003D0221">
        <w:rPr>
          <w:rFonts w:eastAsiaTheme="minorHAnsi"/>
          <w:sz w:val="24"/>
          <w:szCs w:val="24"/>
          <w:lang w:bidi="ar-SA"/>
        </w:rPr>
        <w:t>living schemes</w:t>
      </w:r>
      <w:r w:rsidRPr="00D25EE6">
        <w:rPr>
          <w:rFonts w:eastAsiaTheme="minorHAnsi"/>
          <w:sz w:val="24"/>
          <w:szCs w:val="24"/>
          <w:lang w:bidi="ar-SA"/>
        </w:rPr>
        <w:t xml:space="preserve"> that addresses the needs of young professionals, recent graduates, and key workers in the local economy. Co-living accommodation is often championed as an effective solution to meet these demands, thanks to its sociable and all-inclusive nature. By supporting such schemes, the Council aims to provide housing options that align with the priorities of these key demographic groups.</w:t>
      </w:r>
    </w:p>
    <w:p w14:paraId="62E090E9" w14:textId="77777777" w:rsidR="00DA62B8" w:rsidRPr="00211F00" w:rsidRDefault="00DA62B8" w:rsidP="00FA13A5">
      <w:pPr>
        <w:rPr>
          <w:rFonts w:eastAsiaTheme="minorHAnsi"/>
          <w:sz w:val="20"/>
          <w:szCs w:val="20"/>
          <w:lang w:bidi="ar-SA"/>
        </w:rPr>
      </w:pPr>
    </w:p>
    <w:p w14:paraId="4756AABB" w14:textId="001D6A2D" w:rsidR="00DA62B8" w:rsidRPr="00CD362C" w:rsidRDefault="00DA62B8" w:rsidP="003D0221">
      <w:pPr>
        <w:pStyle w:val="ListParagraph"/>
        <w:numPr>
          <w:ilvl w:val="1"/>
          <w:numId w:val="1"/>
        </w:numPr>
        <w:ind w:left="567" w:hanging="567"/>
        <w:jc w:val="left"/>
        <w:rPr>
          <w:rFonts w:eastAsiaTheme="minorHAnsi"/>
          <w:sz w:val="24"/>
          <w:szCs w:val="24"/>
          <w:lang w:bidi="ar-SA"/>
        </w:rPr>
      </w:pPr>
      <w:r w:rsidRPr="00265C4F">
        <w:rPr>
          <w:sz w:val="24"/>
          <w:szCs w:val="24"/>
        </w:rPr>
        <w:t>Although co-living can provide a more affordable rental option in the city compared to some other rental options, such as build-to-rent, the average cost of rent (inclusive of bills) is still significant. As such, whilst co-living accommodation provides an additional housing option for those able to</w:t>
      </w:r>
      <w:r>
        <w:rPr>
          <w:sz w:val="24"/>
          <w:szCs w:val="24"/>
        </w:rPr>
        <w:t xml:space="preserve"> </w:t>
      </w:r>
      <w:r w:rsidRPr="00265C4F">
        <w:rPr>
          <w:sz w:val="24"/>
          <w:szCs w:val="24"/>
        </w:rPr>
        <w:t>afford it, and contributes to housing choice for this demographic, the Council does not consider it to be an affordable rented tenure.</w:t>
      </w:r>
    </w:p>
    <w:p w14:paraId="4F92A955" w14:textId="77777777" w:rsidR="00CD362C" w:rsidRPr="00211F00" w:rsidRDefault="00CD362C" w:rsidP="00CD362C">
      <w:pPr>
        <w:pStyle w:val="ListParagraph"/>
        <w:rPr>
          <w:rFonts w:eastAsiaTheme="minorHAnsi"/>
          <w:sz w:val="20"/>
          <w:szCs w:val="20"/>
          <w:lang w:bidi="ar-SA"/>
        </w:rPr>
      </w:pPr>
    </w:p>
    <w:p w14:paraId="3EFFCF5A" w14:textId="77777777" w:rsidR="0099514A" w:rsidRPr="000E0B18" w:rsidRDefault="0099514A" w:rsidP="00D8055B">
      <w:pPr>
        <w:pStyle w:val="Heading2"/>
        <w:rPr>
          <w:lang w:bidi="ar-SA"/>
        </w:rPr>
      </w:pPr>
      <w:bookmarkStart w:id="45" w:name="_Toc229489664"/>
      <w:r w:rsidRPr="000E0B18">
        <w:t>Shared Living for Older Persons</w:t>
      </w:r>
      <w:bookmarkEnd w:id="45"/>
    </w:p>
    <w:p w14:paraId="76C28137" w14:textId="77777777" w:rsidR="0099514A" w:rsidRPr="00211F00" w:rsidRDefault="0099514A" w:rsidP="0099514A">
      <w:pPr>
        <w:pStyle w:val="ListParagraph"/>
        <w:rPr>
          <w:rFonts w:eastAsiaTheme="minorHAnsi"/>
          <w:sz w:val="18"/>
          <w:szCs w:val="18"/>
          <w:lang w:bidi="ar-SA"/>
        </w:rPr>
      </w:pPr>
    </w:p>
    <w:p w14:paraId="2376DF44" w14:textId="41E02A77" w:rsidR="00D92176" w:rsidRPr="000E0B18" w:rsidRDefault="00D92176" w:rsidP="0099514A">
      <w:pPr>
        <w:pStyle w:val="ListParagraph"/>
        <w:numPr>
          <w:ilvl w:val="1"/>
          <w:numId w:val="1"/>
        </w:numPr>
        <w:ind w:left="567" w:hanging="567"/>
        <w:rPr>
          <w:rFonts w:eastAsiaTheme="minorHAnsi"/>
          <w:sz w:val="24"/>
          <w:szCs w:val="24"/>
          <w:lang w:bidi="ar-SA"/>
        </w:rPr>
      </w:pPr>
      <w:r w:rsidRPr="000E0B18">
        <w:rPr>
          <w:rFonts w:eastAsiaTheme="minorHAnsi"/>
          <w:sz w:val="24"/>
          <w:szCs w:val="24"/>
          <w:lang w:bidi="ar-SA"/>
        </w:rPr>
        <w:t xml:space="preserve">While </w:t>
      </w:r>
      <w:r w:rsidR="0099514A" w:rsidRPr="000E0B18">
        <w:rPr>
          <w:rFonts w:eastAsiaTheme="minorHAnsi"/>
          <w:sz w:val="24"/>
          <w:szCs w:val="24"/>
          <w:lang w:bidi="ar-SA"/>
        </w:rPr>
        <w:t xml:space="preserve">current </w:t>
      </w:r>
      <w:r w:rsidRPr="000E0B18">
        <w:rPr>
          <w:rFonts w:eastAsiaTheme="minorHAnsi"/>
          <w:sz w:val="24"/>
          <w:szCs w:val="24"/>
          <w:lang w:bidi="ar-SA"/>
        </w:rPr>
        <w:t xml:space="preserve">co-living </w:t>
      </w:r>
      <w:r w:rsidR="0099514A" w:rsidRPr="000E0B18">
        <w:rPr>
          <w:rFonts w:eastAsiaTheme="minorHAnsi"/>
          <w:sz w:val="24"/>
          <w:szCs w:val="24"/>
          <w:lang w:bidi="ar-SA"/>
        </w:rPr>
        <w:t xml:space="preserve">schemes </w:t>
      </w:r>
      <w:r w:rsidRPr="000E0B18">
        <w:rPr>
          <w:rFonts w:eastAsiaTheme="minorHAnsi"/>
          <w:sz w:val="24"/>
          <w:szCs w:val="24"/>
          <w:lang w:bidi="ar-SA"/>
        </w:rPr>
        <w:t>ha</w:t>
      </w:r>
      <w:r w:rsidR="0099514A" w:rsidRPr="000E0B18">
        <w:rPr>
          <w:rFonts w:eastAsiaTheme="minorHAnsi"/>
          <w:sz w:val="24"/>
          <w:szCs w:val="24"/>
          <w:lang w:bidi="ar-SA"/>
        </w:rPr>
        <w:t>ve</w:t>
      </w:r>
      <w:r w:rsidRPr="000E0B18">
        <w:rPr>
          <w:rFonts w:eastAsiaTheme="minorHAnsi"/>
          <w:sz w:val="24"/>
          <w:szCs w:val="24"/>
          <w:lang w:bidi="ar-SA"/>
        </w:rPr>
        <w:t xml:space="preserve"> primarily been associated with younger demographics, there is growing recognition of its potential benefits for older residents. Shared living models can help address issues of social isolation, provide mutual support networks, and create safe, inclusive environments for those seeking community-oriented lifestyles later in life.</w:t>
      </w:r>
    </w:p>
    <w:p w14:paraId="44DB1C5B" w14:textId="77777777" w:rsidR="00D92176" w:rsidRPr="00211F00" w:rsidRDefault="00D92176" w:rsidP="00D92176">
      <w:pPr>
        <w:pStyle w:val="ListParagraph"/>
        <w:rPr>
          <w:rFonts w:eastAsiaTheme="minorHAnsi"/>
          <w:sz w:val="18"/>
          <w:szCs w:val="18"/>
          <w:lang w:bidi="ar-SA"/>
        </w:rPr>
      </w:pPr>
    </w:p>
    <w:p w14:paraId="2287403F" w14:textId="148C319F" w:rsidR="0099514A" w:rsidRPr="000E0B18" w:rsidRDefault="00D92176" w:rsidP="0099514A">
      <w:pPr>
        <w:pStyle w:val="ListParagraph"/>
        <w:numPr>
          <w:ilvl w:val="1"/>
          <w:numId w:val="1"/>
        </w:numPr>
        <w:ind w:left="567" w:hanging="567"/>
        <w:rPr>
          <w:rFonts w:eastAsiaTheme="minorHAnsi"/>
          <w:sz w:val="24"/>
          <w:szCs w:val="24"/>
          <w:lang w:bidi="ar-SA"/>
        </w:rPr>
      </w:pPr>
      <w:r w:rsidRPr="000E0B18">
        <w:rPr>
          <w:rFonts w:eastAsiaTheme="minorHAnsi"/>
          <w:sz w:val="24"/>
          <w:szCs w:val="24"/>
          <w:lang w:bidi="ar-SA"/>
        </w:rPr>
        <w:t xml:space="preserve">Recent award-winning schemes, such as those highlighted by RIBA, demonstrate how design-led shared housing can successfully integrate communal spaces with private accommodation tailored to older persons’ needs. These developments often feature accessible layouts, generous circulation areas, and adaptable units that comply with the </w:t>
      </w:r>
      <w:r w:rsidR="00715FE5">
        <w:rPr>
          <w:rFonts w:eastAsiaTheme="minorHAnsi"/>
          <w:sz w:val="24"/>
          <w:szCs w:val="24"/>
          <w:lang w:bidi="ar-SA"/>
        </w:rPr>
        <w:t>NDSS</w:t>
      </w:r>
      <w:r w:rsidRPr="000E0B18">
        <w:rPr>
          <w:rFonts w:eastAsiaTheme="minorHAnsi"/>
          <w:sz w:val="24"/>
          <w:szCs w:val="24"/>
          <w:lang w:bidi="ar-SA"/>
        </w:rPr>
        <w:t xml:space="preserve"> ensuring mobility and usability for residents with varying physical needs.</w:t>
      </w:r>
    </w:p>
    <w:p w14:paraId="39B881E3" w14:textId="77777777" w:rsidR="0099514A" w:rsidRPr="00211F00" w:rsidRDefault="0099514A" w:rsidP="0099514A">
      <w:pPr>
        <w:pStyle w:val="ListParagraph"/>
        <w:rPr>
          <w:rFonts w:eastAsiaTheme="minorHAnsi"/>
          <w:sz w:val="20"/>
          <w:szCs w:val="20"/>
          <w:lang w:bidi="ar-SA"/>
        </w:rPr>
      </w:pPr>
    </w:p>
    <w:p w14:paraId="57483DF2" w14:textId="4F7A5121" w:rsidR="00D92176" w:rsidRPr="000E0B18" w:rsidRDefault="00D92176" w:rsidP="0099514A">
      <w:pPr>
        <w:pStyle w:val="ListParagraph"/>
        <w:numPr>
          <w:ilvl w:val="1"/>
          <w:numId w:val="1"/>
        </w:numPr>
        <w:ind w:left="567" w:hanging="567"/>
        <w:rPr>
          <w:rFonts w:eastAsiaTheme="minorHAnsi"/>
          <w:sz w:val="24"/>
          <w:szCs w:val="24"/>
          <w:lang w:bidi="ar-SA"/>
        </w:rPr>
      </w:pPr>
      <w:r w:rsidRPr="000E0B18">
        <w:rPr>
          <w:rFonts w:eastAsiaTheme="minorHAnsi"/>
          <w:sz w:val="24"/>
          <w:szCs w:val="24"/>
          <w:lang w:bidi="ar-SA"/>
        </w:rPr>
        <w:t>Key considerations for older persons’ shared living include:</w:t>
      </w:r>
    </w:p>
    <w:p w14:paraId="097D5C09" w14:textId="77777777" w:rsidR="00D92176" w:rsidRPr="000E0B18" w:rsidRDefault="00D92176" w:rsidP="0002776A">
      <w:pPr>
        <w:pStyle w:val="ListParagraph"/>
        <w:numPr>
          <w:ilvl w:val="0"/>
          <w:numId w:val="2"/>
        </w:numPr>
        <w:rPr>
          <w:rFonts w:eastAsiaTheme="minorHAnsi"/>
          <w:sz w:val="24"/>
          <w:szCs w:val="24"/>
          <w:lang w:bidi="ar-SA"/>
        </w:rPr>
      </w:pPr>
      <w:r w:rsidRPr="00380BFE">
        <w:rPr>
          <w:rFonts w:eastAsiaTheme="minorHAnsi"/>
          <w:i/>
          <w:iCs/>
          <w:sz w:val="24"/>
          <w:szCs w:val="24"/>
          <w:lang w:bidi="ar-SA"/>
        </w:rPr>
        <w:t>Space Standards</w:t>
      </w:r>
      <w:r w:rsidRPr="000E0B18">
        <w:rPr>
          <w:rFonts w:eastAsiaTheme="minorHAnsi"/>
          <w:sz w:val="24"/>
          <w:szCs w:val="24"/>
          <w:lang w:bidi="ar-SA"/>
        </w:rPr>
        <w:t>: Larger private units to accommodate mobility aids and personal possessions.</w:t>
      </w:r>
    </w:p>
    <w:p w14:paraId="2940870F" w14:textId="77777777" w:rsidR="00D92176" w:rsidRPr="000E0B18" w:rsidRDefault="00D92176" w:rsidP="0002776A">
      <w:pPr>
        <w:pStyle w:val="ListParagraph"/>
        <w:numPr>
          <w:ilvl w:val="0"/>
          <w:numId w:val="2"/>
        </w:numPr>
        <w:rPr>
          <w:rFonts w:eastAsiaTheme="minorHAnsi"/>
          <w:sz w:val="24"/>
          <w:szCs w:val="24"/>
          <w:lang w:bidi="ar-SA"/>
        </w:rPr>
      </w:pPr>
      <w:r w:rsidRPr="00380BFE">
        <w:rPr>
          <w:rFonts w:eastAsiaTheme="minorHAnsi"/>
          <w:i/>
          <w:iCs/>
          <w:sz w:val="24"/>
          <w:szCs w:val="24"/>
          <w:lang w:bidi="ar-SA"/>
        </w:rPr>
        <w:t>Accessibility:</w:t>
      </w:r>
      <w:r w:rsidRPr="000E0B18">
        <w:rPr>
          <w:rFonts w:eastAsiaTheme="minorHAnsi"/>
          <w:sz w:val="24"/>
          <w:szCs w:val="24"/>
          <w:lang w:bidi="ar-SA"/>
        </w:rPr>
        <w:t xml:space="preserve"> Step-free access, wider doorways, and adaptable bathrooms.</w:t>
      </w:r>
    </w:p>
    <w:p w14:paraId="2B8A105C" w14:textId="77777777" w:rsidR="00D92176" w:rsidRPr="000E0B18" w:rsidRDefault="00D92176" w:rsidP="0002776A">
      <w:pPr>
        <w:pStyle w:val="ListParagraph"/>
        <w:numPr>
          <w:ilvl w:val="0"/>
          <w:numId w:val="2"/>
        </w:numPr>
        <w:rPr>
          <w:rFonts w:eastAsiaTheme="minorHAnsi"/>
          <w:sz w:val="24"/>
          <w:szCs w:val="24"/>
          <w:lang w:bidi="ar-SA"/>
        </w:rPr>
      </w:pPr>
      <w:r w:rsidRPr="00380BFE">
        <w:rPr>
          <w:rFonts w:eastAsiaTheme="minorHAnsi"/>
          <w:i/>
          <w:iCs/>
          <w:sz w:val="24"/>
          <w:szCs w:val="24"/>
          <w:lang w:bidi="ar-SA"/>
        </w:rPr>
        <w:t>Communal Facilities:</w:t>
      </w:r>
      <w:r w:rsidRPr="000E0B18">
        <w:rPr>
          <w:rFonts w:eastAsiaTheme="minorHAnsi"/>
          <w:sz w:val="24"/>
          <w:szCs w:val="24"/>
          <w:lang w:bidi="ar-SA"/>
        </w:rPr>
        <w:t xml:space="preserve"> Shared kitchens, lounges, and gardens designed to encourage interaction and reduce loneliness.</w:t>
      </w:r>
    </w:p>
    <w:p w14:paraId="6AA25EF4" w14:textId="77777777" w:rsidR="00D92176" w:rsidRPr="000E0B18" w:rsidRDefault="00D92176" w:rsidP="0002776A">
      <w:pPr>
        <w:pStyle w:val="ListParagraph"/>
        <w:numPr>
          <w:ilvl w:val="0"/>
          <w:numId w:val="2"/>
        </w:numPr>
        <w:rPr>
          <w:rFonts w:eastAsiaTheme="minorHAnsi"/>
          <w:sz w:val="24"/>
          <w:szCs w:val="24"/>
          <w:lang w:bidi="ar-SA"/>
        </w:rPr>
      </w:pPr>
      <w:r w:rsidRPr="00380BFE">
        <w:rPr>
          <w:rFonts w:eastAsiaTheme="minorHAnsi"/>
          <w:i/>
          <w:iCs/>
          <w:sz w:val="24"/>
          <w:szCs w:val="24"/>
          <w:lang w:bidi="ar-SA"/>
        </w:rPr>
        <w:t>Storage:</w:t>
      </w:r>
      <w:r w:rsidRPr="000E0B18">
        <w:rPr>
          <w:rFonts w:eastAsiaTheme="minorHAnsi"/>
          <w:sz w:val="24"/>
          <w:szCs w:val="24"/>
          <w:lang w:bidi="ar-SA"/>
        </w:rPr>
        <w:t xml:space="preserve"> Adequate provision for personal belongings, which is often a priority for older residents transitioning from family homes.</w:t>
      </w:r>
    </w:p>
    <w:p w14:paraId="7221A60E" w14:textId="77777777" w:rsidR="00D92176" w:rsidRPr="000E0B18" w:rsidRDefault="00D92176" w:rsidP="0002776A">
      <w:pPr>
        <w:pStyle w:val="ListParagraph"/>
        <w:numPr>
          <w:ilvl w:val="0"/>
          <w:numId w:val="2"/>
        </w:numPr>
        <w:rPr>
          <w:rFonts w:eastAsiaTheme="minorHAnsi"/>
          <w:sz w:val="24"/>
          <w:szCs w:val="24"/>
          <w:lang w:bidi="ar-SA"/>
        </w:rPr>
      </w:pPr>
      <w:r w:rsidRPr="00380BFE">
        <w:rPr>
          <w:rFonts w:eastAsiaTheme="minorHAnsi"/>
          <w:i/>
          <w:iCs/>
          <w:sz w:val="24"/>
          <w:szCs w:val="24"/>
          <w:lang w:bidi="ar-SA"/>
        </w:rPr>
        <w:t>Management &amp; Support:</w:t>
      </w:r>
      <w:r w:rsidRPr="000E0B18">
        <w:rPr>
          <w:rFonts w:eastAsiaTheme="minorHAnsi"/>
          <w:sz w:val="24"/>
          <w:szCs w:val="24"/>
          <w:lang w:bidi="ar-SA"/>
        </w:rPr>
        <w:t xml:space="preserve"> Professional management with optional care or concierge services to provide reassurance and assistance.</w:t>
      </w:r>
    </w:p>
    <w:p w14:paraId="5C56F898" w14:textId="77777777" w:rsidR="0099514A" w:rsidRPr="00211F00" w:rsidRDefault="0099514A" w:rsidP="0099514A">
      <w:pPr>
        <w:pStyle w:val="ListParagraph"/>
        <w:ind w:left="567" w:firstLine="0"/>
        <w:rPr>
          <w:rFonts w:eastAsiaTheme="minorHAnsi"/>
          <w:sz w:val="20"/>
          <w:szCs w:val="20"/>
          <w:lang w:bidi="ar-SA"/>
        </w:rPr>
      </w:pPr>
    </w:p>
    <w:p w14:paraId="09FAD15A" w14:textId="42D76553" w:rsidR="00C24D77" w:rsidRDefault="00D92176" w:rsidP="00C24D77">
      <w:pPr>
        <w:pStyle w:val="ListParagraph"/>
        <w:numPr>
          <w:ilvl w:val="1"/>
          <w:numId w:val="1"/>
        </w:numPr>
        <w:ind w:left="567" w:hanging="567"/>
        <w:rPr>
          <w:rFonts w:eastAsiaTheme="minorHAnsi"/>
          <w:sz w:val="24"/>
          <w:szCs w:val="24"/>
          <w:lang w:bidi="ar-SA"/>
        </w:rPr>
      </w:pPr>
      <w:r w:rsidRPr="000E0B18">
        <w:rPr>
          <w:rFonts w:eastAsiaTheme="minorHAnsi"/>
          <w:sz w:val="24"/>
          <w:szCs w:val="24"/>
          <w:lang w:bidi="ar-SA"/>
        </w:rPr>
        <w:t>By incorporating these principles, shared living for older persons can deliver high-quality, sustainable housing that promotes independence while fostering community and wellbeing.</w:t>
      </w:r>
    </w:p>
    <w:p w14:paraId="13C8823D" w14:textId="77777777" w:rsidR="00C24D77" w:rsidRPr="00211F00" w:rsidRDefault="00C24D77" w:rsidP="00C24D77">
      <w:pPr>
        <w:pStyle w:val="ListParagraph"/>
        <w:ind w:left="567" w:firstLine="0"/>
        <w:rPr>
          <w:rFonts w:eastAsiaTheme="minorHAnsi"/>
          <w:sz w:val="20"/>
          <w:szCs w:val="20"/>
          <w:lang w:bidi="ar-SA"/>
        </w:rPr>
      </w:pPr>
    </w:p>
    <w:p w14:paraId="348F914B" w14:textId="252EA22A" w:rsidR="00D817D5" w:rsidRPr="00C24D77" w:rsidRDefault="00D817D5" w:rsidP="00C24D77">
      <w:pPr>
        <w:pStyle w:val="ListParagraph"/>
        <w:numPr>
          <w:ilvl w:val="1"/>
          <w:numId w:val="1"/>
        </w:numPr>
        <w:ind w:left="567" w:hanging="567"/>
        <w:rPr>
          <w:rFonts w:eastAsiaTheme="minorHAnsi"/>
          <w:sz w:val="24"/>
          <w:szCs w:val="24"/>
          <w:lang w:bidi="ar-SA"/>
        </w:rPr>
      </w:pPr>
      <w:r w:rsidRPr="00C24D77">
        <w:rPr>
          <w:rFonts w:eastAsiaTheme="minorHAnsi"/>
          <w:sz w:val="24"/>
          <w:szCs w:val="24"/>
          <w:lang w:bidi="ar-SA"/>
        </w:rPr>
        <w:t xml:space="preserve">In most cases, </w:t>
      </w:r>
      <w:r w:rsidR="00C24D77" w:rsidRPr="00C24D77">
        <w:rPr>
          <w:rFonts w:eastAsiaTheme="minorHAnsi"/>
          <w:sz w:val="24"/>
          <w:szCs w:val="24"/>
          <w:lang w:bidi="ar-SA"/>
        </w:rPr>
        <w:t>given the</w:t>
      </w:r>
      <w:r w:rsidRPr="00C24D77">
        <w:rPr>
          <w:rFonts w:eastAsiaTheme="minorHAnsi"/>
          <w:sz w:val="24"/>
          <w:szCs w:val="24"/>
          <w:lang w:bidi="ar-SA"/>
        </w:rPr>
        <w:t xml:space="preserve"> type of </w:t>
      </w:r>
      <w:r w:rsidR="00417111" w:rsidRPr="00C24D77">
        <w:rPr>
          <w:rFonts w:eastAsiaTheme="minorHAnsi"/>
          <w:sz w:val="24"/>
          <w:szCs w:val="24"/>
          <w:lang w:bidi="ar-SA"/>
        </w:rPr>
        <w:t xml:space="preserve">accommodation </w:t>
      </w:r>
      <w:r w:rsidR="00C24D77" w:rsidRPr="00C24D77">
        <w:rPr>
          <w:rFonts w:eastAsiaTheme="minorHAnsi"/>
          <w:sz w:val="24"/>
          <w:szCs w:val="24"/>
          <w:lang w:bidi="ar-SA"/>
        </w:rPr>
        <w:t xml:space="preserve">proposed for older people, these </w:t>
      </w:r>
      <w:r w:rsidR="00BB7CFF" w:rsidRPr="00C24D77">
        <w:rPr>
          <w:rFonts w:eastAsiaTheme="minorHAnsi"/>
          <w:sz w:val="24"/>
          <w:szCs w:val="24"/>
          <w:lang w:bidi="ar-SA"/>
        </w:rPr>
        <w:t>schemes</w:t>
      </w:r>
      <w:r w:rsidR="00C24D77" w:rsidRPr="00C24D77">
        <w:rPr>
          <w:rFonts w:eastAsiaTheme="minorHAnsi"/>
          <w:sz w:val="24"/>
          <w:szCs w:val="24"/>
          <w:lang w:bidi="ar-SA"/>
        </w:rPr>
        <w:t xml:space="preserve"> </w:t>
      </w:r>
      <w:r w:rsidR="00417111" w:rsidRPr="00C24D77">
        <w:rPr>
          <w:rFonts w:eastAsiaTheme="minorHAnsi"/>
          <w:sz w:val="24"/>
          <w:szCs w:val="24"/>
          <w:lang w:bidi="ar-SA"/>
        </w:rPr>
        <w:t xml:space="preserve">would </w:t>
      </w:r>
      <w:r w:rsidR="00C8666C" w:rsidRPr="00C24D77">
        <w:rPr>
          <w:rFonts w:eastAsiaTheme="minorHAnsi"/>
          <w:sz w:val="24"/>
          <w:szCs w:val="24"/>
          <w:lang w:bidi="ar-SA"/>
        </w:rPr>
        <w:t>meet NDSS</w:t>
      </w:r>
      <w:r w:rsidR="00C24D77" w:rsidRPr="00C24D77">
        <w:rPr>
          <w:rFonts w:eastAsiaTheme="minorHAnsi"/>
          <w:sz w:val="24"/>
          <w:szCs w:val="24"/>
          <w:lang w:bidi="ar-SA"/>
        </w:rPr>
        <w:t xml:space="preserve"> requirements</w:t>
      </w:r>
      <w:r w:rsidR="00DE76E9" w:rsidRPr="00C24D77">
        <w:rPr>
          <w:rFonts w:eastAsiaTheme="minorHAnsi"/>
          <w:sz w:val="24"/>
          <w:szCs w:val="24"/>
          <w:lang w:bidi="ar-SA"/>
        </w:rPr>
        <w:t xml:space="preserve">. </w:t>
      </w:r>
    </w:p>
    <w:p w14:paraId="47C91EEC" w14:textId="3235761B" w:rsidR="003D0221" w:rsidRPr="00821212" w:rsidRDefault="003D0221" w:rsidP="00D8055B">
      <w:pPr>
        <w:pStyle w:val="Heading2"/>
        <w:rPr>
          <w:lang w:bidi="ar-SA"/>
        </w:rPr>
      </w:pPr>
      <w:bookmarkStart w:id="46" w:name="_Toc229489665"/>
      <w:r w:rsidRPr="00821212">
        <w:rPr>
          <w:lang w:bidi="ar-SA"/>
        </w:rPr>
        <w:lastRenderedPageBreak/>
        <w:t>Change of use of existing building</w:t>
      </w:r>
      <w:r>
        <w:rPr>
          <w:lang w:bidi="ar-SA"/>
        </w:rPr>
        <w:t>s</w:t>
      </w:r>
      <w:r w:rsidRPr="00821212">
        <w:rPr>
          <w:lang w:bidi="ar-SA"/>
        </w:rPr>
        <w:t xml:space="preserve"> including Purpose Built Student Accommodation</w:t>
      </w:r>
      <w:bookmarkEnd w:id="46"/>
    </w:p>
    <w:p w14:paraId="5425C37B" w14:textId="77777777" w:rsidR="003D0221" w:rsidRPr="00211F00" w:rsidRDefault="003D0221" w:rsidP="003D0221">
      <w:pPr>
        <w:rPr>
          <w:rFonts w:eastAsiaTheme="minorHAnsi"/>
          <w:sz w:val="18"/>
          <w:szCs w:val="18"/>
          <w:lang w:bidi="ar-SA"/>
        </w:rPr>
      </w:pPr>
    </w:p>
    <w:p w14:paraId="5156B6D4" w14:textId="344A7CC8" w:rsidR="003D0221" w:rsidRDefault="003D0221" w:rsidP="003D0221">
      <w:pPr>
        <w:pStyle w:val="ListParagraph"/>
        <w:numPr>
          <w:ilvl w:val="1"/>
          <w:numId w:val="1"/>
        </w:numPr>
        <w:ind w:left="567" w:hanging="567"/>
        <w:jc w:val="left"/>
        <w:rPr>
          <w:rFonts w:eastAsiaTheme="minorHAnsi"/>
          <w:sz w:val="24"/>
          <w:szCs w:val="24"/>
          <w:lang w:bidi="ar-SA"/>
        </w:rPr>
      </w:pPr>
      <w:r w:rsidRPr="003D0221">
        <w:rPr>
          <w:rFonts w:eastAsiaTheme="minorHAnsi"/>
          <w:sz w:val="24"/>
          <w:szCs w:val="24"/>
          <w:lang w:bidi="ar-SA"/>
        </w:rPr>
        <w:t xml:space="preserve">Proposals for the change of use of existing buildings including Purpose Built Student Accommodation (PBSA) schemes </w:t>
      </w:r>
      <w:r w:rsidR="0099514A">
        <w:rPr>
          <w:rFonts w:eastAsiaTheme="minorHAnsi"/>
          <w:sz w:val="24"/>
          <w:szCs w:val="24"/>
          <w:lang w:bidi="ar-SA"/>
        </w:rPr>
        <w:t>need to</w:t>
      </w:r>
      <w:r w:rsidRPr="003D0221">
        <w:rPr>
          <w:rFonts w:eastAsiaTheme="minorHAnsi"/>
          <w:sz w:val="24"/>
          <w:szCs w:val="24"/>
          <w:lang w:bidi="ar-SA"/>
        </w:rPr>
        <w:t xml:space="preserve"> comply with Local Plan policies and the guidance within this document</w:t>
      </w:r>
      <w:r w:rsidR="00195CDC">
        <w:rPr>
          <w:rFonts w:eastAsiaTheme="minorHAnsi"/>
          <w:sz w:val="24"/>
          <w:szCs w:val="24"/>
          <w:lang w:bidi="ar-SA"/>
        </w:rPr>
        <w:t xml:space="preserve"> including on minimum </w:t>
      </w:r>
      <w:r w:rsidR="00E050DA">
        <w:rPr>
          <w:rFonts w:eastAsiaTheme="minorHAnsi"/>
          <w:sz w:val="24"/>
          <w:szCs w:val="24"/>
          <w:lang w:bidi="ar-SA"/>
        </w:rPr>
        <w:t xml:space="preserve">suggested </w:t>
      </w:r>
      <w:r w:rsidR="00195CDC">
        <w:rPr>
          <w:rFonts w:eastAsiaTheme="minorHAnsi"/>
          <w:sz w:val="24"/>
          <w:szCs w:val="24"/>
          <w:lang w:bidi="ar-SA"/>
        </w:rPr>
        <w:t>room sizes</w:t>
      </w:r>
      <w:r w:rsidR="00E050DA">
        <w:rPr>
          <w:rFonts w:eastAsiaTheme="minorHAnsi"/>
          <w:sz w:val="24"/>
          <w:szCs w:val="24"/>
          <w:lang w:bidi="ar-SA"/>
        </w:rPr>
        <w:t xml:space="preserve"> and other </w:t>
      </w:r>
      <w:r w:rsidR="00801B04">
        <w:rPr>
          <w:rFonts w:eastAsiaTheme="minorHAnsi"/>
          <w:sz w:val="24"/>
          <w:szCs w:val="24"/>
          <w:lang w:bidi="ar-SA"/>
        </w:rPr>
        <w:t>guidance</w:t>
      </w:r>
      <w:r w:rsidRPr="003D0221">
        <w:rPr>
          <w:rFonts w:eastAsiaTheme="minorHAnsi"/>
          <w:sz w:val="24"/>
          <w:szCs w:val="24"/>
          <w:lang w:bidi="ar-SA"/>
        </w:rPr>
        <w:t>.</w:t>
      </w:r>
    </w:p>
    <w:p w14:paraId="45A1975A" w14:textId="77777777" w:rsidR="00D8055B" w:rsidRDefault="00D8055B" w:rsidP="00D8055B">
      <w:pPr>
        <w:pStyle w:val="ListParagraph"/>
        <w:ind w:left="567" w:firstLine="0"/>
        <w:jc w:val="left"/>
        <w:rPr>
          <w:rFonts w:eastAsiaTheme="minorHAnsi"/>
          <w:sz w:val="24"/>
          <w:szCs w:val="24"/>
          <w:lang w:bidi="ar-SA"/>
        </w:rPr>
      </w:pPr>
    </w:p>
    <w:p w14:paraId="3337971C" w14:textId="77777777" w:rsidR="00D66D4B" w:rsidRDefault="003D0221" w:rsidP="003D0221">
      <w:pPr>
        <w:pStyle w:val="ListParagraph"/>
        <w:numPr>
          <w:ilvl w:val="1"/>
          <w:numId w:val="1"/>
        </w:numPr>
        <w:ind w:left="567" w:hanging="567"/>
        <w:jc w:val="left"/>
        <w:rPr>
          <w:rFonts w:eastAsiaTheme="minorHAnsi"/>
          <w:sz w:val="24"/>
          <w:szCs w:val="24"/>
          <w:lang w:bidi="ar-SA"/>
        </w:rPr>
      </w:pPr>
      <w:r w:rsidRPr="003D0221">
        <w:rPr>
          <w:rFonts w:eastAsiaTheme="minorHAnsi"/>
          <w:sz w:val="24"/>
          <w:szCs w:val="24"/>
          <w:lang w:bidi="ar-SA"/>
        </w:rPr>
        <w:t>PBSA developments are typically designed for a transient student population, with smaller room sizes and limited personal amenity provision, reflecting the short-term nature of student occupancy. In contrast, co-living schemes are intended for a broader demographic including working professionals who may reside for longer</w:t>
      </w:r>
      <w:r w:rsidR="00F263FB">
        <w:rPr>
          <w:rFonts w:eastAsiaTheme="minorHAnsi"/>
          <w:sz w:val="24"/>
          <w:szCs w:val="24"/>
          <w:lang w:bidi="ar-SA"/>
        </w:rPr>
        <w:t xml:space="preserve">-continuous </w:t>
      </w:r>
      <w:r w:rsidRPr="003D0221">
        <w:rPr>
          <w:rFonts w:eastAsiaTheme="minorHAnsi"/>
          <w:sz w:val="24"/>
          <w:szCs w:val="24"/>
          <w:lang w:bidi="ar-SA"/>
        </w:rPr>
        <w:t>periods and have different expectations around privacy</w:t>
      </w:r>
      <w:r w:rsidR="00C161EA">
        <w:rPr>
          <w:rFonts w:eastAsiaTheme="minorHAnsi"/>
          <w:sz w:val="24"/>
          <w:szCs w:val="24"/>
          <w:lang w:bidi="ar-SA"/>
        </w:rPr>
        <w:t>, storage requirements</w:t>
      </w:r>
      <w:r w:rsidRPr="003D0221">
        <w:rPr>
          <w:rFonts w:eastAsiaTheme="minorHAnsi"/>
          <w:sz w:val="24"/>
          <w:szCs w:val="24"/>
          <w:lang w:bidi="ar-SA"/>
        </w:rPr>
        <w:t xml:space="preserve"> and amenity. </w:t>
      </w:r>
    </w:p>
    <w:p w14:paraId="76ACD972" w14:textId="77777777" w:rsidR="00D66D4B" w:rsidRPr="00D66D4B" w:rsidRDefault="00D66D4B" w:rsidP="00D66D4B">
      <w:pPr>
        <w:pStyle w:val="ListParagraph"/>
        <w:rPr>
          <w:rFonts w:eastAsiaTheme="minorHAnsi"/>
          <w:sz w:val="24"/>
          <w:szCs w:val="24"/>
          <w:lang w:bidi="ar-SA"/>
        </w:rPr>
      </w:pPr>
    </w:p>
    <w:p w14:paraId="592430E0" w14:textId="5B24F0D2" w:rsidR="003D0221" w:rsidRDefault="00D66D4B" w:rsidP="003D0221">
      <w:pPr>
        <w:pStyle w:val="ListParagraph"/>
        <w:numPr>
          <w:ilvl w:val="1"/>
          <w:numId w:val="1"/>
        </w:numPr>
        <w:ind w:left="567" w:hanging="567"/>
        <w:jc w:val="left"/>
        <w:rPr>
          <w:rFonts w:eastAsiaTheme="minorHAnsi"/>
          <w:sz w:val="24"/>
          <w:szCs w:val="24"/>
          <w:lang w:bidi="ar-SA"/>
        </w:rPr>
      </w:pPr>
      <w:r w:rsidRPr="00D66D4B">
        <w:rPr>
          <w:rFonts w:eastAsiaTheme="minorHAnsi"/>
          <w:sz w:val="24"/>
          <w:szCs w:val="24"/>
          <w:lang w:bidi="ar-SA"/>
        </w:rPr>
        <w:t>As such, the design, layout, and management of existing PBSA buildings may not be inherently suitable for co-living without significant adaptation. The conversion of PBSA to co-living may also represent a material change in the nature and intensity of use, with potential implications for local infrastructure, amenity impacts, and the housing mix and will in most cases require planning approval.</w:t>
      </w:r>
    </w:p>
    <w:p w14:paraId="5C73D452" w14:textId="77777777" w:rsidR="003D0221" w:rsidRPr="00581830" w:rsidRDefault="003D0221" w:rsidP="003D0221">
      <w:pPr>
        <w:pStyle w:val="ListParagraph"/>
        <w:rPr>
          <w:rFonts w:eastAsiaTheme="minorHAnsi"/>
          <w:lang w:bidi="ar-SA"/>
        </w:rPr>
      </w:pPr>
    </w:p>
    <w:p w14:paraId="582B6E79" w14:textId="0C65C852" w:rsidR="00A4027A" w:rsidRPr="00DB547F" w:rsidRDefault="003D0221" w:rsidP="00B07C0F">
      <w:pPr>
        <w:pStyle w:val="ListParagraph"/>
        <w:numPr>
          <w:ilvl w:val="1"/>
          <w:numId w:val="1"/>
        </w:numPr>
        <w:ind w:left="567" w:hanging="567"/>
        <w:jc w:val="left"/>
        <w:rPr>
          <w:rFonts w:eastAsiaTheme="minorHAnsi"/>
          <w:sz w:val="24"/>
          <w:szCs w:val="24"/>
          <w:lang w:bidi="ar-SA"/>
        </w:rPr>
      </w:pPr>
      <w:r w:rsidRPr="003D0221">
        <w:rPr>
          <w:rFonts w:eastAsiaTheme="minorHAnsi"/>
          <w:sz w:val="24"/>
          <w:szCs w:val="24"/>
          <w:lang w:bidi="ar-SA"/>
        </w:rPr>
        <w:t>This document provides essential guidance to ensure that any PBSA-to-co-living conversions are not only technically feasible but also policy-compliant, context-sensitive, and capable of delivering high-quality, sustainable living environments for future occupants. Without adherence to these principles, such conversions are unlikely to be supported</w:t>
      </w:r>
      <w:r w:rsidR="00B07C0F">
        <w:rPr>
          <w:rFonts w:eastAsiaTheme="minorHAnsi"/>
          <w:sz w:val="24"/>
          <w:szCs w:val="24"/>
          <w:lang w:bidi="ar-SA"/>
        </w:rPr>
        <w:t xml:space="preserve"> owing to not meeting the policy expectations set out by national and local policy</w:t>
      </w:r>
      <w:r w:rsidR="00B07C0F" w:rsidRPr="00BE2FD5">
        <w:rPr>
          <w:rFonts w:eastAsiaTheme="minorHAnsi"/>
          <w:sz w:val="24"/>
          <w:szCs w:val="24"/>
          <w:lang w:bidi="ar-SA"/>
        </w:rPr>
        <w:t>.</w:t>
      </w:r>
      <w:r w:rsidR="00DE76E9" w:rsidRPr="00DB547F">
        <w:rPr>
          <w:rFonts w:eastAsiaTheme="minorHAnsi"/>
          <w:sz w:val="24"/>
          <w:szCs w:val="24"/>
          <w:lang w:bidi="ar-SA"/>
        </w:rPr>
        <w:t xml:space="preserve"> </w:t>
      </w:r>
    </w:p>
    <w:p w14:paraId="1539FF49" w14:textId="77777777" w:rsidR="00A4027A" w:rsidRDefault="00A4027A" w:rsidP="00A4027A">
      <w:pPr>
        <w:pStyle w:val="ListParagraph"/>
        <w:rPr>
          <w:rFonts w:eastAsiaTheme="minorEastAsia"/>
          <w:sz w:val="24"/>
          <w:szCs w:val="24"/>
          <w:lang w:bidi="ar-SA"/>
        </w:rPr>
      </w:pPr>
    </w:p>
    <w:p w14:paraId="7174F8C7" w14:textId="2DE94B58" w:rsidR="00085490" w:rsidRPr="00085490" w:rsidRDefault="003D0221" w:rsidP="00A30473">
      <w:pPr>
        <w:pStyle w:val="ListParagraph"/>
        <w:numPr>
          <w:ilvl w:val="1"/>
          <w:numId w:val="1"/>
        </w:numPr>
        <w:ind w:left="567" w:hanging="567"/>
        <w:jc w:val="left"/>
        <w:rPr>
          <w:rFonts w:eastAsiaTheme="minorHAnsi"/>
          <w:sz w:val="24"/>
          <w:szCs w:val="24"/>
          <w:lang w:bidi="ar-SA"/>
        </w:rPr>
      </w:pPr>
      <w:r w:rsidRPr="00A4027A">
        <w:rPr>
          <w:rFonts w:eastAsiaTheme="minorEastAsia"/>
          <w:sz w:val="24"/>
          <w:szCs w:val="24"/>
          <w:lang w:bidi="ar-SA"/>
        </w:rPr>
        <w:t xml:space="preserve">PBSA-to-co-living conversions may also require additional developer obligations (S106) which will be considered on a </w:t>
      </w:r>
      <w:r w:rsidR="00D8055B" w:rsidRPr="00A4027A">
        <w:rPr>
          <w:rFonts w:eastAsiaTheme="minorEastAsia"/>
          <w:sz w:val="24"/>
          <w:szCs w:val="24"/>
          <w:lang w:bidi="ar-SA"/>
        </w:rPr>
        <w:t>case-by-case</w:t>
      </w:r>
      <w:r w:rsidRPr="00A4027A">
        <w:rPr>
          <w:rFonts w:eastAsiaTheme="minorEastAsia"/>
          <w:sz w:val="24"/>
          <w:szCs w:val="24"/>
          <w:lang w:bidi="ar-SA"/>
        </w:rPr>
        <w:t xml:space="preserve"> basis in line with </w:t>
      </w:r>
      <w:r w:rsidR="7899C73B" w:rsidRPr="00A4027A">
        <w:rPr>
          <w:rFonts w:eastAsiaTheme="minorEastAsia"/>
          <w:sz w:val="24"/>
          <w:szCs w:val="24"/>
          <w:lang w:bidi="ar-SA"/>
        </w:rPr>
        <w:t>Section</w:t>
      </w:r>
      <w:r w:rsidRPr="00A4027A">
        <w:rPr>
          <w:rFonts w:eastAsiaTheme="minorEastAsia"/>
          <w:sz w:val="24"/>
          <w:szCs w:val="24"/>
          <w:lang w:bidi="ar-SA"/>
        </w:rPr>
        <w:t xml:space="preserve"> </w:t>
      </w:r>
      <w:r w:rsidR="00A30473" w:rsidRPr="00A4027A">
        <w:rPr>
          <w:rFonts w:eastAsiaTheme="minorEastAsia"/>
          <w:sz w:val="24"/>
          <w:szCs w:val="24"/>
          <w:lang w:bidi="ar-SA"/>
        </w:rPr>
        <w:t>9</w:t>
      </w:r>
      <w:r w:rsidRPr="00A4027A">
        <w:rPr>
          <w:rFonts w:eastAsiaTheme="minorEastAsia"/>
          <w:sz w:val="24"/>
          <w:szCs w:val="24"/>
          <w:lang w:bidi="ar-SA"/>
        </w:rPr>
        <w:t xml:space="preserve">. </w:t>
      </w:r>
    </w:p>
    <w:p w14:paraId="79013533" w14:textId="77777777" w:rsidR="00085490" w:rsidRPr="000E0B18" w:rsidRDefault="00085490" w:rsidP="00085490">
      <w:pPr>
        <w:pStyle w:val="ListParagraph"/>
        <w:rPr>
          <w:rFonts w:eastAsiaTheme="minorHAnsi"/>
          <w:sz w:val="24"/>
          <w:szCs w:val="24"/>
          <w:lang w:bidi="ar-SA"/>
        </w:rPr>
      </w:pPr>
    </w:p>
    <w:p w14:paraId="1DDA1983" w14:textId="239D3E85" w:rsidR="00D92176" w:rsidRDefault="00523336" w:rsidP="00716913">
      <w:pPr>
        <w:pStyle w:val="ListParagraph"/>
        <w:numPr>
          <w:ilvl w:val="1"/>
          <w:numId w:val="1"/>
        </w:numPr>
        <w:ind w:left="567" w:hanging="567"/>
        <w:jc w:val="left"/>
        <w:rPr>
          <w:rFonts w:eastAsiaTheme="minorHAnsi"/>
          <w:sz w:val="24"/>
          <w:szCs w:val="24"/>
          <w:lang w:bidi="ar-SA"/>
        </w:rPr>
      </w:pPr>
      <w:r w:rsidRPr="000E0B18">
        <w:rPr>
          <w:rFonts w:eastAsiaTheme="minorHAnsi"/>
          <w:sz w:val="24"/>
          <w:szCs w:val="24"/>
          <w:lang w:bidi="ar-SA"/>
        </w:rPr>
        <w:t>When converting PBSA, particular attention should be paid to upgrading internal communal provision. Student schemes often rely on limited cluster kitchens; co-living residents typically expect larger, multi-functional lounges/workspaces. Demonstrating how existing circulation cores can be reconfigured to deliver cluster hubs of c. 4–6 m² per bedspace will significantly improve the viability of conversion proposals.</w:t>
      </w:r>
      <w:bookmarkStart w:id="47" w:name="_Toc173326534"/>
    </w:p>
    <w:p w14:paraId="6308536A" w14:textId="77777777" w:rsidR="00221614" w:rsidRPr="00221614" w:rsidRDefault="00221614" w:rsidP="00221614">
      <w:pPr>
        <w:pStyle w:val="ListParagraph"/>
        <w:rPr>
          <w:rFonts w:eastAsiaTheme="minorHAnsi"/>
          <w:sz w:val="24"/>
          <w:szCs w:val="24"/>
          <w:lang w:bidi="ar-SA"/>
        </w:rPr>
      </w:pPr>
    </w:p>
    <w:p w14:paraId="26F9CC6A" w14:textId="1A5BAC08" w:rsidR="00DF1F96" w:rsidRPr="00DF1F96" w:rsidRDefault="00DF1F96" w:rsidP="00D8055B">
      <w:pPr>
        <w:pStyle w:val="Heading2"/>
        <w:rPr>
          <w:lang w:bidi="ar-SA"/>
        </w:rPr>
      </w:pPr>
      <w:bookmarkStart w:id="48" w:name="_Toc229489666"/>
      <w:r w:rsidRPr="00DF1F96">
        <w:rPr>
          <w:lang w:bidi="ar-SA"/>
        </w:rPr>
        <w:t>Part</w:t>
      </w:r>
      <w:r w:rsidRPr="00DF1F96">
        <w:rPr>
          <w:lang w:bidi="ar-SA"/>
        </w:rPr>
        <w:noBreakHyphen/>
        <w:t>conversion of existing PBSA schemes</w:t>
      </w:r>
      <w:bookmarkEnd w:id="48"/>
    </w:p>
    <w:p w14:paraId="52E1FAA7" w14:textId="77777777" w:rsidR="00DF1F96" w:rsidRDefault="00DF1F96" w:rsidP="00DF1F96">
      <w:pPr>
        <w:pStyle w:val="ListParagraph"/>
        <w:ind w:left="567"/>
        <w:rPr>
          <w:rFonts w:eastAsiaTheme="minorHAnsi"/>
          <w:sz w:val="24"/>
          <w:szCs w:val="24"/>
          <w:lang w:bidi="ar-SA"/>
        </w:rPr>
      </w:pPr>
    </w:p>
    <w:p w14:paraId="1A6FA329" w14:textId="49786535" w:rsidR="00701D7F" w:rsidRPr="00701D7F" w:rsidRDefault="00701D7F" w:rsidP="00701D7F">
      <w:pPr>
        <w:pStyle w:val="ListParagraph"/>
        <w:numPr>
          <w:ilvl w:val="1"/>
          <w:numId w:val="1"/>
        </w:numPr>
        <w:ind w:left="567" w:hanging="567"/>
        <w:jc w:val="left"/>
        <w:rPr>
          <w:rFonts w:eastAsiaTheme="minorHAnsi"/>
          <w:sz w:val="24"/>
          <w:szCs w:val="24"/>
          <w:lang w:bidi="ar-SA"/>
        </w:rPr>
      </w:pPr>
      <w:r w:rsidRPr="00701D7F">
        <w:rPr>
          <w:rFonts w:eastAsiaTheme="minorHAnsi"/>
          <w:sz w:val="24"/>
          <w:szCs w:val="24"/>
          <w:lang w:bidi="ar-SA"/>
        </w:rPr>
        <w:t>Part</w:t>
      </w:r>
      <w:r w:rsidRPr="00701D7F">
        <w:rPr>
          <w:rFonts w:ascii="Cambria Math" w:eastAsiaTheme="minorHAnsi" w:hAnsi="Cambria Math" w:cs="Cambria Math"/>
          <w:sz w:val="24"/>
          <w:szCs w:val="24"/>
          <w:lang w:bidi="ar-SA"/>
        </w:rPr>
        <w:t>‑</w:t>
      </w:r>
      <w:r w:rsidRPr="00701D7F">
        <w:rPr>
          <w:rFonts w:eastAsiaTheme="minorHAnsi"/>
          <w:sz w:val="24"/>
          <w:szCs w:val="24"/>
          <w:lang w:bidi="ar-SA"/>
        </w:rPr>
        <w:t>conversion of existing Purpose</w:t>
      </w:r>
      <w:r w:rsidRPr="00701D7F">
        <w:rPr>
          <w:rFonts w:ascii="Cambria Math" w:eastAsiaTheme="minorHAnsi" w:hAnsi="Cambria Math" w:cs="Cambria Math"/>
          <w:sz w:val="24"/>
          <w:szCs w:val="24"/>
          <w:lang w:bidi="ar-SA"/>
        </w:rPr>
        <w:t>‑</w:t>
      </w:r>
      <w:r w:rsidRPr="00701D7F">
        <w:rPr>
          <w:rFonts w:eastAsiaTheme="minorHAnsi"/>
          <w:sz w:val="24"/>
          <w:szCs w:val="24"/>
          <w:lang w:bidi="ar-SA"/>
        </w:rPr>
        <w:t>Built Student Accommodation (PBSA) schemes to co</w:t>
      </w:r>
      <w:r w:rsidRPr="00701D7F">
        <w:rPr>
          <w:rFonts w:ascii="Cambria Math" w:eastAsiaTheme="minorHAnsi" w:hAnsi="Cambria Math" w:cs="Cambria Math"/>
          <w:sz w:val="24"/>
          <w:szCs w:val="24"/>
          <w:lang w:bidi="ar-SA"/>
        </w:rPr>
        <w:t>‑</w:t>
      </w:r>
      <w:r w:rsidRPr="00701D7F">
        <w:rPr>
          <w:rFonts w:eastAsiaTheme="minorHAnsi"/>
          <w:sz w:val="24"/>
          <w:szCs w:val="24"/>
          <w:lang w:bidi="ar-SA"/>
        </w:rPr>
        <w:t>living or other non</w:t>
      </w:r>
      <w:r w:rsidRPr="00701D7F">
        <w:rPr>
          <w:rFonts w:ascii="Cambria Math" w:eastAsiaTheme="minorHAnsi" w:hAnsi="Cambria Math" w:cs="Cambria Math"/>
          <w:sz w:val="24"/>
          <w:szCs w:val="24"/>
          <w:lang w:bidi="ar-SA"/>
        </w:rPr>
        <w:t>‑</w:t>
      </w:r>
      <w:r w:rsidRPr="00701D7F">
        <w:rPr>
          <w:rFonts w:eastAsiaTheme="minorHAnsi"/>
          <w:sz w:val="24"/>
          <w:szCs w:val="24"/>
          <w:lang w:bidi="ar-SA"/>
        </w:rPr>
        <w:t>student residential use may be considered acceptable in principle. However, it will be for</w:t>
      </w:r>
      <w:r w:rsidR="000256E6">
        <w:rPr>
          <w:rFonts w:eastAsiaTheme="minorHAnsi"/>
          <w:sz w:val="24"/>
          <w:szCs w:val="24"/>
          <w:lang w:bidi="ar-SA"/>
        </w:rPr>
        <w:t xml:space="preserve"> the</w:t>
      </w:r>
      <w:r w:rsidRPr="00701D7F">
        <w:rPr>
          <w:rFonts w:eastAsiaTheme="minorHAnsi"/>
          <w:sz w:val="24"/>
          <w:szCs w:val="24"/>
          <w:lang w:bidi="ar-SA"/>
        </w:rPr>
        <w:t xml:space="preserve"> </w:t>
      </w:r>
      <w:r w:rsidR="00A36769">
        <w:rPr>
          <w:rFonts w:eastAsiaTheme="minorHAnsi"/>
          <w:sz w:val="24"/>
          <w:szCs w:val="24"/>
          <w:lang w:bidi="ar-SA"/>
        </w:rPr>
        <w:t>applicant</w:t>
      </w:r>
      <w:r w:rsidRPr="00701D7F">
        <w:rPr>
          <w:rFonts w:eastAsiaTheme="minorHAnsi"/>
          <w:sz w:val="24"/>
          <w:szCs w:val="24"/>
          <w:lang w:bidi="ar-SA"/>
        </w:rPr>
        <w:t xml:space="preserve"> to clearly demonstrate how the proposed subdivision of an existing scheme</w:t>
      </w:r>
      <w:r w:rsidR="007C14A4">
        <w:rPr>
          <w:rFonts w:eastAsiaTheme="minorHAnsi"/>
          <w:sz w:val="24"/>
          <w:szCs w:val="24"/>
          <w:lang w:bidi="ar-SA"/>
        </w:rPr>
        <w:t xml:space="preserve"> </w:t>
      </w:r>
      <w:r w:rsidRPr="00701D7F">
        <w:rPr>
          <w:rFonts w:eastAsiaTheme="minorHAnsi"/>
          <w:sz w:val="24"/>
          <w:szCs w:val="24"/>
          <w:lang w:bidi="ar-SA"/>
        </w:rPr>
        <w:t>such as by floor, wing, or discrete building</w:t>
      </w:r>
      <w:r w:rsidR="007C14A4">
        <w:rPr>
          <w:rFonts w:eastAsiaTheme="minorHAnsi"/>
          <w:sz w:val="24"/>
          <w:szCs w:val="24"/>
          <w:lang w:bidi="ar-SA"/>
        </w:rPr>
        <w:t xml:space="preserve"> </w:t>
      </w:r>
      <w:r w:rsidRPr="00701D7F">
        <w:rPr>
          <w:rFonts w:eastAsiaTheme="minorHAnsi"/>
          <w:sz w:val="24"/>
          <w:szCs w:val="24"/>
          <w:lang w:bidi="ar-SA"/>
        </w:rPr>
        <w:t>can be achieved in a way that safeguards the living conditions, safety and residential amenity of both student and non</w:t>
      </w:r>
      <w:r w:rsidRPr="00701D7F">
        <w:rPr>
          <w:rFonts w:ascii="Cambria Math" w:eastAsiaTheme="minorHAnsi" w:hAnsi="Cambria Math" w:cs="Cambria Math"/>
          <w:sz w:val="24"/>
          <w:szCs w:val="24"/>
          <w:lang w:bidi="ar-SA"/>
        </w:rPr>
        <w:t>‑</w:t>
      </w:r>
      <w:r w:rsidRPr="00701D7F">
        <w:rPr>
          <w:rFonts w:eastAsiaTheme="minorHAnsi"/>
          <w:sz w:val="24"/>
          <w:szCs w:val="24"/>
          <w:lang w:bidi="ar-SA"/>
        </w:rPr>
        <w:t>student occupiers. Any accommodation proposed for non</w:t>
      </w:r>
      <w:r w:rsidRPr="00701D7F">
        <w:rPr>
          <w:rFonts w:ascii="Cambria Math" w:eastAsiaTheme="minorHAnsi" w:hAnsi="Cambria Math" w:cs="Cambria Math"/>
          <w:sz w:val="24"/>
          <w:szCs w:val="24"/>
          <w:lang w:bidi="ar-SA"/>
        </w:rPr>
        <w:t>‑</w:t>
      </w:r>
      <w:r w:rsidRPr="00701D7F">
        <w:rPr>
          <w:rFonts w:eastAsiaTheme="minorHAnsi"/>
          <w:sz w:val="24"/>
          <w:szCs w:val="24"/>
          <w:lang w:bidi="ar-SA"/>
        </w:rPr>
        <w:t>student use will be expected to comply fully with the guidance set out within this document, including in relation to minimum private room sizes, aggregated amenity space provision, design quality and management arrangements.</w:t>
      </w:r>
    </w:p>
    <w:p w14:paraId="7CA6DDFA" w14:textId="77777777" w:rsidR="00701D7F" w:rsidRDefault="00701D7F" w:rsidP="00701D7F">
      <w:pPr>
        <w:pStyle w:val="ListParagraph"/>
        <w:ind w:left="567" w:firstLine="0"/>
        <w:jc w:val="left"/>
        <w:rPr>
          <w:rFonts w:eastAsiaTheme="minorHAnsi"/>
          <w:sz w:val="24"/>
          <w:szCs w:val="24"/>
          <w:lang w:bidi="ar-SA"/>
        </w:rPr>
      </w:pPr>
    </w:p>
    <w:p w14:paraId="2209D02A" w14:textId="08F931C7" w:rsidR="00716913" w:rsidRDefault="00701D7F" w:rsidP="00701D7F">
      <w:pPr>
        <w:pStyle w:val="ListParagraph"/>
        <w:numPr>
          <w:ilvl w:val="1"/>
          <w:numId w:val="1"/>
        </w:numPr>
        <w:ind w:left="567" w:hanging="567"/>
        <w:jc w:val="left"/>
        <w:rPr>
          <w:rFonts w:eastAsiaTheme="minorHAnsi"/>
          <w:sz w:val="24"/>
          <w:szCs w:val="24"/>
          <w:lang w:bidi="ar-SA"/>
        </w:rPr>
      </w:pPr>
      <w:r w:rsidRPr="00701D7F">
        <w:rPr>
          <w:rFonts w:eastAsiaTheme="minorHAnsi"/>
          <w:sz w:val="24"/>
          <w:szCs w:val="24"/>
          <w:lang w:bidi="ar-SA"/>
        </w:rPr>
        <w:t>Where mixed occupation is proposed within a single building, applicants should recognise the potential for differing patterns of occupation, amenity use and activity between student and non</w:t>
      </w:r>
      <w:r w:rsidRPr="00701D7F">
        <w:rPr>
          <w:rFonts w:ascii="Cambria Math" w:eastAsiaTheme="minorHAnsi" w:hAnsi="Cambria Math" w:cs="Cambria Math"/>
          <w:sz w:val="24"/>
          <w:szCs w:val="24"/>
          <w:lang w:bidi="ar-SA"/>
        </w:rPr>
        <w:t>‑</w:t>
      </w:r>
      <w:r w:rsidRPr="00701D7F">
        <w:rPr>
          <w:rFonts w:eastAsiaTheme="minorHAnsi"/>
          <w:sz w:val="24"/>
          <w:szCs w:val="24"/>
          <w:lang w:bidi="ar-SA"/>
        </w:rPr>
        <w:t xml:space="preserve">student residents. Proposals should therefore demonstrate that the physical layout, access arrangements, communal facilities and management regime have been designed to minimise conflict, support effective management and </w:t>
      </w:r>
      <w:r w:rsidRPr="00701D7F">
        <w:rPr>
          <w:rFonts w:eastAsiaTheme="minorHAnsi"/>
          <w:sz w:val="24"/>
          <w:szCs w:val="24"/>
          <w:lang w:bidi="ar-SA"/>
        </w:rPr>
        <w:lastRenderedPageBreak/>
        <w:t>ensure a satisfactory standard of accommodation appropriate to the intended length of stay and lifestyle of all residents. This approach reflects the requirements of Policy DE1 of the LAPP and provides a proportionate, policy</w:t>
      </w:r>
      <w:r w:rsidRPr="00701D7F">
        <w:rPr>
          <w:rFonts w:ascii="Cambria Math" w:eastAsiaTheme="minorHAnsi" w:hAnsi="Cambria Math" w:cs="Cambria Math"/>
          <w:sz w:val="24"/>
          <w:szCs w:val="24"/>
          <w:lang w:bidi="ar-SA"/>
        </w:rPr>
        <w:t>‑</w:t>
      </w:r>
      <w:r w:rsidRPr="00701D7F">
        <w:rPr>
          <w:rFonts w:eastAsiaTheme="minorHAnsi"/>
          <w:sz w:val="24"/>
          <w:szCs w:val="24"/>
          <w:lang w:bidi="ar-SA"/>
        </w:rPr>
        <w:t>led framework for assessing PBSA conversions that protects residential amenity and living</w:t>
      </w:r>
      <w:r w:rsidR="000256E6">
        <w:rPr>
          <w:rFonts w:eastAsiaTheme="minorHAnsi"/>
          <w:sz w:val="24"/>
          <w:szCs w:val="24"/>
          <w:lang w:bidi="ar-SA"/>
        </w:rPr>
        <w:t xml:space="preserve"> conditions</w:t>
      </w:r>
      <w:r w:rsidRPr="00701D7F">
        <w:rPr>
          <w:rFonts w:eastAsiaTheme="minorHAnsi"/>
          <w:sz w:val="24"/>
          <w:szCs w:val="24"/>
          <w:lang w:bidi="ar-SA"/>
        </w:rPr>
        <w:t xml:space="preserve"> </w:t>
      </w:r>
      <w:r w:rsidR="00F0377C">
        <w:rPr>
          <w:rFonts w:eastAsiaTheme="minorHAnsi"/>
          <w:sz w:val="24"/>
          <w:szCs w:val="24"/>
          <w:lang w:bidi="ar-SA"/>
        </w:rPr>
        <w:t>of all occupiers</w:t>
      </w:r>
      <w:r w:rsidRPr="00701D7F">
        <w:rPr>
          <w:rFonts w:eastAsiaTheme="minorHAnsi"/>
          <w:sz w:val="24"/>
          <w:szCs w:val="24"/>
          <w:lang w:bidi="ar-SA"/>
        </w:rPr>
        <w:t>.</w:t>
      </w:r>
    </w:p>
    <w:p w14:paraId="089B41C1" w14:textId="7A118AAE" w:rsidR="00DE76E9" w:rsidRDefault="00DE76E9">
      <w:pPr>
        <w:rPr>
          <w:b/>
          <w:bCs/>
          <w:sz w:val="24"/>
          <w:szCs w:val="24"/>
        </w:rPr>
      </w:pPr>
    </w:p>
    <w:p w14:paraId="060BA5C4" w14:textId="39DA5929" w:rsidR="00B16B6E" w:rsidRPr="002319CB" w:rsidRDefault="7438C943" w:rsidP="00D8055B">
      <w:pPr>
        <w:pStyle w:val="Heading2"/>
      </w:pPr>
      <w:bookmarkStart w:id="49" w:name="_Toc229489667"/>
      <w:r>
        <w:t>Waste and Recycling facilities</w:t>
      </w:r>
      <w:bookmarkEnd w:id="47"/>
      <w:bookmarkEnd w:id="49"/>
    </w:p>
    <w:p w14:paraId="56EB66E3" w14:textId="77777777" w:rsidR="00CF1C89" w:rsidRPr="00E224ED" w:rsidRDefault="00CF1C89" w:rsidP="00E224ED">
      <w:pPr>
        <w:pStyle w:val="ListParagraph"/>
        <w:ind w:left="567" w:firstLine="0"/>
        <w:jc w:val="left"/>
        <w:rPr>
          <w:rFonts w:eastAsiaTheme="minorHAnsi"/>
          <w:sz w:val="24"/>
          <w:szCs w:val="24"/>
          <w:lang w:bidi="ar-SA"/>
        </w:rPr>
      </w:pPr>
    </w:p>
    <w:p w14:paraId="5E10C0BD" w14:textId="0E023DA9" w:rsidR="004A5BAB" w:rsidRPr="00E224ED" w:rsidRDefault="004A5BAB" w:rsidP="00E224ED">
      <w:pPr>
        <w:pStyle w:val="ListParagraph"/>
        <w:numPr>
          <w:ilvl w:val="1"/>
          <w:numId w:val="1"/>
        </w:numPr>
        <w:ind w:left="567" w:hanging="567"/>
        <w:jc w:val="left"/>
        <w:rPr>
          <w:rFonts w:eastAsiaTheme="minorHAnsi"/>
          <w:sz w:val="24"/>
          <w:szCs w:val="24"/>
          <w:lang w:bidi="ar-SA"/>
        </w:rPr>
      </w:pPr>
      <w:r w:rsidRPr="00E224ED">
        <w:rPr>
          <w:rFonts w:eastAsiaTheme="minorHAnsi"/>
          <w:sz w:val="24"/>
          <w:szCs w:val="24"/>
          <w:lang w:bidi="ar-SA"/>
        </w:rPr>
        <w:t>New co-living developments should have adequate provision of waste and recycling storage facilities and appropriate arrangements for the collection of such waste. Developers are advised to liaise with the council’s Planning Department and the council’s Waste Department for support and advice at the design stage to help clarify requirements and ensure that a suitable and satisfactory layout for the scheme is achieved for the management of waste</w:t>
      </w:r>
      <w:r w:rsidR="00DE76E9" w:rsidRPr="00E224ED">
        <w:rPr>
          <w:rFonts w:eastAsiaTheme="minorHAnsi"/>
          <w:sz w:val="24"/>
          <w:szCs w:val="24"/>
          <w:lang w:bidi="ar-SA"/>
        </w:rPr>
        <w:t xml:space="preserve">. </w:t>
      </w:r>
      <w:r w:rsidRPr="00E224ED">
        <w:rPr>
          <w:rFonts w:eastAsiaTheme="minorHAnsi"/>
          <w:sz w:val="24"/>
          <w:szCs w:val="24"/>
          <w:lang w:bidi="ar-SA"/>
        </w:rPr>
        <w:t xml:space="preserve">It is suggested that contact is made with waste colleagues through contacting </w:t>
      </w:r>
      <w:hyperlink r:id="rId36" w:history="1">
        <w:r w:rsidR="00E224ED" w:rsidRPr="0027112B">
          <w:rPr>
            <w:rStyle w:val="Hyperlink"/>
            <w:rFonts w:eastAsiaTheme="minorHAnsi"/>
            <w:sz w:val="24"/>
            <w:szCs w:val="24"/>
            <w:lang w:bidi="ar-SA"/>
          </w:rPr>
          <w:t>planning@nottinghamcity.gov.uk</w:t>
        </w:r>
      </w:hyperlink>
      <w:r w:rsidR="00E224ED" w:rsidRPr="0027112B">
        <w:rPr>
          <w:rFonts w:eastAsiaTheme="minorHAnsi"/>
          <w:sz w:val="28"/>
          <w:szCs w:val="28"/>
          <w:lang w:bidi="ar-SA"/>
        </w:rPr>
        <w:t xml:space="preserve"> </w:t>
      </w:r>
      <w:r w:rsidRPr="00E224ED">
        <w:rPr>
          <w:rFonts w:eastAsiaTheme="minorHAnsi"/>
          <w:sz w:val="24"/>
          <w:szCs w:val="24"/>
          <w:lang w:bidi="ar-SA"/>
        </w:rPr>
        <w:t>in the first instance to discuss proposed schemes at the early design stage.</w:t>
      </w:r>
    </w:p>
    <w:p w14:paraId="131DFFAD" w14:textId="77777777" w:rsidR="009A74D5" w:rsidRPr="002319CB" w:rsidRDefault="009A74D5" w:rsidP="00A30473">
      <w:pPr>
        <w:pStyle w:val="ListParagraph"/>
        <w:widowControl/>
        <w:tabs>
          <w:tab w:val="left" w:pos="0"/>
        </w:tabs>
        <w:autoSpaceDE/>
        <w:autoSpaceDN/>
        <w:spacing w:after="200" w:line="276" w:lineRule="auto"/>
        <w:ind w:left="709" w:firstLine="0"/>
        <w:contextualSpacing/>
        <w:jc w:val="left"/>
        <w:rPr>
          <w:color w:val="0B222F"/>
          <w:sz w:val="24"/>
          <w:szCs w:val="24"/>
        </w:rPr>
      </w:pPr>
    </w:p>
    <w:p w14:paraId="192975A5" w14:textId="257F33A9" w:rsidR="00FA4633" w:rsidRPr="00D53235" w:rsidRDefault="00FA4633" w:rsidP="00D53235">
      <w:pPr>
        <w:pStyle w:val="ListParagraph"/>
        <w:numPr>
          <w:ilvl w:val="1"/>
          <w:numId w:val="1"/>
        </w:numPr>
        <w:ind w:left="567" w:hanging="567"/>
        <w:jc w:val="left"/>
        <w:rPr>
          <w:rFonts w:eastAsiaTheme="minorHAnsi"/>
          <w:sz w:val="24"/>
          <w:szCs w:val="24"/>
          <w:lang w:bidi="ar-SA"/>
        </w:rPr>
      </w:pPr>
      <w:r w:rsidRPr="00D53235">
        <w:rPr>
          <w:rFonts w:eastAsiaTheme="minorHAnsi"/>
          <w:sz w:val="24"/>
          <w:szCs w:val="24"/>
          <w:lang w:bidi="ar-SA"/>
        </w:rPr>
        <w:t>How waste is deposited/managed within the building is the responsibility of the developer, but due consideration should be given to encourage recycling and minimise waste stream contamination</w:t>
      </w:r>
      <w:r w:rsidR="00DE76E9" w:rsidRPr="00D53235">
        <w:rPr>
          <w:rFonts w:eastAsiaTheme="minorHAnsi"/>
          <w:sz w:val="24"/>
          <w:szCs w:val="24"/>
          <w:lang w:bidi="ar-SA"/>
        </w:rPr>
        <w:t xml:space="preserve">. </w:t>
      </w:r>
      <w:r w:rsidRPr="00D53235">
        <w:rPr>
          <w:rFonts w:eastAsiaTheme="minorHAnsi"/>
          <w:sz w:val="24"/>
          <w:szCs w:val="24"/>
          <w:lang w:bidi="ar-SA"/>
        </w:rPr>
        <w:t>For the collection of waste, the onus is on the developer to ensure residents have easy access to bins and collection points as well as adequate storage of waste according to the collection methodology and schedule of the council</w:t>
      </w:r>
      <w:r w:rsidR="00DE76E9" w:rsidRPr="00D53235">
        <w:rPr>
          <w:rFonts w:eastAsiaTheme="minorHAnsi"/>
          <w:sz w:val="24"/>
          <w:szCs w:val="24"/>
          <w:lang w:bidi="ar-SA"/>
        </w:rPr>
        <w:t xml:space="preserve">. </w:t>
      </w:r>
    </w:p>
    <w:p w14:paraId="0FE83C21" w14:textId="77777777" w:rsidR="009A74D5" w:rsidRPr="00D53235" w:rsidRDefault="009A74D5" w:rsidP="00D53235">
      <w:pPr>
        <w:pStyle w:val="ListParagraph"/>
        <w:ind w:left="567" w:firstLine="0"/>
        <w:jc w:val="left"/>
        <w:rPr>
          <w:rFonts w:eastAsiaTheme="minorHAnsi"/>
          <w:sz w:val="24"/>
          <w:szCs w:val="24"/>
          <w:lang w:bidi="ar-SA"/>
        </w:rPr>
      </w:pPr>
    </w:p>
    <w:p w14:paraId="4EC52164" w14:textId="77777777" w:rsidR="0002776A" w:rsidRPr="0002776A" w:rsidRDefault="009A74D5" w:rsidP="00840BC7">
      <w:pPr>
        <w:pStyle w:val="ListParagraph"/>
        <w:numPr>
          <w:ilvl w:val="1"/>
          <w:numId w:val="1"/>
        </w:numPr>
        <w:ind w:left="567" w:hanging="567"/>
        <w:jc w:val="left"/>
        <w:rPr>
          <w:rFonts w:eastAsiaTheme="minorEastAsia"/>
          <w:sz w:val="24"/>
          <w:szCs w:val="24"/>
          <w:lang w:bidi="ar-SA"/>
        </w:rPr>
      </w:pPr>
      <w:r w:rsidRPr="00840BC7">
        <w:rPr>
          <w:rFonts w:eastAsiaTheme="minorHAnsi"/>
          <w:sz w:val="24"/>
          <w:szCs w:val="24"/>
          <w:lang w:bidi="ar-SA"/>
        </w:rPr>
        <w:t xml:space="preserve">Developers should be aware that it is the government’s intention that </w:t>
      </w:r>
      <w:r w:rsidR="003F06F3" w:rsidRPr="003F06F3">
        <w:rPr>
          <w:rFonts w:eastAsiaTheme="minorHAnsi"/>
          <w:sz w:val="24"/>
          <w:szCs w:val="24"/>
          <w:lang w:bidi="ar-SA"/>
        </w:rPr>
        <w:t>councils will also have to provide a weekly mandatory food waste collection by 31 March 2026</w:t>
      </w:r>
      <w:r w:rsidRPr="00840BC7">
        <w:rPr>
          <w:rFonts w:eastAsiaTheme="minorHAnsi"/>
          <w:sz w:val="24"/>
          <w:szCs w:val="24"/>
          <w:lang w:bidi="ar-SA"/>
        </w:rPr>
        <w:t>.</w:t>
      </w:r>
    </w:p>
    <w:p w14:paraId="7B9EE17A" w14:textId="77777777" w:rsidR="0002776A" w:rsidRPr="0002776A" w:rsidRDefault="0002776A" w:rsidP="0002776A">
      <w:pPr>
        <w:pStyle w:val="ListParagraph"/>
        <w:rPr>
          <w:rFonts w:eastAsiaTheme="minorEastAsia"/>
          <w:sz w:val="24"/>
          <w:szCs w:val="24"/>
          <w:lang w:bidi="ar-SA"/>
        </w:rPr>
      </w:pPr>
    </w:p>
    <w:p w14:paraId="58A045B1" w14:textId="659484D5" w:rsidR="00B1667C" w:rsidRPr="00840BC7" w:rsidRDefault="002D4DA9" w:rsidP="00D641B9">
      <w:pPr>
        <w:pStyle w:val="ListParagraph"/>
        <w:ind w:left="567" w:firstLine="0"/>
        <w:jc w:val="left"/>
        <w:rPr>
          <w:rFonts w:eastAsiaTheme="minorEastAsia"/>
          <w:sz w:val="24"/>
          <w:szCs w:val="24"/>
          <w:lang w:bidi="ar-SA"/>
        </w:rPr>
      </w:pPr>
      <w:r w:rsidRPr="002D4DA9">
        <w:rPr>
          <w:bCs/>
          <w:i/>
          <w:iCs/>
          <w:noProof/>
          <w:sz w:val="20"/>
          <w:szCs w:val="16"/>
        </w:rPr>
        <mc:AlternateContent>
          <mc:Choice Requires="wps">
            <w:drawing>
              <wp:anchor distT="45720" distB="45720" distL="114300" distR="114300" simplePos="0" relativeHeight="251670535" behindDoc="0" locked="0" layoutInCell="1" allowOverlap="1" wp14:anchorId="0DB8D7CB" wp14:editId="3DD11AFC">
                <wp:simplePos x="0" y="0"/>
                <wp:positionH relativeFrom="column">
                  <wp:posOffset>4184650</wp:posOffset>
                </wp:positionH>
                <wp:positionV relativeFrom="paragraph">
                  <wp:posOffset>3575685</wp:posOffset>
                </wp:positionV>
                <wp:extent cx="2159000" cy="1404620"/>
                <wp:effectExtent l="0" t="0" r="0" b="5715"/>
                <wp:wrapNone/>
                <wp:docPr id="1489366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404620"/>
                        </a:xfrm>
                        <a:prstGeom prst="rect">
                          <a:avLst/>
                        </a:prstGeom>
                        <a:noFill/>
                        <a:ln w="9525">
                          <a:noFill/>
                          <a:miter lim="800000"/>
                          <a:headEnd/>
                          <a:tailEnd/>
                        </a:ln>
                      </wps:spPr>
                      <wps:txbx>
                        <w:txbxContent>
                          <w:p w14:paraId="2F2429D4" w14:textId="77777777" w:rsidR="002D4DA9" w:rsidRPr="002D4DA9" w:rsidRDefault="002D4DA9" w:rsidP="005E133A">
                            <w:pPr>
                              <w:jc w:val="right"/>
                              <w:rPr>
                                <w:b/>
                                <w:bCs/>
                                <w:color w:val="FFFFFF" w:themeColor="background1"/>
                              </w:rPr>
                            </w:pPr>
                            <w:r w:rsidRPr="002D4DA9">
                              <w:rPr>
                                <w:b/>
                                <w:bCs/>
                                <w:color w:val="FFFFFF" w:themeColor="background1"/>
                              </w:rPr>
                              <w:t>For illustrative purposes only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8D7CB" id="_x0000_s1029" type="#_x0000_t202" style="position:absolute;left:0;text-align:left;margin-left:329.5pt;margin-top:281.55pt;width:170pt;height:110.6pt;z-index:25167053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" filled="f" stroked="f">
                <v:textbox style="mso-fit-shape-to-text:t">
                  <w:txbxContent>
                    <w:p w14:paraId="2F2429D4" w14:textId="77777777" w:rsidR="002D4DA9" w:rsidRPr="002D4DA9" w:rsidRDefault="002D4DA9" w:rsidP="005E133A">
                      <w:pPr>
                        <w:jc w:val="right"/>
                        <w:rPr>
                          <w:b/>
                          <w:bCs/>
                          <w:color w:val="FFFFFF" w:themeColor="background1"/>
                        </w:rPr>
                      </w:pPr>
                      <w:r w:rsidRPr="002D4DA9">
                        <w:rPr>
                          <w:b/>
                          <w:bCs/>
                          <w:color w:val="FFFFFF" w:themeColor="background1"/>
                        </w:rPr>
                        <w:t>For illustrative purposes only</w:t>
                      </w:r>
                    </w:p>
                  </w:txbxContent>
                </v:textbox>
              </v:shape>
            </w:pict>
          </mc:Fallback>
        </mc:AlternateContent>
      </w:r>
      <w:r w:rsidR="0002776A">
        <w:rPr>
          <w:noProof/>
        </w:rPr>
        <w:drawing>
          <wp:inline distT="0" distB="0" distL="0" distR="0" wp14:anchorId="100C7537" wp14:editId="61D17296">
            <wp:extent cx="5981700" cy="3835666"/>
            <wp:effectExtent l="0" t="0" r="0" b="0"/>
            <wp:docPr id="1614613164" name="Picture 8" descr="Photograph of a modern urban street scene featuring a large brick building labeled &quot;Co-Living&quot; with multiple floors and rooftop greenery. A green tram is stopped on tracks in front of the building, with pedestrians and a cyclist visible, highlighting a vibrant, transit-oriented community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13164" name="Picture 8" descr="Photograph of a modern urban street scene featuring a large brick building labeled &quot;Co-Living&quot; with multiple floors and rooftop greenery. A green tram is stopped on tracks in front of the building, with pedestrians and a cyclist visible, highlighting a vibrant, transit-oriented community environment."/>
                    <pic:cNvPicPr>
                      <a:picLocks noChangeAspect="1" noChangeArrowheads="1"/>
                    </pic:cNvPicPr>
                  </pic:nvPicPr>
                  <pic:blipFill rotWithShape="1">
                    <a:blip r:embed="rId37">
                      <a:extLst>
                        <a:ext uri="{28A0092B-C50C-407E-A947-70E740481C1C}">
                          <a14:useLocalDpi xmlns:a14="http://schemas.microsoft.com/office/drawing/2010/main" val="0"/>
                        </a:ext>
                      </a:extLst>
                    </a:blip>
                    <a:srcRect l="4440" t="-2" r="5947" b="2"/>
                    <a:stretch>
                      <a:fillRect/>
                    </a:stretch>
                  </pic:blipFill>
                  <pic:spPr bwMode="auto">
                    <a:xfrm>
                      <a:off x="0" y="0"/>
                      <a:ext cx="5989907" cy="3840928"/>
                    </a:xfrm>
                    <a:prstGeom prst="rect">
                      <a:avLst/>
                    </a:prstGeom>
                    <a:noFill/>
                    <a:ln>
                      <a:noFill/>
                    </a:ln>
                    <a:extLst>
                      <a:ext uri="{53640926-AAD7-44D8-BBD7-CCE9431645EC}">
                        <a14:shadowObscured xmlns:a14="http://schemas.microsoft.com/office/drawing/2010/main"/>
                      </a:ext>
                    </a:extLst>
                  </pic:spPr>
                </pic:pic>
              </a:graphicData>
            </a:graphic>
          </wp:inline>
        </w:drawing>
      </w:r>
      <w:r w:rsidR="00B1667C" w:rsidRPr="00840BC7">
        <w:rPr>
          <w:rFonts w:eastAsiaTheme="minorEastAsia"/>
          <w:sz w:val="24"/>
          <w:szCs w:val="24"/>
          <w:lang w:bidi="ar-SA"/>
        </w:rPr>
        <w:br w:type="page"/>
      </w:r>
    </w:p>
    <w:p w14:paraId="38187F91" w14:textId="6F72EBE1" w:rsidR="00D509C7" w:rsidRDefault="4FEE8468" w:rsidP="00DB547F">
      <w:pPr>
        <w:pStyle w:val="Heading1"/>
        <w:tabs>
          <w:tab w:val="clear" w:pos="833"/>
          <w:tab w:val="left" w:pos="567"/>
        </w:tabs>
        <w:ind w:left="1134" w:hanging="1134"/>
        <w:rPr>
          <w:lang w:bidi="ar-SA"/>
        </w:rPr>
      </w:pPr>
      <w:bookmarkStart w:id="50" w:name="_Toc205205426"/>
      <w:bookmarkStart w:id="51" w:name="_Toc229489668"/>
      <w:r w:rsidRPr="1F0EC4D9">
        <w:rPr>
          <w:lang w:bidi="ar-SA"/>
        </w:rPr>
        <w:lastRenderedPageBreak/>
        <w:t>Planning</w:t>
      </w:r>
      <w:r w:rsidR="47D30E7B" w:rsidRPr="1F0EC4D9">
        <w:rPr>
          <w:lang w:bidi="ar-SA"/>
        </w:rPr>
        <w:t xml:space="preserve"> </w:t>
      </w:r>
      <w:r w:rsidRPr="1F0EC4D9">
        <w:rPr>
          <w:lang w:bidi="ar-SA"/>
        </w:rPr>
        <w:t>Obligations</w:t>
      </w:r>
      <w:bookmarkEnd w:id="50"/>
      <w:r w:rsidR="00716913">
        <w:rPr>
          <w:lang w:bidi="ar-SA"/>
        </w:rPr>
        <w:t xml:space="preserve"> and Viability</w:t>
      </w:r>
      <w:bookmarkEnd w:id="51"/>
    </w:p>
    <w:p w14:paraId="6B286638" w14:textId="77777777" w:rsidR="00BE2FD5" w:rsidRPr="00215E9A" w:rsidRDefault="00BE2FD5" w:rsidP="00215E9A">
      <w:pPr>
        <w:rPr>
          <w:rFonts w:eastAsiaTheme="minorHAnsi"/>
          <w:sz w:val="24"/>
          <w:szCs w:val="24"/>
          <w:lang w:bidi="ar-SA"/>
        </w:rPr>
      </w:pPr>
    </w:p>
    <w:p w14:paraId="52A7EEDF" w14:textId="3700B57E" w:rsidR="000731E5" w:rsidRDefault="00215E9A" w:rsidP="00DB547F">
      <w:pPr>
        <w:pStyle w:val="BodyText"/>
        <w:numPr>
          <w:ilvl w:val="1"/>
          <w:numId w:val="1"/>
        </w:numPr>
        <w:spacing w:before="6"/>
        <w:ind w:left="567" w:hanging="567"/>
        <w:rPr>
          <w:sz w:val="24"/>
          <w:szCs w:val="24"/>
        </w:rPr>
      </w:pPr>
      <w:r w:rsidRPr="002319CB">
        <w:rPr>
          <w:sz w:val="24"/>
          <w:szCs w:val="24"/>
        </w:rPr>
        <w:t>Each case will be considered on its own merits</w:t>
      </w:r>
      <w:r w:rsidR="00D8055B" w:rsidRPr="002319CB">
        <w:rPr>
          <w:sz w:val="24"/>
          <w:szCs w:val="24"/>
        </w:rPr>
        <w:t xml:space="preserve">. </w:t>
      </w:r>
      <w:r w:rsidR="00716913" w:rsidRPr="002319CB">
        <w:rPr>
          <w:sz w:val="24"/>
          <w:szCs w:val="24"/>
        </w:rPr>
        <w:t>However,</w:t>
      </w:r>
      <w:r w:rsidRPr="002319CB">
        <w:rPr>
          <w:sz w:val="24"/>
          <w:szCs w:val="24"/>
        </w:rPr>
        <w:t xml:space="preserve"> the council will generally seek to secure </w:t>
      </w:r>
      <w:r w:rsidR="00193AE3">
        <w:rPr>
          <w:sz w:val="24"/>
          <w:szCs w:val="24"/>
        </w:rPr>
        <w:t xml:space="preserve">financial </w:t>
      </w:r>
      <w:r w:rsidRPr="002319CB">
        <w:rPr>
          <w:sz w:val="24"/>
          <w:szCs w:val="24"/>
        </w:rPr>
        <w:t xml:space="preserve">contributions </w:t>
      </w:r>
      <w:r w:rsidR="00E13FBC">
        <w:rPr>
          <w:sz w:val="24"/>
          <w:szCs w:val="24"/>
        </w:rPr>
        <w:t>through</w:t>
      </w:r>
      <w:r w:rsidRPr="002319CB">
        <w:rPr>
          <w:sz w:val="24"/>
          <w:szCs w:val="24"/>
        </w:rPr>
        <w:t xml:space="preserve"> negotiation of a legal agreement under Section 106 of the Town and Country Planning Act 1990</w:t>
      </w:r>
      <w:r w:rsidR="00D8055B" w:rsidRPr="002319CB">
        <w:rPr>
          <w:sz w:val="24"/>
          <w:szCs w:val="24"/>
        </w:rPr>
        <w:t xml:space="preserve">. </w:t>
      </w:r>
      <w:r w:rsidRPr="002319CB">
        <w:rPr>
          <w:sz w:val="24"/>
          <w:szCs w:val="24"/>
        </w:rPr>
        <w:t xml:space="preserve">Where a Planning Obligation is </w:t>
      </w:r>
      <w:r w:rsidR="00F263FB" w:rsidRPr="002319CB">
        <w:rPr>
          <w:sz w:val="24"/>
          <w:szCs w:val="24"/>
        </w:rPr>
        <w:t>entered</w:t>
      </w:r>
      <w:r w:rsidRPr="002319CB">
        <w:rPr>
          <w:sz w:val="24"/>
          <w:szCs w:val="24"/>
        </w:rPr>
        <w:t>, then it will need to be completed prior to the granting of planning consent</w:t>
      </w:r>
      <w:r w:rsidR="00D8055B" w:rsidRPr="002319CB">
        <w:rPr>
          <w:sz w:val="24"/>
          <w:szCs w:val="24"/>
        </w:rPr>
        <w:t xml:space="preserve">. </w:t>
      </w:r>
      <w:r w:rsidRPr="002319CB">
        <w:rPr>
          <w:sz w:val="24"/>
          <w:szCs w:val="24"/>
        </w:rPr>
        <w:t xml:space="preserve">Further details can be found on the council’s </w:t>
      </w:r>
      <w:hyperlink r:id="rId38">
        <w:r w:rsidRPr="1AE859CD">
          <w:rPr>
            <w:rStyle w:val="Hyperlink"/>
            <w:sz w:val="24"/>
            <w:szCs w:val="24"/>
          </w:rPr>
          <w:t>S106 webpage</w:t>
        </w:r>
      </w:hyperlink>
      <w:r w:rsidRPr="002319CB">
        <w:rPr>
          <w:sz w:val="24"/>
          <w:szCs w:val="24"/>
        </w:rPr>
        <w:t xml:space="preserve"> including </w:t>
      </w:r>
      <w:r w:rsidR="00533E98">
        <w:rPr>
          <w:sz w:val="24"/>
          <w:szCs w:val="24"/>
        </w:rPr>
        <w:t xml:space="preserve">annually revised </w:t>
      </w:r>
      <w:r w:rsidRPr="002319CB">
        <w:rPr>
          <w:sz w:val="24"/>
          <w:szCs w:val="24"/>
        </w:rPr>
        <w:t>costs</w:t>
      </w:r>
      <w:r w:rsidR="006C1085">
        <w:rPr>
          <w:sz w:val="24"/>
          <w:szCs w:val="24"/>
        </w:rPr>
        <w:t>.</w:t>
      </w:r>
    </w:p>
    <w:p w14:paraId="4CF73F9B" w14:textId="77777777" w:rsidR="000731E5" w:rsidRDefault="000731E5" w:rsidP="00DB547F">
      <w:pPr>
        <w:pStyle w:val="BodyText"/>
        <w:spacing w:before="6"/>
        <w:ind w:left="567" w:hanging="567"/>
        <w:rPr>
          <w:sz w:val="24"/>
          <w:szCs w:val="24"/>
        </w:rPr>
      </w:pPr>
    </w:p>
    <w:p w14:paraId="6B0EB89A" w14:textId="30D6DFC9" w:rsidR="006C1085" w:rsidRPr="002319CB" w:rsidRDefault="00B42DC4" w:rsidP="00DB547F">
      <w:pPr>
        <w:pStyle w:val="BodyText"/>
        <w:numPr>
          <w:ilvl w:val="1"/>
          <w:numId w:val="1"/>
        </w:numPr>
        <w:spacing w:before="6"/>
        <w:ind w:left="567" w:hanging="567"/>
        <w:rPr>
          <w:sz w:val="24"/>
          <w:szCs w:val="24"/>
        </w:rPr>
      </w:pPr>
      <w:r w:rsidRPr="000731E5">
        <w:rPr>
          <w:sz w:val="24"/>
          <w:szCs w:val="24"/>
        </w:rPr>
        <w:t>If an applicant considers there are viability issues due to the level of contributions being sought, or due to NDSS compliance under Policy DE1 rendering the scheme undeliverable, they will be required to submit a robust viability assessment. Such assessments will be independently examined before the scale and nature of any reduction or deviation is agreed.</w:t>
      </w:r>
    </w:p>
    <w:p w14:paraId="237FCF9C" w14:textId="77777777" w:rsidR="00215E9A" w:rsidRPr="002319CB" w:rsidRDefault="00215E9A" w:rsidP="00DB547F">
      <w:pPr>
        <w:pStyle w:val="BodyText"/>
        <w:spacing w:before="6"/>
        <w:ind w:left="567" w:hanging="567"/>
        <w:rPr>
          <w:sz w:val="24"/>
          <w:szCs w:val="24"/>
        </w:rPr>
      </w:pPr>
    </w:p>
    <w:p w14:paraId="794C4AD1" w14:textId="455436C6" w:rsidR="00215E9A" w:rsidRPr="002319CB" w:rsidRDefault="00215E9A" w:rsidP="00DB547F">
      <w:pPr>
        <w:pStyle w:val="BodyText"/>
        <w:numPr>
          <w:ilvl w:val="1"/>
          <w:numId w:val="1"/>
        </w:numPr>
        <w:spacing w:before="6"/>
        <w:ind w:left="567" w:hanging="567"/>
        <w:rPr>
          <w:sz w:val="24"/>
          <w:szCs w:val="24"/>
        </w:rPr>
      </w:pPr>
      <w:bookmarkStart w:id="52" w:name="_Hlk168314165"/>
      <w:r w:rsidRPr="002319CB">
        <w:rPr>
          <w:sz w:val="24"/>
          <w:szCs w:val="24"/>
        </w:rPr>
        <w:t xml:space="preserve">The following are the starting point for Planning Obligations for new </w:t>
      </w:r>
      <w:r w:rsidR="00AE003B">
        <w:rPr>
          <w:sz w:val="24"/>
          <w:szCs w:val="24"/>
        </w:rPr>
        <w:t>co</w:t>
      </w:r>
      <w:r w:rsidR="00411C29">
        <w:rPr>
          <w:sz w:val="24"/>
          <w:szCs w:val="24"/>
        </w:rPr>
        <w:t>-</w:t>
      </w:r>
      <w:r w:rsidR="00AE003B">
        <w:rPr>
          <w:sz w:val="24"/>
          <w:szCs w:val="24"/>
        </w:rPr>
        <w:t>living schemes</w:t>
      </w:r>
      <w:r w:rsidR="007B2C87">
        <w:rPr>
          <w:sz w:val="24"/>
          <w:szCs w:val="24"/>
        </w:rPr>
        <w:t>:</w:t>
      </w:r>
    </w:p>
    <w:bookmarkEnd w:id="52"/>
    <w:p w14:paraId="1442541A" w14:textId="77777777" w:rsidR="00215E9A" w:rsidRDefault="00215E9A" w:rsidP="00215E9A">
      <w:pPr>
        <w:rPr>
          <w:rFonts w:eastAsiaTheme="minorHAnsi"/>
          <w:sz w:val="24"/>
          <w:szCs w:val="24"/>
          <w:lang w:bidi="ar-SA"/>
        </w:rPr>
      </w:pPr>
    </w:p>
    <w:tbl>
      <w:tblPr>
        <w:tblStyle w:val="TableGrid"/>
        <w:tblW w:w="0" w:type="auto"/>
        <w:tblInd w:w="0" w:type="dxa"/>
        <w:tblLook w:val="04A0" w:firstRow="1" w:lastRow="0" w:firstColumn="1" w:lastColumn="0" w:noHBand="0" w:noVBand="1"/>
      </w:tblPr>
      <w:tblGrid>
        <w:gridCol w:w="2830"/>
        <w:gridCol w:w="7170"/>
      </w:tblGrid>
      <w:tr w:rsidR="00215E9A" w:rsidRPr="002319CB" w14:paraId="5D98AEDD" w14:textId="77777777" w:rsidTr="00F417E6">
        <w:tc>
          <w:tcPr>
            <w:tcW w:w="2830" w:type="dxa"/>
          </w:tcPr>
          <w:p w14:paraId="7401CFA2" w14:textId="42C778E8" w:rsidR="00215E9A" w:rsidRPr="002319CB" w:rsidRDefault="003D0221" w:rsidP="00F417E6">
            <w:pPr>
              <w:rPr>
                <w:b/>
                <w:bCs/>
                <w:sz w:val="24"/>
                <w:szCs w:val="24"/>
              </w:rPr>
            </w:pPr>
            <w:r>
              <w:rPr>
                <w:b/>
                <w:bCs/>
                <w:sz w:val="24"/>
                <w:szCs w:val="24"/>
              </w:rPr>
              <w:t>Planning Obligation</w:t>
            </w:r>
          </w:p>
        </w:tc>
        <w:tc>
          <w:tcPr>
            <w:tcW w:w="7170" w:type="dxa"/>
          </w:tcPr>
          <w:p w14:paraId="04878226" w14:textId="77777777" w:rsidR="00215E9A" w:rsidRPr="002319CB" w:rsidRDefault="00215E9A" w:rsidP="00F417E6">
            <w:pPr>
              <w:rPr>
                <w:b/>
                <w:bCs/>
                <w:sz w:val="24"/>
                <w:szCs w:val="24"/>
              </w:rPr>
            </w:pPr>
            <w:r w:rsidRPr="002319CB">
              <w:rPr>
                <w:b/>
                <w:bCs/>
                <w:sz w:val="24"/>
                <w:szCs w:val="24"/>
              </w:rPr>
              <w:t>Details</w:t>
            </w:r>
          </w:p>
        </w:tc>
      </w:tr>
      <w:tr w:rsidR="00215E9A" w:rsidRPr="002319CB" w14:paraId="3CF1C22F" w14:textId="77777777" w:rsidTr="00F417E6">
        <w:tc>
          <w:tcPr>
            <w:tcW w:w="2830" w:type="dxa"/>
          </w:tcPr>
          <w:p w14:paraId="457943EE" w14:textId="62B2D71D" w:rsidR="00215E9A" w:rsidRPr="009A1092" w:rsidRDefault="00215E9A" w:rsidP="00F417E6">
            <w:pPr>
              <w:rPr>
                <w:sz w:val="24"/>
                <w:szCs w:val="24"/>
              </w:rPr>
            </w:pPr>
            <w:r w:rsidRPr="009A1092">
              <w:t xml:space="preserve">Management Plan </w:t>
            </w:r>
          </w:p>
        </w:tc>
        <w:tc>
          <w:tcPr>
            <w:tcW w:w="7170" w:type="dxa"/>
          </w:tcPr>
          <w:p w14:paraId="582FCDA9" w14:textId="1A0501E7" w:rsidR="00607F00" w:rsidRPr="009A1092" w:rsidRDefault="000D11C8" w:rsidP="000D11C8">
            <w:pPr>
              <w:rPr>
                <w:sz w:val="24"/>
                <w:szCs w:val="24"/>
              </w:rPr>
            </w:pPr>
            <w:r w:rsidRPr="000D11C8">
              <w:rPr>
                <w:sz w:val="24"/>
                <w:szCs w:val="24"/>
              </w:rPr>
              <w:t>A Management Plan is required and will normally be secured by condition and/or planning obligation, depending on the nature and scale of the development.</w:t>
            </w:r>
            <w:r>
              <w:rPr>
                <w:sz w:val="24"/>
                <w:szCs w:val="24"/>
              </w:rPr>
              <w:t xml:space="preserve"> </w:t>
            </w:r>
            <w:r w:rsidR="009146CC">
              <w:rPr>
                <w:sz w:val="24"/>
                <w:szCs w:val="24"/>
              </w:rPr>
              <w:t xml:space="preserve">This is </w:t>
            </w:r>
            <w:r w:rsidR="00215E9A" w:rsidRPr="009A1092">
              <w:rPr>
                <w:sz w:val="24"/>
                <w:szCs w:val="24"/>
              </w:rPr>
              <w:t>to ensure that occupants of the development adhere to standards that prevent noise, disturbance, or nuisance to neighbouring properties. It should provide an established point of contact for nearby residents to report disturbances caused by occupants and mandates the maintenance of cleanliness and tidiness on the site. The plan should require the owner to manage the site effectively, including staffing designated offices 24/7 throughout the year and managing the accommodation. It should outline procedures for managing behaviour, providing contact numbers for residents, and detailing security measures such as CCTV monitoring and regular security patrols. Additionally, the plan should address cleaning and refuse collection to ensure the site remains clean and litter-free</w:t>
            </w:r>
            <w:r w:rsidR="00DE76E9" w:rsidRPr="009A1092">
              <w:rPr>
                <w:sz w:val="24"/>
                <w:szCs w:val="24"/>
              </w:rPr>
              <w:t xml:space="preserve">. </w:t>
            </w:r>
          </w:p>
        </w:tc>
      </w:tr>
      <w:tr w:rsidR="00215E9A" w:rsidRPr="002319CB" w14:paraId="72693667" w14:textId="77777777" w:rsidTr="00F417E6">
        <w:tc>
          <w:tcPr>
            <w:tcW w:w="2830" w:type="dxa"/>
          </w:tcPr>
          <w:p w14:paraId="21B34D3B" w14:textId="6F0BA9DA" w:rsidR="00215E9A" w:rsidRPr="009A1092" w:rsidRDefault="00680C46" w:rsidP="00F417E6">
            <w:pPr>
              <w:rPr>
                <w:sz w:val="24"/>
                <w:szCs w:val="24"/>
              </w:rPr>
            </w:pPr>
            <w:r w:rsidRPr="009A1092">
              <w:rPr>
                <w:sz w:val="24"/>
                <w:szCs w:val="24"/>
              </w:rPr>
              <w:t>Education</w:t>
            </w:r>
          </w:p>
        </w:tc>
        <w:tc>
          <w:tcPr>
            <w:tcW w:w="7170" w:type="dxa"/>
          </w:tcPr>
          <w:p w14:paraId="76A6A733" w14:textId="4D26B1EA" w:rsidR="00215E9A" w:rsidRPr="009A1092" w:rsidRDefault="00680C46" w:rsidP="00F417E6">
            <w:pPr>
              <w:rPr>
                <w:sz w:val="24"/>
                <w:szCs w:val="24"/>
              </w:rPr>
            </w:pPr>
            <w:r w:rsidRPr="009A1092">
              <w:rPr>
                <w:sz w:val="24"/>
                <w:szCs w:val="24"/>
              </w:rPr>
              <w:t>Co-living developments are not aimed at families and as such there should not be a need for additional primary or secondary school places</w:t>
            </w:r>
            <w:r w:rsidR="00DE76E9" w:rsidRPr="009A1092">
              <w:rPr>
                <w:sz w:val="24"/>
                <w:szCs w:val="24"/>
              </w:rPr>
              <w:t xml:space="preserve">. </w:t>
            </w:r>
            <w:r w:rsidRPr="009A1092">
              <w:rPr>
                <w:sz w:val="24"/>
                <w:szCs w:val="24"/>
              </w:rPr>
              <w:t xml:space="preserve">However, it will be for the developer to clearly set out </w:t>
            </w:r>
            <w:r>
              <w:rPr>
                <w:sz w:val="24"/>
                <w:szCs w:val="24"/>
              </w:rPr>
              <w:t xml:space="preserve">that the scheme is </w:t>
            </w:r>
            <w:r w:rsidRPr="00062EBA">
              <w:rPr>
                <w:sz w:val="24"/>
                <w:szCs w:val="24"/>
              </w:rPr>
              <w:t xml:space="preserve">not expected to meet family </w:t>
            </w:r>
            <w:r>
              <w:rPr>
                <w:sz w:val="24"/>
                <w:szCs w:val="24"/>
              </w:rPr>
              <w:t xml:space="preserve">needs </w:t>
            </w:r>
            <w:r w:rsidRPr="009A1092">
              <w:rPr>
                <w:sz w:val="24"/>
                <w:szCs w:val="24"/>
              </w:rPr>
              <w:t xml:space="preserve">now or in the future. Without this justification then it will be assumed that for apartments of </w:t>
            </w:r>
            <w:proofErr w:type="gramStart"/>
            <w:r w:rsidRPr="009A1092">
              <w:rPr>
                <w:sz w:val="24"/>
                <w:szCs w:val="24"/>
              </w:rPr>
              <w:t>2 or more bedroom</w:t>
            </w:r>
            <w:proofErr w:type="gramEnd"/>
            <w:r w:rsidRPr="009A1092">
              <w:rPr>
                <w:sz w:val="24"/>
                <w:szCs w:val="24"/>
              </w:rPr>
              <w:t xml:space="preserve"> apartments that contributions towards education improvements may be required</w:t>
            </w:r>
            <w:r w:rsidR="00DE76E9" w:rsidRPr="009A1092">
              <w:rPr>
                <w:sz w:val="24"/>
                <w:szCs w:val="24"/>
              </w:rPr>
              <w:t xml:space="preserve">. </w:t>
            </w:r>
          </w:p>
        </w:tc>
      </w:tr>
      <w:tr w:rsidR="003E544F" w:rsidRPr="002319CB" w14:paraId="457EC99C" w14:textId="77777777" w:rsidTr="00F417E6">
        <w:tc>
          <w:tcPr>
            <w:tcW w:w="2830" w:type="dxa"/>
          </w:tcPr>
          <w:p w14:paraId="717DCDB1" w14:textId="03126395" w:rsidR="003E544F" w:rsidRPr="009A1092" w:rsidRDefault="00680C46" w:rsidP="00F417E6">
            <w:pPr>
              <w:rPr>
                <w:sz w:val="24"/>
                <w:szCs w:val="24"/>
              </w:rPr>
            </w:pPr>
            <w:r w:rsidRPr="002319CB">
              <w:rPr>
                <w:sz w:val="24"/>
                <w:szCs w:val="24"/>
              </w:rPr>
              <w:t>Open Space*</w:t>
            </w:r>
          </w:p>
        </w:tc>
        <w:tc>
          <w:tcPr>
            <w:tcW w:w="7170" w:type="dxa"/>
          </w:tcPr>
          <w:p w14:paraId="0248FF82" w14:textId="60844449" w:rsidR="009F233A" w:rsidRPr="009F233A" w:rsidRDefault="00680C46" w:rsidP="00F417E6">
            <w:pPr>
              <w:rPr>
                <w:sz w:val="24"/>
                <w:szCs w:val="24"/>
              </w:rPr>
            </w:pPr>
            <w:r w:rsidRPr="009F233A">
              <w:rPr>
                <w:sz w:val="24"/>
                <w:szCs w:val="24"/>
              </w:rPr>
              <w:t xml:space="preserve">Open Space requirements should be agreed in line with </w:t>
            </w:r>
            <w:hyperlink r:id="rId39" w:history="1">
              <w:r w:rsidRPr="009F233A">
                <w:rPr>
                  <w:rStyle w:val="Hyperlink"/>
                  <w:sz w:val="24"/>
                  <w:szCs w:val="24"/>
                </w:rPr>
                <w:t>The Provision of Open Space in New Residential and Commercial Development Supplementary Planning Document</w:t>
              </w:r>
            </w:hyperlink>
            <w:r w:rsidRPr="00EE3ABA">
              <w:rPr>
                <w:sz w:val="24"/>
                <w:szCs w:val="24"/>
              </w:rPr>
              <w:t>.</w:t>
            </w:r>
            <w:r w:rsidR="00534E1B">
              <w:rPr>
                <w:sz w:val="24"/>
                <w:szCs w:val="24"/>
              </w:rPr>
              <w:t xml:space="preserve"> </w:t>
            </w:r>
            <w:r w:rsidR="009F233A" w:rsidRPr="00EE3ABA">
              <w:rPr>
                <w:sz w:val="24"/>
                <w:szCs w:val="24"/>
              </w:rPr>
              <w:t xml:space="preserve">Sole occupancy rooms will work on the assumption of one occupant per room for open space contributions. </w:t>
            </w:r>
          </w:p>
        </w:tc>
      </w:tr>
      <w:tr w:rsidR="00215E9A" w:rsidRPr="002319CB" w14:paraId="672E477A" w14:textId="77777777" w:rsidTr="00F417E6">
        <w:tc>
          <w:tcPr>
            <w:tcW w:w="2830" w:type="dxa"/>
          </w:tcPr>
          <w:p w14:paraId="4958F664" w14:textId="6E56DF42" w:rsidR="00215E9A" w:rsidRPr="002319CB" w:rsidRDefault="00680C46" w:rsidP="00F417E6">
            <w:pPr>
              <w:rPr>
                <w:sz w:val="24"/>
                <w:szCs w:val="24"/>
              </w:rPr>
            </w:pPr>
            <w:r w:rsidRPr="002319CB">
              <w:rPr>
                <w:sz w:val="24"/>
                <w:szCs w:val="24"/>
              </w:rPr>
              <w:t>Affordable Housing contributions*</w:t>
            </w:r>
          </w:p>
        </w:tc>
        <w:tc>
          <w:tcPr>
            <w:tcW w:w="7170" w:type="dxa"/>
          </w:tcPr>
          <w:p w14:paraId="568879B4" w14:textId="56973A6E" w:rsidR="00680C46" w:rsidRPr="00215E9A" w:rsidRDefault="00680C46" w:rsidP="00215E9A">
            <w:pPr>
              <w:rPr>
                <w:rFonts w:eastAsiaTheme="minorHAnsi"/>
                <w:sz w:val="24"/>
                <w:szCs w:val="24"/>
                <w:lang w:bidi="ar-SA"/>
              </w:rPr>
            </w:pPr>
            <w:r w:rsidRPr="00215E9A">
              <w:rPr>
                <w:rFonts w:eastAsiaTheme="minorHAnsi"/>
                <w:sz w:val="24"/>
                <w:szCs w:val="24"/>
                <w:lang w:bidi="ar-SA"/>
              </w:rPr>
              <w:t>Co-living developments are generally regarded as falling within the sui generis planning use class.</w:t>
            </w:r>
            <w:r w:rsidR="00227E34">
              <w:rPr>
                <w:rFonts w:eastAsiaTheme="minorHAnsi"/>
                <w:sz w:val="24"/>
                <w:szCs w:val="24"/>
                <w:lang w:bidi="ar-SA"/>
              </w:rPr>
              <w:t xml:space="preserve"> </w:t>
            </w:r>
            <w:r w:rsidRPr="00215E9A">
              <w:rPr>
                <w:rFonts w:eastAsiaTheme="minorHAnsi"/>
                <w:sz w:val="24"/>
                <w:szCs w:val="24"/>
                <w:lang w:bidi="ar-SA"/>
              </w:rPr>
              <w:t xml:space="preserve">In line with the Nottingham </w:t>
            </w:r>
            <w:r w:rsidR="00E33C28">
              <w:rPr>
                <w:rFonts w:eastAsiaTheme="minorHAnsi"/>
                <w:sz w:val="24"/>
                <w:szCs w:val="24"/>
                <w:lang w:bidi="ar-SA"/>
              </w:rPr>
              <w:t>LAPP</w:t>
            </w:r>
            <w:r w:rsidRPr="00215E9A">
              <w:rPr>
                <w:rFonts w:eastAsiaTheme="minorHAnsi"/>
                <w:sz w:val="24"/>
                <w:szCs w:val="24"/>
                <w:lang w:bidi="ar-SA"/>
              </w:rPr>
              <w:t xml:space="preserve"> policies that promote the delivery of a balanced housing mix and support affordable housing provision, developments that create new residential units are expected to contribute towards affordable housing where thresholds are met. While co-living </w:t>
            </w:r>
            <w:r w:rsidRPr="00215E9A">
              <w:rPr>
                <w:rFonts w:eastAsiaTheme="minorHAnsi"/>
                <w:sz w:val="24"/>
                <w:szCs w:val="24"/>
                <w:lang w:bidi="ar-SA"/>
              </w:rPr>
              <w:lastRenderedPageBreak/>
              <w:t>accommodation typically consists of self-contained studio units</w:t>
            </w:r>
            <w:r>
              <w:rPr>
                <w:rFonts w:eastAsiaTheme="minorHAnsi"/>
                <w:sz w:val="24"/>
                <w:szCs w:val="24"/>
                <w:lang w:bidi="ar-SA"/>
              </w:rPr>
              <w:t xml:space="preserve"> </w:t>
            </w:r>
            <w:r w:rsidRPr="00215E9A">
              <w:rPr>
                <w:rFonts w:eastAsiaTheme="minorHAnsi"/>
                <w:sz w:val="24"/>
                <w:szCs w:val="24"/>
                <w:lang w:bidi="ar-SA"/>
              </w:rPr>
              <w:t>including sleeping space, seating, en-suite bathroom facilities, and a small kitchen or kitchenette</w:t>
            </w:r>
            <w:r w:rsidR="00DE76E9">
              <w:rPr>
                <w:rFonts w:eastAsiaTheme="minorHAnsi"/>
                <w:sz w:val="24"/>
                <w:szCs w:val="24"/>
                <w:lang w:bidi="ar-SA"/>
              </w:rPr>
              <w:t xml:space="preserve">. </w:t>
            </w:r>
            <w:r>
              <w:rPr>
                <w:rFonts w:eastAsiaTheme="minorHAnsi"/>
                <w:sz w:val="24"/>
                <w:szCs w:val="24"/>
                <w:lang w:bidi="ar-SA"/>
              </w:rPr>
              <w:t>T</w:t>
            </w:r>
            <w:r w:rsidRPr="00215E9A">
              <w:rPr>
                <w:rFonts w:eastAsiaTheme="minorHAnsi"/>
                <w:sz w:val="24"/>
                <w:szCs w:val="24"/>
                <w:lang w:bidi="ar-SA"/>
              </w:rPr>
              <w:t>hese units are considered residential in nature and should therefore be subject to affordable housing policies.</w:t>
            </w:r>
          </w:p>
          <w:p w14:paraId="4CB1DBDC" w14:textId="77777777" w:rsidR="00680C46" w:rsidRPr="00F207A2" w:rsidRDefault="00680C46" w:rsidP="00215E9A">
            <w:pPr>
              <w:pStyle w:val="ListParagraph"/>
              <w:ind w:left="1230" w:firstLine="0"/>
              <w:rPr>
                <w:rFonts w:eastAsiaTheme="minorHAnsi"/>
                <w:sz w:val="24"/>
                <w:szCs w:val="24"/>
                <w:lang w:bidi="ar-SA"/>
              </w:rPr>
            </w:pPr>
          </w:p>
          <w:p w14:paraId="5E4C6F38" w14:textId="77777777" w:rsidR="00680C46" w:rsidRDefault="00680C46" w:rsidP="00AE003B">
            <w:pPr>
              <w:rPr>
                <w:sz w:val="24"/>
                <w:szCs w:val="24"/>
              </w:rPr>
            </w:pPr>
            <w:r>
              <w:rPr>
                <w:rFonts w:eastAsiaTheme="minorHAnsi"/>
                <w:sz w:val="24"/>
                <w:szCs w:val="24"/>
                <w:lang w:bidi="ar-SA"/>
              </w:rPr>
              <w:t>Therefore, Nottingham City council w</w:t>
            </w:r>
            <w:r w:rsidRPr="001B5824">
              <w:rPr>
                <w:rFonts w:eastAsiaTheme="minorHAnsi"/>
                <w:sz w:val="24"/>
                <w:szCs w:val="24"/>
                <w:lang w:bidi="ar-SA"/>
              </w:rPr>
              <w:t xml:space="preserve">ill seek S106 </w:t>
            </w:r>
            <w:r>
              <w:rPr>
                <w:rFonts w:eastAsiaTheme="minorHAnsi"/>
                <w:sz w:val="24"/>
                <w:szCs w:val="24"/>
                <w:lang w:bidi="ar-SA"/>
              </w:rPr>
              <w:t xml:space="preserve">Affordable Housing Contributions </w:t>
            </w:r>
            <w:r w:rsidRPr="001B5824">
              <w:rPr>
                <w:rFonts w:eastAsiaTheme="minorHAnsi"/>
                <w:sz w:val="24"/>
                <w:szCs w:val="24"/>
                <w:lang w:bidi="ar-SA"/>
              </w:rPr>
              <w:t>in line with normal residential policy requirements.</w:t>
            </w:r>
            <w:r>
              <w:rPr>
                <w:sz w:val="24"/>
                <w:szCs w:val="24"/>
              </w:rPr>
              <w:t xml:space="preserve"> </w:t>
            </w:r>
          </w:p>
          <w:p w14:paraId="3553B18E" w14:textId="77777777" w:rsidR="00680C46" w:rsidRDefault="00680C46" w:rsidP="00AE003B">
            <w:pPr>
              <w:rPr>
                <w:sz w:val="24"/>
                <w:szCs w:val="24"/>
              </w:rPr>
            </w:pPr>
          </w:p>
          <w:p w14:paraId="74F14699" w14:textId="246F451B" w:rsidR="00215E9A" w:rsidRPr="00206876" w:rsidRDefault="00680C46" w:rsidP="00F417E6">
            <w:pPr>
              <w:rPr>
                <w:sz w:val="24"/>
                <w:szCs w:val="24"/>
              </w:rPr>
            </w:pPr>
            <w:r w:rsidRPr="00206876">
              <w:rPr>
                <w:sz w:val="24"/>
                <w:szCs w:val="24"/>
              </w:rPr>
              <w:t xml:space="preserve">Affordable housing requirements should be agreed in </w:t>
            </w:r>
            <w:r w:rsidR="00D85593" w:rsidRPr="00206876">
              <w:rPr>
                <w:sz w:val="24"/>
                <w:szCs w:val="24"/>
              </w:rPr>
              <w:t xml:space="preserve">line with </w:t>
            </w:r>
            <w:r w:rsidR="00084096" w:rsidRPr="00206876">
              <w:rPr>
                <w:sz w:val="24"/>
                <w:szCs w:val="24"/>
              </w:rPr>
              <w:t xml:space="preserve">ACS </w:t>
            </w:r>
            <w:hyperlink r:id="rId40" w:anchor="page=131" w:history="1">
              <w:r w:rsidR="000B5C7F" w:rsidRPr="00206876">
                <w:rPr>
                  <w:rStyle w:val="Hyperlink"/>
                  <w:sz w:val="24"/>
                  <w:szCs w:val="24"/>
                </w:rPr>
                <w:t>Policy 19: Developer Contributions</w:t>
              </w:r>
            </w:hyperlink>
            <w:r w:rsidR="000B5C7F" w:rsidRPr="00EE3ABA">
              <w:rPr>
                <w:sz w:val="24"/>
                <w:szCs w:val="24"/>
              </w:rPr>
              <w:t>,</w:t>
            </w:r>
            <w:r w:rsidR="00084096" w:rsidRPr="00EE3ABA">
              <w:rPr>
                <w:sz w:val="24"/>
                <w:szCs w:val="24"/>
              </w:rPr>
              <w:t xml:space="preserve"> LAPP</w:t>
            </w:r>
            <w:r w:rsidR="000B5C7F" w:rsidRPr="00EE3ABA">
              <w:rPr>
                <w:sz w:val="24"/>
                <w:szCs w:val="24"/>
              </w:rPr>
              <w:t xml:space="preserve"> </w:t>
            </w:r>
            <w:hyperlink r:id="rId41" w:anchor="page=182" w:history="1">
              <w:r w:rsidR="000B5C7F" w:rsidRPr="00206876">
                <w:rPr>
                  <w:rStyle w:val="Hyperlink"/>
                  <w:sz w:val="24"/>
                  <w:szCs w:val="24"/>
                </w:rPr>
                <w:t>Policy IN4: Developer Contributions</w:t>
              </w:r>
            </w:hyperlink>
            <w:r w:rsidR="00084096" w:rsidRPr="00EE3ABA">
              <w:rPr>
                <w:sz w:val="24"/>
                <w:szCs w:val="24"/>
              </w:rPr>
              <w:t xml:space="preserve"> and </w:t>
            </w:r>
            <w:hyperlink r:id="rId42" w:anchor="page=95" w:history="1">
              <w:r w:rsidR="00206876" w:rsidRPr="00EE3ABA">
                <w:rPr>
                  <w:rStyle w:val="Hyperlink"/>
                  <w:sz w:val="24"/>
                  <w:szCs w:val="24"/>
                </w:rPr>
                <w:t>Policy HO3: Affordable Housing</w:t>
              </w:r>
            </w:hyperlink>
            <w:r w:rsidR="00793BFA">
              <w:rPr>
                <w:sz w:val="24"/>
                <w:szCs w:val="24"/>
              </w:rPr>
              <w:t>.</w:t>
            </w:r>
          </w:p>
        </w:tc>
      </w:tr>
      <w:tr w:rsidR="00215E9A" w:rsidRPr="002319CB" w14:paraId="26AC27BA" w14:textId="77777777" w:rsidTr="00F417E6">
        <w:tc>
          <w:tcPr>
            <w:tcW w:w="2830" w:type="dxa"/>
          </w:tcPr>
          <w:p w14:paraId="757902BC" w14:textId="7F72FA41" w:rsidR="00215E9A" w:rsidRPr="002319CB" w:rsidRDefault="00680C46" w:rsidP="00F417E6">
            <w:pPr>
              <w:rPr>
                <w:sz w:val="24"/>
                <w:szCs w:val="24"/>
              </w:rPr>
            </w:pPr>
            <w:r w:rsidRPr="002319CB">
              <w:rPr>
                <w:sz w:val="24"/>
                <w:szCs w:val="24"/>
              </w:rPr>
              <w:lastRenderedPageBreak/>
              <w:t>Employment and Training</w:t>
            </w:r>
            <w:r w:rsidR="00215E9A" w:rsidRPr="002319CB">
              <w:rPr>
                <w:sz w:val="24"/>
                <w:szCs w:val="24"/>
              </w:rPr>
              <w:t xml:space="preserve"> contributions*</w:t>
            </w:r>
          </w:p>
        </w:tc>
        <w:tc>
          <w:tcPr>
            <w:tcW w:w="7170" w:type="dxa"/>
          </w:tcPr>
          <w:p w14:paraId="69AB28DE" w14:textId="14A58423" w:rsidR="00680C46" w:rsidRPr="002319CB" w:rsidRDefault="00680C46" w:rsidP="00F417E6">
            <w:pPr>
              <w:rPr>
                <w:sz w:val="24"/>
                <w:szCs w:val="24"/>
              </w:rPr>
            </w:pPr>
            <w:r w:rsidRPr="002319CB">
              <w:rPr>
                <w:sz w:val="24"/>
                <w:szCs w:val="24"/>
              </w:rPr>
              <w:t xml:space="preserve">In line with </w:t>
            </w:r>
            <w:r w:rsidR="00583FC3">
              <w:rPr>
                <w:sz w:val="24"/>
                <w:szCs w:val="24"/>
              </w:rPr>
              <w:t xml:space="preserve">ACS </w:t>
            </w:r>
            <w:hyperlink r:id="rId43" w:anchor="page=131" w:history="1">
              <w:r w:rsidRPr="002319CB">
                <w:rPr>
                  <w:rStyle w:val="Hyperlink"/>
                  <w:sz w:val="24"/>
                  <w:szCs w:val="24"/>
                </w:rPr>
                <w:t>Policy 19: Developer Contributions</w:t>
              </w:r>
            </w:hyperlink>
            <w:r w:rsidRPr="002319CB">
              <w:rPr>
                <w:sz w:val="24"/>
                <w:szCs w:val="24"/>
              </w:rPr>
              <w:t xml:space="preserve"> and </w:t>
            </w:r>
            <w:r w:rsidR="00583FC3">
              <w:rPr>
                <w:sz w:val="24"/>
                <w:szCs w:val="24"/>
              </w:rPr>
              <w:t xml:space="preserve">LAPP </w:t>
            </w:r>
            <w:hyperlink r:id="rId44" w:anchor="page=182" w:history="1">
              <w:r w:rsidRPr="002319CB">
                <w:rPr>
                  <w:rStyle w:val="Hyperlink"/>
                  <w:sz w:val="24"/>
                  <w:szCs w:val="24"/>
                </w:rPr>
                <w:t>Policy IN4: Developer Contributions</w:t>
              </w:r>
            </w:hyperlink>
            <w:r w:rsidRPr="002319CB">
              <w:rPr>
                <w:sz w:val="24"/>
                <w:szCs w:val="24"/>
              </w:rPr>
              <w:t xml:space="preserve"> and </w:t>
            </w:r>
          </w:p>
          <w:p w14:paraId="3E6AEA52" w14:textId="5BBADC7F" w:rsidR="00583FC3" w:rsidRPr="00215E9A" w:rsidRDefault="00680C46" w:rsidP="00F417E6">
            <w:hyperlink r:id="rId45" w:anchor="page=45" w:history="1">
              <w:r w:rsidRPr="002319CB">
                <w:rPr>
                  <w:rStyle w:val="Hyperlink"/>
                  <w:sz w:val="24"/>
                  <w:szCs w:val="24"/>
                </w:rPr>
                <w:t>Policy EE4: Local Employment and Training Opportunities</w:t>
              </w:r>
            </w:hyperlink>
          </w:p>
        </w:tc>
      </w:tr>
      <w:tr w:rsidR="00215E9A" w:rsidRPr="002319CB" w14:paraId="4C3A5C78" w14:textId="77777777" w:rsidTr="00F417E6">
        <w:tc>
          <w:tcPr>
            <w:tcW w:w="2830" w:type="dxa"/>
          </w:tcPr>
          <w:p w14:paraId="357CDF8A" w14:textId="2AA9DD1D" w:rsidR="007D50C8" w:rsidRPr="002319CB" w:rsidRDefault="00680C46" w:rsidP="00F417E6">
            <w:pPr>
              <w:rPr>
                <w:sz w:val="24"/>
                <w:szCs w:val="24"/>
              </w:rPr>
            </w:pPr>
            <w:r w:rsidRPr="002319CB">
              <w:rPr>
                <w:sz w:val="24"/>
                <w:szCs w:val="24"/>
              </w:rPr>
              <w:t xml:space="preserve">Other contributions agreed on a </w:t>
            </w:r>
            <w:r w:rsidR="00D8055B" w:rsidRPr="002319CB">
              <w:rPr>
                <w:sz w:val="24"/>
                <w:szCs w:val="24"/>
              </w:rPr>
              <w:t>case-by-case</w:t>
            </w:r>
            <w:r w:rsidRPr="002319CB">
              <w:rPr>
                <w:sz w:val="24"/>
                <w:szCs w:val="24"/>
              </w:rPr>
              <w:t xml:space="preserve"> basis but could include improvements to public transport, flood mitigation, improvement to highways or street scene etc</w:t>
            </w:r>
            <w:r w:rsidR="007D50C8">
              <w:rPr>
                <w:sz w:val="24"/>
                <w:szCs w:val="24"/>
              </w:rPr>
              <w:t>.</w:t>
            </w:r>
          </w:p>
        </w:tc>
        <w:tc>
          <w:tcPr>
            <w:tcW w:w="7170" w:type="dxa"/>
          </w:tcPr>
          <w:p w14:paraId="00FB856D" w14:textId="03B6392F" w:rsidR="00215E9A" w:rsidRPr="002319CB" w:rsidRDefault="00215E9A" w:rsidP="00F417E6">
            <w:pPr>
              <w:rPr>
                <w:rFonts w:eastAsia="Times New Roman"/>
                <w:color w:val="0563C1"/>
                <w:sz w:val="24"/>
                <w:szCs w:val="24"/>
                <w:u w:val="single"/>
                <w:lang w:bidi="ar-SA"/>
              </w:rPr>
            </w:pPr>
            <w:r w:rsidRPr="002319CB">
              <w:rPr>
                <w:sz w:val="24"/>
                <w:szCs w:val="24"/>
              </w:rPr>
              <w:t>In line with</w:t>
            </w:r>
            <w:r w:rsidR="00583FC3">
              <w:rPr>
                <w:sz w:val="24"/>
                <w:szCs w:val="24"/>
              </w:rPr>
              <w:t xml:space="preserve"> ACS</w:t>
            </w:r>
            <w:r w:rsidRPr="002319CB">
              <w:rPr>
                <w:sz w:val="24"/>
                <w:szCs w:val="24"/>
              </w:rPr>
              <w:t xml:space="preserve"> </w:t>
            </w:r>
            <w:hyperlink r:id="rId46" w:anchor="page=131" w:history="1">
              <w:r w:rsidRPr="002319CB">
                <w:rPr>
                  <w:rStyle w:val="Hyperlink"/>
                  <w:sz w:val="24"/>
                  <w:szCs w:val="24"/>
                </w:rPr>
                <w:t>Policy 19: Developer Contributions</w:t>
              </w:r>
            </w:hyperlink>
            <w:r w:rsidRPr="002319CB">
              <w:rPr>
                <w:sz w:val="24"/>
                <w:szCs w:val="24"/>
              </w:rPr>
              <w:t xml:space="preserve"> and</w:t>
            </w:r>
            <w:r w:rsidR="00583FC3">
              <w:rPr>
                <w:sz w:val="24"/>
                <w:szCs w:val="24"/>
              </w:rPr>
              <w:t xml:space="preserve"> LAPP</w:t>
            </w:r>
            <w:r w:rsidRPr="002319CB">
              <w:rPr>
                <w:sz w:val="24"/>
                <w:szCs w:val="24"/>
              </w:rPr>
              <w:t xml:space="preserve"> </w:t>
            </w:r>
            <w:hyperlink r:id="rId47" w:anchor="page=182" w:history="1">
              <w:r w:rsidRPr="002319CB">
                <w:rPr>
                  <w:rStyle w:val="Hyperlink"/>
                  <w:sz w:val="24"/>
                  <w:szCs w:val="24"/>
                </w:rPr>
                <w:t>Policy IN4: Developer Contributions</w:t>
              </w:r>
            </w:hyperlink>
          </w:p>
        </w:tc>
      </w:tr>
    </w:tbl>
    <w:p w14:paraId="724FA1DF" w14:textId="3612B277" w:rsidR="00215E9A" w:rsidRPr="003B74B9" w:rsidRDefault="003D0221" w:rsidP="00215E9A">
      <w:pPr>
        <w:rPr>
          <w:sz w:val="24"/>
          <w:szCs w:val="24"/>
        </w:rPr>
      </w:pPr>
      <w:r w:rsidRPr="002319CB">
        <w:rPr>
          <w:sz w:val="24"/>
          <w:szCs w:val="24"/>
        </w:rPr>
        <w:t xml:space="preserve">* these contributions can be calculated using the council’s </w:t>
      </w:r>
      <w:hyperlink r:id="rId48" w:history="1">
        <w:r w:rsidRPr="002319CB">
          <w:rPr>
            <w:rStyle w:val="Hyperlink"/>
            <w:sz w:val="24"/>
            <w:szCs w:val="24"/>
          </w:rPr>
          <w:t>S106 Estimator</w:t>
        </w:r>
      </w:hyperlink>
      <w:r w:rsidR="00DE76E9" w:rsidRPr="002319CB">
        <w:rPr>
          <w:sz w:val="24"/>
          <w:szCs w:val="24"/>
        </w:rPr>
        <w:t xml:space="preserve">. </w:t>
      </w:r>
    </w:p>
    <w:p w14:paraId="1874AD59" w14:textId="35314D50" w:rsidR="00CD4236" w:rsidRPr="009C0875" w:rsidRDefault="00CD4236" w:rsidP="003D0221">
      <w:pPr>
        <w:pStyle w:val="ListParagraph"/>
        <w:numPr>
          <w:ilvl w:val="1"/>
          <w:numId w:val="1"/>
        </w:numPr>
        <w:jc w:val="left"/>
        <w:rPr>
          <w:rFonts w:eastAsiaTheme="minorHAnsi"/>
          <w:sz w:val="24"/>
          <w:szCs w:val="24"/>
          <w:lang w:bidi="ar-SA"/>
        </w:rPr>
      </w:pPr>
      <w:r w:rsidRPr="009C0875">
        <w:rPr>
          <w:rFonts w:eastAsiaTheme="minorHAnsi"/>
          <w:sz w:val="24"/>
          <w:szCs w:val="24"/>
          <w:lang w:bidi="ar-SA"/>
        </w:rPr>
        <w:br w:type="page"/>
      </w:r>
    </w:p>
    <w:p w14:paraId="507B1213" w14:textId="77777777" w:rsidR="00F33E8C" w:rsidRDefault="00F33E8C" w:rsidP="00CD4236">
      <w:pPr>
        <w:pStyle w:val="ListParagraph"/>
        <w:ind w:left="567" w:firstLine="0"/>
        <w:jc w:val="left"/>
        <w:rPr>
          <w:rFonts w:eastAsiaTheme="minorHAnsi"/>
          <w:sz w:val="24"/>
          <w:szCs w:val="24"/>
          <w:lang w:bidi="ar-SA"/>
        </w:rPr>
        <w:sectPr w:rsidR="00F33E8C" w:rsidSect="009241D5">
          <w:footerReference w:type="default" r:id="rId49"/>
          <w:pgSz w:w="11910" w:h="16840"/>
          <w:pgMar w:top="284" w:right="880" w:bottom="620" w:left="1020" w:header="1346" w:footer="424" w:gutter="0"/>
          <w:pgNumType w:start="1"/>
          <w:cols w:space="720"/>
          <w:docGrid w:linePitch="299"/>
        </w:sectPr>
      </w:pPr>
    </w:p>
    <w:p w14:paraId="2A5EE4E8" w14:textId="47F4F390" w:rsidR="00E4049F" w:rsidRPr="007E191E" w:rsidRDefault="7ECCB604" w:rsidP="000E5CF3">
      <w:pPr>
        <w:pStyle w:val="Heading1"/>
        <w:ind w:left="567" w:hanging="567"/>
      </w:pPr>
      <w:bookmarkStart w:id="53" w:name="_Toc34736329"/>
      <w:bookmarkStart w:id="54" w:name="_Toc205205427"/>
      <w:bookmarkStart w:id="55" w:name="_Toc229489669"/>
      <w:r>
        <w:lastRenderedPageBreak/>
        <w:t>Pre-application</w:t>
      </w:r>
      <w:r w:rsidR="47466F20">
        <w:t xml:space="preserve"> Advice</w:t>
      </w:r>
      <w:bookmarkEnd w:id="53"/>
      <w:bookmarkEnd w:id="54"/>
      <w:bookmarkEnd w:id="55"/>
      <w:r w:rsidR="009F7BBA">
        <w:t xml:space="preserve"> </w:t>
      </w:r>
    </w:p>
    <w:p w14:paraId="158055A7" w14:textId="77777777" w:rsidR="00E2486F" w:rsidRDefault="00E2486F" w:rsidP="00E2486F">
      <w:pPr>
        <w:pStyle w:val="BodyText"/>
        <w:rPr>
          <w:sz w:val="24"/>
        </w:rPr>
      </w:pPr>
    </w:p>
    <w:p w14:paraId="065AC79D" w14:textId="3F0DE58B" w:rsidR="00051FAB" w:rsidRDefault="00581B9F" w:rsidP="00DB547F">
      <w:pPr>
        <w:pStyle w:val="BodyText"/>
        <w:numPr>
          <w:ilvl w:val="1"/>
          <w:numId w:val="1"/>
        </w:numPr>
        <w:spacing w:before="6"/>
        <w:ind w:left="567" w:hanging="709"/>
        <w:rPr>
          <w:sz w:val="24"/>
          <w:szCs w:val="24"/>
        </w:rPr>
      </w:pPr>
      <w:r w:rsidRPr="00051FAB">
        <w:rPr>
          <w:sz w:val="24"/>
          <w:szCs w:val="24"/>
        </w:rPr>
        <w:t>Developers and applicants are advised to consult the Development Management Team</w:t>
      </w:r>
      <w:r w:rsidR="00B129FF" w:rsidRPr="00051FAB">
        <w:rPr>
          <w:sz w:val="24"/>
          <w:szCs w:val="24"/>
        </w:rPr>
        <w:t xml:space="preserve"> at the City Council</w:t>
      </w:r>
      <w:r w:rsidRPr="00051FAB">
        <w:rPr>
          <w:sz w:val="24"/>
          <w:szCs w:val="24"/>
        </w:rPr>
        <w:t xml:space="preserve"> </w:t>
      </w:r>
      <w:r w:rsidR="00FB2F53" w:rsidRPr="00051FAB">
        <w:rPr>
          <w:sz w:val="24"/>
          <w:szCs w:val="24"/>
        </w:rPr>
        <w:t xml:space="preserve">prior to </w:t>
      </w:r>
      <w:r w:rsidR="00616B31" w:rsidRPr="00051FAB">
        <w:rPr>
          <w:sz w:val="24"/>
          <w:szCs w:val="24"/>
        </w:rPr>
        <w:t>submitting planning</w:t>
      </w:r>
      <w:r w:rsidR="00FB2F53" w:rsidRPr="00051FAB">
        <w:rPr>
          <w:sz w:val="24"/>
          <w:szCs w:val="24"/>
        </w:rPr>
        <w:t xml:space="preserve"> applications</w:t>
      </w:r>
      <w:r w:rsidRPr="00051FAB">
        <w:rPr>
          <w:sz w:val="24"/>
          <w:szCs w:val="24"/>
        </w:rPr>
        <w:t xml:space="preserve"> for new </w:t>
      </w:r>
      <w:r w:rsidR="00537776" w:rsidRPr="00051FAB">
        <w:rPr>
          <w:sz w:val="24"/>
          <w:szCs w:val="24"/>
        </w:rPr>
        <w:t xml:space="preserve">co-living developments </w:t>
      </w:r>
      <w:r w:rsidR="00E2486F" w:rsidRPr="00051FAB">
        <w:rPr>
          <w:sz w:val="24"/>
          <w:szCs w:val="24"/>
        </w:rPr>
        <w:t xml:space="preserve">to discuss any </w:t>
      </w:r>
      <w:r w:rsidR="00CB7336" w:rsidRPr="00051FAB">
        <w:rPr>
          <w:sz w:val="24"/>
          <w:szCs w:val="24"/>
        </w:rPr>
        <w:t xml:space="preserve">additional </w:t>
      </w:r>
      <w:r w:rsidR="00E2486F" w:rsidRPr="00051FAB">
        <w:rPr>
          <w:sz w:val="24"/>
          <w:szCs w:val="24"/>
        </w:rPr>
        <w:t>likely requirements</w:t>
      </w:r>
      <w:r w:rsidR="00CB7336" w:rsidRPr="00051FAB">
        <w:rPr>
          <w:sz w:val="24"/>
          <w:szCs w:val="24"/>
        </w:rPr>
        <w:t xml:space="preserve"> given the unique type of development</w:t>
      </w:r>
      <w:r w:rsidRPr="00051FAB">
        <w:rPr>
          <w:sz w:val="24"/>
          <w:szCs w:val="24"/>
        </w:rPr>
        <w:t>.</w:t>
      </w:r>
    </w:p>
    <w:p w14:paraId="51CF1301" w14:textId="77777777" w:rsidR="00051FAB" w:rsidRDefault="00051FAB" w:rsidP="00DB547F">
      <w:pPr>
        <w:pStyle w:val="BodyText"/>
        <w:spacing w:before="6"/>
        <w:ind w:left="567" w:hanging="709"/>
        <w:rPr>
          <w:sz w:val="24"/>
          <w:szCs w:val="24"/>
        </w:rPr>
      </w:pPr>
    </w:p>
    <w:p w14:paraId="7B02A9B7" w14:textId="63A87CF8" w:rsidR="00E4049F" w:rsidRPr="00A57672" w:rsidRDefault="00420EA3" w:rsidP="00DB547F">
      <w:pPr>
        <w:pStyle w:val="BodyText"/>
        <w:numPr>
          <w:ilvl w:val="1"/>
          <w:numId w:val="1"/>
        </w:numPr>
        <w:spacing w:before="6"/>
        <w:ind w:left="567" w:hanging="709"/>
        <w:rPr>
          <w:sz w:val="24"/>
          <w:szCs w:val="24"/>
        </w:rPr>
      </w:pPr>
      <w:r w:rsidRPr="00051FAB">
        <w:rPr>
          <w:rFonts w:eastAsiaTheme="minorHAnsi"/>
          <w:sz w:val="24"/>
          <w:szCs w:val="24"/>
          <w:lang w:bidi="ar-SA"/>
        </w:rPr>
        <w:t xml:space="preserve">Please contact </w:t>
      </w:r>
      <w:r w:rsidR="00581B9F" w:rsidRPr="00051FAB">
        <w:rPr>
          <w:rFonts w:eastAsiaTheme="minorHAnsi"/>
          <w:sz w:val="24"/>
          <w:szCs w:val="24"/>
          <w:lang w:bidi="ar-SA"/>
        </w:rPr>
        <w:t xml:space="preserve">Development Management </w:t>
      </w:r>
      <w:r w:rsidRPr="00051FAB">
        <w:rPr>
          <w:rFonts w:eastAsiaTheme="minorHAnsi"/>
          <w:sz w:val="24"/>
          <w:szCs w:val="24"/>
          <w:lang w:bidi="ar-SA"/>
        </w:rPr>
        <w:t xml:space="preserve">by emailing </w:t>
      </w:r>
      <w:hyperlink r:id="rId50" w:history="1">
        <w:r w:rsidRPr="00051FAB">
          <w:rPr>
            <w:rStyle w:val="Hyperlink"/>
            <w:rFonts w:eastAsiaTheme="minorHAnsi"/>
            <w:sz w:val="24"/>
            <w:szCs w:val="24"/>
            <w:lang w:bidi="ar-SA"/>
          </w:rPr>
          <w:t>planning@nottinghamcity.gov.uk</w:t>
        </w:r>
      </w:hyperlink>
      <w:r w:rsidRPr="00051FAB">
        <w:rPr>
          <w:rFonts w:eastAsiaTheme="minorHAnsi"/>
          <w:sz w:val="24"/>
          <w:szCs w:val="24"/>
          <w:lang w:bidi="ar-SA"/>
        </w:rPr>
        <w:t>.</w:t>
      </w:r>
    </w:p>
    <w:p w14:paraId="52190CDE" w14:textId="4DEE11C7" w:rsidR="00A57672" w:rsidRDefault="00A57672" w:rsidP="00A57672">
      <w:pPr>
        <w:pStyle w:val="Heading1"/>
        <w:numPr>
          <w:ilvl w:val="0"/>
          <w:numId w:val="0"/>
        </w:numPr>
      </w:pPr>
    </w:p>
    <w:p w14:paraId="3C8A27E2" w14:textId="412CD922" w:rsidR="00A57672" w:rsidRPr="00051FAB" w:rsidRDefault="002D4DA9" w:rsidP="00A57672">
      <w:pPr>
        <w:pStyle w:val="Heading1"/>
        <w:numPr>
          <w:ilvl w:val="0"/>
          <w:numId w:val="0"/>
        </w:numPr>
      </w:pPr>
      <w:r w:rsidRPr="002D4DA9">
        <w:rPr>
          <w:bCs/>
          <w:i/>
          <w:iCs/>
          <w:noProof/>
          <w:sz w:val="20"/>
          <w:szCs w:val="16"/>
        </w:rPr>
        <mc:AlternateContent>
          <mc:Choice Requires="wps">
            <w:drawing>
              <wp:anchor distT="45720" distB="45720" distL="114300" distR="114300" simplePos="0" relativeHeight="251672583" behindDoc="0" locked="0" layoutInCell="1" allowOverlap="1" wp14:anchorId="2358215D" wp14:editId="6535C6E3">
                <wp:simplePos x="0" y="0"/>
                <wp:positionH relativeFrom="column">
                  <wp:posOffset>4511440</wp:posOffset>
                </wp:positionH>
                <wp:positionV relativeFrom="paragraph">
                  <wp:posOffset>3710038</wp:posOffset>
                </wp:positionV>
                <wp:extent cx="2000183" cy="1404620"/>
                <wp:effectExtent l="0" t="0" r="0" b="1270"/>
                <wp:wrapNone/>
                <wp:docPr id="149785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183" cy="1404620"/>
                        </a:xfrm>
                        <a:prstGeom prst="rect">
                          <a:avLst/>
                        </a:prstGeom>
                        <a:noFill/>
                        <a:ln w="9525">
                          <a:noFill/>
                          <a:miter lim="800000"/>
                          <a:headEnd/>
                          <a:tailEnd/>
                        </a:ln>
                      </wps:spPr>
                      <wps:txbx>
                        <w:txbxContent>
                          <w:p w14:paraId="14F80202" w14:textId="77777777" w:rsidR="002D4DA9" w:rsidRPr="002D4DA9" w:rsidRDefault="002D4DA9" w:rsidP="005E133A">
                            <w:pPr>
                              <w:jc w:val="right"/>
                              <w:rPr>
                                <w:b/>
                                <w:bCs/>
                                <w:color w:val="FFFFFF" w:themeColor="background1"/>
                                <w:sz w:val="20"/>
                                <w:szCs w:val="20"/>
                              </w:rPr>
                            </w:pPr>
                            <w:r w:rsidRPr="002D4DA9">
                              <w:rPr>
                                <w:b/>
                                <w:bCs/>
                                <w:color w:val="FFFFFF" w:themeColor="background1"/>
                                <w:sz w:val="20"/>
                                <w:szCs w:val="20"/>
                              </w:rPr>
                              <w:t>For illustrative purposes only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58215D" id="_x0000_s1030" type="#_x0000_t202" style="position:absolute;margin-left:355.25pt;margin-top:292.15pt;width:157.5pt;height:110.6pt;z-index:25167258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" filled="f" stroked="f">
                <v:textbox style="mso-fit-shape-to-text:t">
                  <w:txbxContent>
                    <w:p w14:paraId="14F80202" w14:textId="77777777" w:rsidR="002D4DA9" w:rsidRPr="002D4DA9" w:rsidRDefault="002D4DA9" w:rsidP="005E133A">
                      <w:pPr>
                        <w:jc w:val="right"/>
                        <w:rPr>
                          <w:b/>
                          <w:bCs/>
                          <w:color w:val="FFFFFF" w:themeColor="background1"/>
                          <w:sz w:val="20"/>
                          <w:szCs w:val="20"/>
                        </w:rPr>
                      </w:pPr>
                      <w:r w:rsidRPr="002D4DA9">
                        <w:rPr>
                          <w:b/>
                          <w:bCs/>
                          <w:color w:val="FFFFFF" w:themeColor="background1"/>
                          <w:sz w:val="20"/>
                          <w:szCs w:val="20"/>
                        </w:rPr>
                        <w:t>For illustrative purposes only</w:t>
                      </w:r>
                    </w:p>
                  </w:txbxContent>
                </v:textbox>
              </v:shape>
            </w:pict>
          </mc:Fallback>
        </mc:AlternateContent>
      </w:r>
      <w:r w:rsidR="00A57672">
        <w:rPr>
          <w:noProof/>
        </w:rPr>
        <w:drawing>
          <wp:inline distT="0" distB="0" distL="0" distR="0" wp14:anchorId="3791FE03" wp14:editId="4F5E9294">
            <wp:extent cx="6508225" cy="3962400"/>
            <wp:effectExtent l="0" t="0" r="6985" b="0"/>
            <wp:docPr id="581959879" name="Picture 6" descr="Photograph of a modern, open-concept office lounge featuring tiered seating, wooden accents, and abundant greenery. People are engaged in conversations and work, with large windows providing natural light and a digital display showing trans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59879" name="Picture 6" descr="Photograph of a modern, open-concept office lounge featuring tiered seating, wooden accents, and abundant greenery. People are engaged in conversations and work, with large windows providing natural light and a digital display showing transit information."/>
                    <pic:cNvPicPr>
                      <a:picLocks noChangeAspect="1" noChangeArrowheads="1"/>
                    </pic:cNvPicPr>
                  </pic:nvPicPr>
                  <pic:blipFill rotWithShape="1">
                    <a:blip r:embed="rId51">
                      <a:extLst>
                        <a:ext uri="{28A0092B-C50C-407E-A947-70E740481C1C}">
                          <a14:useLocalDpi xmlns:a14="http://schemas.microsoft.com/office/drawing/2010/main" val="0"/>
                        </a:ext>
                      </a:extLst>
                    </a:blip>
                    <a:srcRect r="5620"/>
                    <a:stretch>
                      <a:fillRect/>
                    </a:stretch>
                  </pic:blipFill>
                  <pic:spPr bwMode="auto">
                    <a:xfrm>
                      <a:off x="0" y="0"/>
                      <a:ext cx="6515350" cy="3966738"/>
                    </a:xfrm>
                    <a:prstGeom prst="rect">
                      <a:avLst/>
                    </a:prstGeom>
                    <a:noFill/>
                    <a:ln>
                      <a:noFill/>
                    </a:ln>
                    <a:extLst>
                      <a:ext uri="{53640926-AAD7-44D8-BBD7-CCE9431645EC}">
                        <a14:shadowObscured xmlns:a14="http://schemas.microsoft.com/office/drawing/2010/main"/>
                      </a:ext>
                    </a:extLst>
                  </pic:spPr>
                </pic:pic>
              </a:graphicData>
            </a:graphic>
          </wp:inline>
        </w:drawing>
      </w:r>
    </w:p>
    <w:p w14:paraId="34C494B1" w14:textId="77777777" w:rsidR="007E191E" w:rsidRDefault="007E191E" w:rsidP="00DB547F">
      <w:pPr>
        <w:ind w:left="567" w:hanging="709"/>
        <w:rPr>
          <w:b/>
          <w:sz w:val="24"/>
        </w:rPr>
      </w:pPr>
      <w:r>
        <w:rPr>
          <w:b/>
          <w:sz w:val="24"/>
        </w:rPr>
        <w:br w:type="page"/>
      </w:r>
    </w:p>
    <w:p w14:paraId="74892B8E" w14:textId="43834660" w:rsidR="00CF70A2" w:rsidRPr="000B0CDE" w:rsidRDefault="007B8248" w:rsidP="008D7E9D">
      <w:pPr>
        <w:pStyle w:val="Heading1"/>
        <w:numPr>
          <w:ilvl w:val="0"/>
          <w:numId w:val="0"/>
        </w:numPr>
        <w:ind w:left="870" w:hanging="870"/>
      </w:pPr>
      <w:bookmarkStart w:id="56" w:name="_Toc34736330"/>
      <w:bookmarkStart w:id="57" w:name="_Toc205205428"/>
      <w:bookmarkStart w:id="58" w:name="_Toc229489670"/>
      <w:r>
        <w:lastRenderedPageBreak/>
        <w:t>Glossary</w:t>
      </w:r>
      <w:bookmarkEnd w:id="56"/>
      <w:bookmarkEnd w:id="57"/>
      <w:bookmarkEnd w:id="58"/>
    </w:p>
    <w:p w14:paraId="266EB117" w14:textId="77777777" w:rsidR="00A35A1B" w:rsidRDefault="00A35A1B" w:rsidP="00550A56">
      <w:pPr>
        <w:rPr>
          <w:rFonts w:eastAsiaTheme="minorHAnsi"/>
          <w:bCs/>
          <w:sz w:val="24"/>
          <w:szCs w:val="24"/>
          <w:lang w:bidi="ar-SA"/>
        </w:rPr>
      </w:pPr>
    </w:p>
    <w:p w14:paraId="64E06872" w14:textId="296F9F5E" w:rsidR="00575086" w:rsidRPr="00D8055B" w:rsidRDefault="00575086" w:rsidP="00550A56">
      <w:pPr>
        <w:rPr>
          <w:rFonts w:eastAsiaTheme="minorHAnsi"/>
          <w:bCs/>
          <w:sz w:val="24"/>
          <w:szCs w:val="24"/>
          <w:lang w:bidi="ar-SA"/>
        </w:rPr>
      </w:pPr>
      <w:r w:rsidRPr="002253DB">
        <w:rPr>
          <w:rFonts w:eastAsiaTheme="minorHAnsi"/>
          <w:b/>
          <w:color w:val="4C4C77"/>
          <w:sz w:val="24"/>
          <w:szCs w:val="24"/>
          <w:lang w:bidi="ar-SA"/>
        </w:rPr>
        <w:t>Amenity Standards</w:t>
      </w:r>
      <w:r w:rsidRPr="00D8055B">
        <w:rPr>
          <w:rFonts w:eastAsiaTheme="minorHAnsi"/>
          <w:bCs/>
          <w:sz w:val="24"/>
          <w:szCs w:val="24"/>
          <w:lang w:bidi="ar-SA"/>
        </w:rPr>
        <w:t>: Criteria for the quality and usability of living spaces, including private and communal areas.</w:t>
      </w:r>
    </w:p>
    <w:p w14:paraId="378C09F9" w14:textId="77777777" w:rsidR="00575086" w:rsidRPr="00D8055B" w:rsidRDefault="00575086" w:rsidP="00575086">
      <w:pPr>
        <w:ind w:left="567" w:hanging="567"/>
        <w:rPr>
          <w:rFonts w:eastAsiaTheme="minorHAnsi"/>
          <w:bCs/>
          <w:color w:val="000000" w:themeColor="text1"/>
          <w:sz w:val="24"/>
          <w:szCs w:val="24"/>
          <w:lang w:bidi="ar-SA"/>
        </w:rPr>
      </w:pPr>
    </w:p>
    <w:p w14:paraId="1013D1EE" w14:textId="17F9E745" w:rsidR="00575086" w:rsidRPr="00D8055B" w:rsidRDefault="00575086" w:rsidP="00550A56">
      <w:pPr>
        <w:rPr>
          <w:rFonts w:eastAsiaTheme="minorHAnsi"/>
          <w:bCs/>
          <w:sz w:val="24"/>
          <w:szCs w:val="24"/>
          <w:lang w:bidi="ar-SA"/>
        </w:rPr>
      </w:pPr>
      <w:r w:rsidRPr="002253DB">
        <w:rPr>
          <w:rFonts w:eastAsiaTheme="minorHAnsi"/>
          <w:b/>
          <w:color w:val="4C4C77"/>
          <w:sz w:val="24"/>
          <w:szCs w:val="24"/>
          <w:lang w:bidi="ar-SA"/>
        </w:rPr>
        <w:t>Affordable Housing Contributions</w:t>
      </w:r>
      <w:r w:rsidRPr="00D8055B">
        <w:rPr>
          <w:rFonts w:eastAsiaTheme="minorHAnsi"/>
          <w:bCs/>
          <w:sz w:val="24"/>
          <w:szCs w:val="24"/>
          <w:lang w:bidi="ar-SA"/>
        </w:rPr>
        <w:t>: Funding and planning efforts to increase the supply of homes for rent or sale at prices accessible to those whose needs are not met by the market.</w:t>
      </w:r>
    </w:p>
    <w:p w14:paraId="2F776400" w14:textId="10328752" w:rsidR="009F6140" w:rsidRPr="00D8055B" w:rsidRDefault="009F6140" w:rsidP="00550A56">
      <w:pPr>
        <w:rPr>
          <w:rFonts w:eastAsiaTheme="minorHAnsi"/>
          <w:bCs/>
          <w:color w:val="000000" w:themeColor="text1"/>
          <w:sz w:val="24"/>
          <w:szCs w:val="24"/>
          <w:lang w:bidi="ar-SA"/>
        </w:rPr>
      </w:pPr>
    </w:p>
    <w:p w14:paraId="0316AC90" w14:textId="352A6AB4" w:rsidR="00160DF5" w:rsidRPr="00D8055B" w:rsidRDefault="009F6140" w:rsidP="00550A56">
      <w:pPr>
        <w:rPr>
          <w:rFonts w:eastAsiaTheme="minorHAnsi"/>
          <w:bCs/>
          <w:sz w:val="24"/>
          <w:szCs w:val="24"/>
          <w:lang w:bidi="ar-SA"/>
        </w:rPr>
      </w:pPr>
      <w:r w:rsidRPr="002253DB">
        <w:rPr>
          <w:rFonts w:eastAsiaTheme="minorHAnsi"/>
          <w:b/>
          <w:color w:val="4C4C77"/>
          <w:sz w:val="24"/>
          <w:szCs w:val="24"/>
          <w:lang w:bidi="ar-SA"/>
        </w:rPr>
        <w:t>B</w:t>
      </w:r>
      <w:r w:rsidR="00550A56" w:rsidRPr="002253DB">
        <w:rPr>
          <w:rFonts w:eastAsiaTheme="minorHAnsi"/>
          <w:b/>
          <w:color w:val="4C4C77"/>
          <w:sz w:val="24"/>
          <w:szCs w:val="24"/>
          <w:lang w:bidi="ar-SA"/>
        </w:rPr>
        <w:t xml:space="preserve">uild to rent (BTR): </w:t>
      </w:r>
      <w:r w:rsidR="00550A56" w:rsidRPr="00D8055B">
        <w:rPr>
          <w:rFonts w:eastAsiaTheme="minorHAnsi"/>
          <w:bCs/>
          <w:sz w:val="24"/>
          <w:szCs w:val="24"/>
          <w:lang w:bidi="ar-SA"/>
        </w:rPr>
        <w:t>P</w:t>
      </w:r>
      <w:r w:rsidR="00320462" w:rsidRPr="00D8055B">
        <w:rPr>
          <w:rFonts w:eastAsiaTheme="minorHAnsi"/>
          <w:bCs/>
          <w:sz w:val="24"/>
          <w:szCs w:val="24"/>
          <w:lang w:bidi="ar-SA"/>
        </w:rPr>
        <w:t>urpose-built housing designed for rent rather than sale, typically offering longer tenancies (e.g., three years or more) and managed by a single landlord.</w:t>
      </w:r>
    </w:p>
    <w:p w14:paraId="427D8A2C" w14:textId="77777777" w:rsidR="00440E92" w:rsidRPr="00D8055B" w:rsidRDefault="00440E92" w:rsidP="00550A56">
      <w:pPr>
        <w:rPr>
          <w:rFonts w:eastAsiaTheme="minorHAnsi"/>
          <w:bCs/>
          <w:color w:val="000000" w:themeColor="text1"/>
          <w:sz w:val="24"/>
          <w:szCs w:val="24"/>
          <w:lang w:bidi="ar-SA"/>
        </w:rPr>
      </w:pPr>
    </w:p>
    <w:p w14:paraId="31414D61" w14:textId="235FBD79" w:rsidR="00526123" w:rsidRPr="00D8055B" w:rsidRDefault="00B404C1" w:rsidP="00526123">
      <w:pPr>
        <w:rPr>
          <w:rFonts w:eastAsiaTheme="minorHAnsi"/>
          <w:bCs/>
          <w:sz w:val="24"/>
          <w:szCs w:val="24"/>
          <w:lang w:bidi="ar-SA"/>
        </w:rPr>
      </w:pPr>
      <w:r w:rsidRPr="002253DB">
        <w:rPr>
          <w:rFonts w:eastAsiaTheme="minorHAnsi"/>
          <w:b/>
          <w:color w:val="4C4C77"/>
          <w:sz w:val="24"/>
          <w:szCs w:val="24"/>
          <w:lang w:bidi="ar-SA"/>
        </w:rPr>
        <w:t>Cluster flat / shared unit:</w:t>
      </w:r>
      <w:r w:rsidRPr="00D8055B">
        <w:rPr>
          <w:rFonts w:eastAsiaTheme="minorHAnsi"/>
          <w:bCs/>
          <w:sz w:val="24"/>
          <w:szCs w:val="24"/>
          <w:lang w:bidi="ar-SA"/>
        </w:rPr>
        <w:t xml:space="preserve">  </w:t>
      </w:r>
      <w:r w:rsidR="00526123" w:rsidRPr="00D8055B">
        <w:rPr>
          <w:rFonts w:eastAsiaTheme="minorHAnsi"/>
          <w:bCs/>
          <w:sz w:val="24"/>
          <w:szCs w:val="24"/>
          <w:lang w:bidi="ar-SA"/>
        </w:rPr>
        <w:t>A type of private unit consisting of individual private bedrooms with kitchen, living, and bathroom facilities shared only among the occupants of that same flat. A cluster flat exceeding eight bedrooms will not be recognised as a single private unit for the purposes of amenity calculations, space standards, or planning obligations (see Private unit).</w:t>
      </w:r>
    </w:p>
    <w:p w14:paraId="406B3C7F" w14:textId="77777777" w:rsidR="00320462" w:rsidRPr="00D8055B" w:rsidRDefault="00320462" w:rsidP="007E4337">
      <w:pPr>
        <w:rPr>
          <w:rFonts w:eastAsiaTheme="minorHAnsi"/>
          <w:bCs/>
          <w:color w:val="000000" w:themeColor="text1"/>
          <w:sz w:val="24"/>
          <w:szCs w:val="24"/>
          <w:lang w:bidi="ar-SA"/>
        </w:rPr>
      </w:pPr>
    </w:p>
    <w:p w14:paraId="1633E9D8" w14:textId="0087D8BD" w:rsidR="00512A47" w:rsidRPr="00D8055B" w:rsidRDefault="004E6503" w:rsidP="00512A47">
      <w:pPr>
        <w:rPr>
          <w:rFonts w:eastAsiaTheme="minorHAnsi"/>
          <w:bCs/>
          <w:sz w:val="24"/>
          <w:szCs w:val="24"/>
          <w:lang w:bidi="ar-SA"/>
        </w:rPr>
      </w:pPr>
      <w:r w:rsidRPr="002253DB">
        <w:rPr>
          <w:rFonts w:eastAsiaTheme="minorHAnsi"/>
          <w:b/>
          <w:color w:val="4C4C77"/>
          <w:sz w:val="24"/>
          <w:szCs w:val="24"/>
          <w:lang w:bidi="ar-SA"/>
        </w:rPr>
        <w:t>Co-living</w:t>
      </w:r>
      <w:r w:rsidRPr="00D8055B">
        <w:rPr>
          <w:rFonts w:eastAsiaTheme="minorHAnsi"/>
          <w:bCs/>
          <w:sz w:val="24"/>
          <w:szCs w:val="24"/>
          <w:lang w:bidi="ar-SA"/>
        </w:rPr>
        <w:t>:</w:t>
      </w:r>
      <w:r w:rsidR="00550A56" w:rsidRPr="00D8055B">
        <w:rPr>
          <w:rFonts w:eastAsiaTheme="minorHAnsi"/>
          <w:bCs/>
          <w:sz w:val="24"/>
          <w:szCs w:val="24"/>
          <w:lang w:bidi="ar-SA"/>
        </w:rPr>
        <w:t xml:space="preserve"> </w:t>
      </w:r>
      <w:r w:rsidRPr="00D8055B">
        <w:rPr>
          <w:rFonts w:eastAsiaTheme="minorHAnsi"/>
          <w:sz w:val="24"/>
          <w:szCs w:val="24"/>
          <w:lang w:bidi="ar-SA"/>
        </w:rPr>
        <w:t xml:space="preserve">Purpose-built, </w:t>
      </w:r>
      <w:r w:rsidR="00512A47" w:rsidRPr="00D8055B">
        <w:rPr>
          <w:rFonts w:eastAsiaTheme="minorHAnsi"/>
          <w:bCs/>
          <w:sz w:val="24"/>
          <w:szCs w:val="24"/>
          <w:lang w:bidi="ar-SA"/>
        </w:rPr>
        <w:t>professionally managed residential accommodation classified as sui generis, comprising a mix of private units (studios or shared cluster flats) together with extensive shared communal facilities, typically aimed at young professionals, graduates, or key workers.</w:t>
      </w:r>
    </w:p>
    <w:p w14:paraId="6201D590" w14:textId="77777777" w:rsidR="00D023C7" w:rsidRPr="00D8055B" w:rsidRDefault="00D023C7" w:rsidP="00F51A19">
      <w:pPr>
        <w:rPr>
          <w:rFonts w:eastAsiaTheme="minorHAnsi"/>
          <w:bCs/>
          <w:color w:val="000000" w:themeColor="text1"/>
          <w:sz w:val="24"/>
          <w:szCs w:val="24"/>
          <w:lang w:bidi="ar-SA"/>
        </w:rPr>
      </w:pPr>
    </w:p>
    <w:p w14:paraId="4F377332" w14:textId="6CC42C8C" w:rsidR="00D023C7" w:rsidRPr="00D8055B" w:rsidRDefault="00E00F79" w:rsidP="00575086">
      <w:pPr>
        <w:ind w:left="567" w:hanging="567"/>
        <w:rPr>
          <w:rFonts w:eastAsiaTheme="minorHAnsi"/>
          <w:bCs/>
          <w:sz w:val="24"/>
          <w:szCs w:val="24"/>
          <w:lang w:bidi="ar-SA"/>
        </w:rPr>
      </w:pPr>
      <w:r w:rsidRPr="002253DB">
        <w:rPr>
          <w:rFonts w:eastAsiaTheme="minorHAnsi"/>
          <w:b/>
          <w:color w:val="4C4C77"/>
          <w:sz w:val="24"/>
          <w:szCs w:val="24"/>
          <w:lang w:bidi="ar-SA"/>
        </w:rPr>
        <w:t>Communal amenity</w:t>
      </w:r>
      <w:r w:rsidR="00550A56" w:rsidRPr="002253DB">
        <w:rPr>
          <w:rFonts w:eastAsiaTheme="minorHAnsi"/>
          <w:b/>
          <w:color w:val="4C4C77"/>
          <w:sz w:val="24"/>
          <w:szCs w:val="24"/>
          <w:lang w:bidi="ar-SA"/>
        </w:rPr>
        <w:t xml:space="preserve"> space</w:t>
      </w:r>
      <w:r w:rsidR="00550A56" w:rsidRPr="00D8055B">
        <w:rPr>
          <w:rFonts w:eastAsiaTheme="minorHAnsi"/>
          <w:bCs/>
          <w:sz w:val="24"/>
          <w:szCs w:val="24"/>
          <w:lang w:bidi="ar-SA"/>
        </w:rPr>
        <w:t xml:space="preserve">: </w:t>
      </w:r>
      <w:r w:rsidRPr="00D8055B">
        <w:rPr>
          <w:rFonts w:eastAsiaTheme="minorHAnsi"/>
          <w:bCs/>
          <w:sz w:val="24"/>
          <w:szCs w:val="24"/>
          <w:lang w:bidi="ar-SA"/>
        </w:rPr>
        <w:t xml:space="preserve">Shared kitchens, lounges, workspaces, </w:t>
      </w:r>
      <w:r w:rsidR="00550A56" w:rsidRPr="00D8055B">
        <w:rPr>
          <w:rFonts w:eastAsiaTheme="minorHAnsi"/>
          <w:bCs/>
          <w:sz w:val="24"/>
          <w:szCs w:val="24"/>
          <w:lang w:bidi="ar-SA"/>
        </w:rPr>
        <w:t>gyms, etc</w:t>
      </w:r>
      <w:r w:rsidRPr="00D8055B">
        <w:rPr>
          <w:rFonts w:eastAsiaTheme="minorHAnsi"/>
          <w:bCs/>
          <w:sz w:val="24"/>
          <w:szCs w:val="24"/>
          <w:lang w:bidi="ar-SA"/>
        </w:rPr>
        <w:t>.</w:t>
      </w:r>
    </w:p>
    <w:p w14:paraId="21AA7060" w14:textId="77777777" w:rsidR="00575086" w:rsidRPr="00D8055B" w:rsidRDefault="00575086" w:rsidP="00575086">
      <w:pPr>
        <w:ind w:left="567" w:hanging="567"/>
        <w:rPr>
          <w:rFonts w:eastAsiaTheme="minorHAnsi"/>
          <w:bCs/>
          <w:color w:val="000000" w:themeColor="text1"/>
          <w:sz w:val="24"/>
          <w:szCs w:val="24"/>
          <w:lang w:bidi="ar-SA"/>
        </w:rPr>
      </w:pPr>
    </w:p>
    <w:p w14:paraId="63695C3E" w14:textId="482BC5ED" w:rsidR="00575086" w:rsidRPr="00D8055B" w:rsidRDefault="00575086" w:rsidP="00550A56">
      <w:pPr>
        <w:rPr>
          <w:rFonts w:eastAsiaTheme="minorHAnsi"/>
          <w:bCs/>
          <w:sz w:val="24"/>
          <w:szCs w:val="24"/>
          <w:lang w:bidi="ar-SA"/>
        </w:rPr>
      </w:pPr>
      <w:r w:rsidRPr="002253DB">
        <w:rPr>
          <w:rFonts w:eastAsiaTheme="minorHAnsi"/>
          <w:b/>
          <w:color w:val="4C4C77"/>
          <w:sz w:val="24"/>
          <w:szCs w:val="24"/>
          <w:lang w:bidi="ar-SA"/>
        </w:rPr>
        <w:t>Flexible Tenancies</w:t>
      </w:r>
      <w:r w:rsidRPr="00D8055B">
        <w:rPr>
          <w:rFonts w:eastAsiaTheme="minorHAnsi"/>
          <w:bCs/>
          <w:sz w:val="24"/>
          <w:szCs w:val="24"/>
          <w:lang w:bidi="ar-SA"/>
        </w:rPr>
        <w:t>: Rental agreements that offer varying lengths of stay, typically ranging from 3 to 12 months.</w:t>
      </w:r>
    </w:p>
    <w:p w14:paraId="39C9E4AC" w14:textId="77777777" w:rsidR="00696DED" w:rsidRPr="00D8055B" w:rsidRDefault="00696DED" w:rsidP="00575086">
      <w:pPr>
        <w:ind w:left="567" w:hanging="567"/>
        <w:rPr>
          <w:rFonts w:eastAsiaTheme="minorHAnsi"/>
          <w:bCs/>
          <w:color w:val="000000" w:themeColor="text1"/>
          <w:sz w:val="24"/>
          <w:szCs w:val="24"/>
          <w:lang w:bidi="ar-SA"/>
        </w:rPr>
      </w:pPr>
    </w:p>
    <w:p w14:paraId="3ADC3B4B" w14:textId="30C5EEF3" w:rsidR="00696DED" w:rsidRPr="00D8055B" w:rsidRDefault="00696DED" w:rsidP="0023635C">
      <w:pPr>
        <w:rPr>
          <w:rFonts w:eastAsiaTheme="minorEastAsia"/>
          <w:sz w:val="24"/>
          <w:szCs w:val="24"/>
          <w:lang w:bidi="ar-SA"/>
        </w:rPr>
      </w:pPr>
      <w:r w:rsidRPr="002253DB">
        <w:rPr>
          <w:rFonts w:eastAsiaTheme="minorEastAsia"/>
          <w:b/>
          <w:color w:val="4C4C77"/>
          <w:sz w:val="24"/>
          <w:szCs w:val="24"/>
          <w:lang w:bidi="ar-SA"/>
        </w:rPr>
        <w:t>Houses in Multiple Occupation</w:t>
      </w:r>
      <w:r w:rsidR="2F53D4D5" w:rsidRPr="002253DB">
        <w:rPr>
          <w:rFonts w:eastAsiaTheme="minorEastAsia"/>
          <w:b/>
          <w:bCs/>
          <w:color w:val="4C4C77"/>
          <w:sz w:val="24"/>
          <w:szCs w:val="24"/>
          <w:lang w:bidi="ar-SA"/>
        </w:rPr>
        <w:t xml:space="preserve"> (HMOs)</w:t>
      </w:r>
      <w:r w:rsidR="00550A56" w:rsidRPr="00D8055B">
        <w:rPr>
          <w:rFonts w:eastAsiaTheme="minorEastAsia"/>
          <w:sz w:val="24"/>
          <w:szCs w:val="24"/>
          <w:lang w:bidi="ar-SA"/>
        </w:rPr>
        <w:t xml:space="preserve">: </w:t>
      </w:r>
      <w:r w:rsidR="00BE0D73">
        <w:rPr>
          <w:rFonts w:eastAsiaTheme="minorEastAsia"/>
          <w:sz w:val="24"/>
          <w:szCs w:val="24"/>
          <w:lang w:bidi="ar-SA"/>
        </w:rPr>
        <w:t>G</w:t>
      </w:r>
      <w:r w:rsidR="7E32462D" w:rsidRPr="00D8055B">
        <w:rPr>
          <w:rFonts w:eastAsiaTheme="minorEastAsia"/>
          <w:sz w:val="24"/>
          <w:szCs w:val="24"/>
          <w:lang w:bidi="ar-SA"/>
        </w:rPr>
        <w:t>enerally</w:t>
      </w:r>
      <w:r w:rsidR="00550A56" w:rsidRPr="00D8055B">
        <w:rPr>
          <w:rFonts w:eastAsiaTheme="minorEastAsia"/>
          <w:sz w:val="24"/>
          <w:szCs w:val="24"/>
          <w:lang w:bidi="ar-SA"/>
        </w:rPr>
        <w:t xml:space="preserve"> </w:t>
      </w:r>
      <w:r w:rsidRPr="00D8055B">
        <w:rPr>
          <w:rFonts w:eastAsiaTheme="minorEastAsia"/>
          <w:sz w:val="24"/>
          <w:szCs w:val="24"/>
          <w:lang w:bidi="ar-SA"/>
        </w:rPr>
        <w:t>shared houses</w:t>
      </w:r>
      <w:r w:rsidR="67A24E5F" w:rsidRPr="00D8055B">
        <w:rPr>
          <w:rFonts w:eastAsiaTheme="minorEastAsia"/>
          <w:sz w:val="24"/>
          <w:szCs w:val="24"/>
          <w:lang w:bidi="ar-SA"/>
        </w:rPr>
        <w:t xml:space="preserve"> of 3 or more persons living in 2 or more separate households </w:t>
      </w:r>
      <w:r w:rsidR="0CE39655" w:rsidRPr="00D8055B">
        <w:rPr>
          <w:rFonts w:eastAsiaTheme="minorEastAsia"/>
          <w:sz w:val="24"/>
          <w:szCs w:val="24"/>
          <w:lang w:bidi="ar-SA"/>
        </w:rPr>
        <w:t>but subject to a more precise definition within the Housing Act 2004.</w:t>
      </w:r>
    </w:p>
    <w:p w14:paraId="4E60A93A" w14:textId="77777777" w:rsidR="00575086" w:rsidRPr="00D8055B" w:rsidRDefault="00575086" w:rsidP="00575086">
      <w:pPr>
        <w:ind w:left="567" w:hanging="567"/>
        <w:rPr>
          <w:rFonts w:eastAsiaTheme="minorHAnsi"/>
          <w:bCs/>
          <w:color w:val="000000" w:themeColor="text1"/>
          <w:sz w:val="24"/>
          <w:szCs w:val="24"/>
          <w:lang w:bidi="ar-SA"/>
        </w:rPr>
      </w:pPr>
    </w:p>
    <w:p w14:paraId="4329C3C2" w14:textId="4BA5037C" w:rsidR="00EE32F3" w:rsidRDefault="00837CEE" w:rsidP="00837CEE">
      <w:pPr>
        <w:rPr>
          <w:rFonts w:eastAsiaTheme="minorHAnsi"/>
          <w:bCs/>
          <w:i/>
          <w:iCs/>
          <w:sz w:val="24"/>
          <w:szCs w:val="24"/>
          <w:lang w:bidi="ar-SA"/>
        </w:rPr>
      </w:pPr>
      <w:r w:rsidRPr="002253DB">
        <w:rPr>
          <w:rFonts w:eastAsiaTheme="minorHAnsi"/>
          <w:b/>
          <w:color w:val="4C4C77"/>
          <w:sz w:val="24"/>
          <w:szCs w:val="24"/>
          <w:lang w:bidi="ar-SA"/>
        </w:rPr>
        <w:t>Large-</w:t>
      </w:r>
      <w:r w:rsidR="005F08EA" w:rsidRPr="002253DB">
        <w:rPr>
          <w:rFonts w:eastAsiaTheme="minorHAnsi"/>
          <w:b/>
          <w:color w:val="4C4C77"/>
          <w:sz w:val="24"/>
          <w:szCs w:val="24"/>
          <w:lang w:bidi="ar-SA"/>
        </w:rPr>
        <w:t>s</w:t>
      </w:r>
      <w:r w:rsidRPr="002253DB">
        <w:rPr>
          <w:rFonts w:eastAsiaTheme="minorHAnsi"/>
          <w:b/>
          <w:color w:val="4C4C77"/>
          <w:sz w:val="24"/>
          <w:szCs w:val="24"/>
          <w:lang w:bidi="ar-SA"/>
        </w:rPr>
        <w:t>cale shared living accommodation</w:t>
      </w:r>
      <w:r w:rsidRPr="00D8055B">
        <w:rPr>
          <w:rFonts w:eastAsiaTheme="minorHAnsi"/>
          <w:bCs/>
          <w:sz w:val="24"/>
          <w:szCs w:val="24"/>
          <w:lang w:bidi="ar-SA"/>
        </w:rPr>
        <w:t>:</w:t>
      </w:r>
      <w:r w:rsidRPr="00D8055B">
        <w:rPr>
          <w:rFonts w:eastAsiaTheme="minorHAnsi"/>
          <w:b/>
          <w:sz w:val="24"/>
          <w:szCs w:val="24"/>
          <w:lang w:bidi="ar-SA"/>
        </w:rPr>
        <w:t xml:space="preserve"> </w:t>
      </w:r>
      <w:r w:rsidRPr="00D8055B">
        <w:rPr>
          <w:rFonts w:eastAsiaTheme="minorHAnsi"/>
          <w:bCs/>
          <w:sz w:val="24"/>
          <w:szCs w:val="24"/>
          <w:lang w:bidi="ar-SA"/>
        </w:rPr>
        <w:t>Non</w:t>
      </w:r>
      <w:r w:rsidRPr="00D8055B">
        <w:rPr>
          <w:rFonts w:ascii="Cambria Math" w:eastAsiaTheme="minorHAnsi" w:hAnsi="Cambria Math" w:cs="Cambria Math"/>
          <w:bCs/>
          <w:sz w:val="24"/>
          <w:szCs w:val="24"/>
          <w:lang w:bidi="ar-SA"/>
        </w:rPr>
        <w:t>‑</w:t>
      </w:r>
      <w:r w:rsidRPr="00D8055B">
        <w:rPr>
          <w:rFonts w:eastAsiaTheme="minorHAnsi"/>
          <w:bCs/>
          <w:sz w:val="24"/>
          <w:szCs w:val="24"/>
          <w:lang w:bidi="ar-SA"/>
        </w:rPr>
        <w:t>self</w:t>
      </w:r>
      <w:r w:rsidRPr="00D8055B">
        <w:rPr>
          <w:rFonts w:ascii="Cambria Math" w:eastAsiaTheme="minorHAnsi" w:hAnsi="Cambria Math" w:cs="Cambria Math"/>
          <w:bCs/>
          <w:sz w:val="24"/>
          <w:szCs w:val="24"/>
          <w:lang w:bidi="ar-SA"/>
        </w:rPr>
        <w:t>‑</w:t>
      </w:r>
      <w:r w:rsidRPr="00D8055B">
        <w:rPr>
          <w:rFonts w:eastAsiaTheme="minorHAnsi"/>
          <w:bCs/>
          <w:sz w:val="24"/>
          <w:szCs w:val="24"/>
          <w:lang w:bidi="ar-SA"/>
        </w:rPr>
        <w:t>contained accommodation which provides private rooms alongside shared communal spaces and facilities. This type of accommodation does not constitute self</w:t>
      </w:r>
      <w:r w:rsidRPr="00D8055B">
        <w:rPr>
          <w:rFonts w:ascii="Cambria Math" w:eastAsiaTheme="minorHAnsi" w:hAnsi="Cambria Math" w:cs="Cambria Math"/>
          <w:bCs/>
          <w:sz w:val="24"/>
          <w:szCs w:val="24"/>
          <w:lang w:bidi="ar-SA"/>
        </w:rPr>
        <w:t>‑</w:t>
      </w:r>
      <w:r w:rsidRPr="00D8055B">
        <w:rPr>
          <w:rFonts w:eastAsiaTheme="minorHAnsi"/>
          <w:bCs/>
          <w:sz w:val="24"/>
          <w:szCs w:val="24"/>
          <w:lang w:bidi="ar-SA"/>
        </w:rPr>
        <w:t xml:space="preserve">contained dwellings (use class C3), HMOs, student accommodation, hotels, or other residential institutions. Tenancies should be for a minimum of 3 </w:t>
      </w:r>
      <w:r w:rsidR="00D8055B" w:rsidRPr="00D8055B">
        <w:rPr>
          <w:rFonts w:eastAsiaTheme="minorHAnsi"/>
          <w:bCs/>
          <w:sz w:val="24"/>
          <w:szCs w:val="24"/>
          <w:lang w:bidi="ar-SA"/>
        </w:rPr>
        <w:t>months.</w:t>
      </w:r>
      <w:r w:rsidR="00480236">
        <w:rPr>
          <w:rFonts w:eastAsiaTheme="minorHAnsi"/>
          <w:bCs/>
          <w:sz w:val="24"/>
          <w:szCs w:val="24"/>
          <w:lang w:bidi="ar-SA"/>
        </w:rPr>
        <w:t xml:space="preserve"> </w:t>
      </w:r>
    </w:p>
    <w:p w14:paraId="11CF4772" w14:textId="77777777" w:rsidR="00EE32F3" w:rsidRDefault="00EE32F3" w:rsidP="00837CEE">
      <w:pPr>
        <w:rPr>
          <w:rFonts w:eastAsiaTheme="minorHAnsi"/>
          <w:bCs/>
          <w:i/>
          <w:iCs/>
          <w:sz w:val="24"/>
          <w:szCs w:val="24"/>
          <w:lang w:bidi="ar-SA"/>
        </w:rPr>
      </w:pPr>
    </w:p>
    <w:p w14:paraId="3222F28D" w14:textId="091E0AD1" w:rsidR="00EE32F3" w:rsidRPr="006C3988" w:rsidRDefault="00480236" w:rsidP="00EE32F3">
      <w:pPr>
        <w:rPr>
          <w:rFonts w:eastAsiaTheme="minorHAnsi"/>
          <w:bCs/>
          <w:i/>
          <w:iCs/>
          <w:sz w:val="24"/>
          <w:szCs w:val="24"/>
          <w:lang w:bidi="ar-SA"/>
        </w:rPr>
      </w:pPr>
      <w:r w:rsidRPr="00EE3ABA">
        <w:rPr>
          <w:rFonts w:eastAsiaTheme="minorHAnsi"/>
          <w:b/>
          <w:i/>
          <w:iCs/>
          <w:sz w:val="24"/>
          <w:szCs w:val="24"/>
          <w:lang w:bidi="ar-SA"/>
        </w:rPr>
        <w:t>Note</w:t>
      </w:r>
      <w:r w:rsidRPr="00EE3ABA">
        <w:rPr>
          <w:rFonts w:eastAsiaTheme="minorHAnsi"/>
          <w:bCs/>
          <w:i/>
          <w:iCs/>
          <w:sz w:val="24"/>
          <w:szCs w:val="24"/>
          <w:lang w:bidi="ar-SA"/>
        </w:rPr>
        <w:t xml:space="preserve">: </w:t>
      </w:r>
      <w:r w:rsidR="00EE32F3" w:rsidRPr="006C3988">
        <w:rPr>
          <w:rFonts w:eastAsiaTheme="minorHAnsi"/>
          <w:bCs/>
          <w:i/>
          <w:iCs/>
          <w:sz w:val="24"/>
          <w:szCs w:val="24"/>
          <w:lang w:bidi="ar-SA"/>
        </w:rPr>
        <w:t>For the purposes of assessing internal space standards and residential amenity, private units within large</w:t>
      </w:r>
      <w:r w:rsidR="00EE32F3" w:rsidRPr="006C3988">
        <w:rPr>
          <w:rFonts w:eastAsiaTheme="minorHAnsi"/>
          <w:bCs/>
          <w:i/>
          <w:iCs/>
          <w:sz w:val="24"/>
          <w:szCs w:val="24"/>
          <w:lang w:bidi="ar-SA"/>
        </w:rPr>
        <w:noBreakHyphen/>
        <w:t>scale shared living accommodation which, as a matter of fact and degree, meet the established functional tests of a dwelling will be treated as dwellings</w:t>
      </w:r>
      <w:r w:rsidR="009A4267" w:rsidRPr="006C3988">
        <w:rPr>
          <w:rFonts w:eastAsiaTheme="minorHAnsi"/>
          <w:bCs/>
          <w:i/>
          <w:iCs/>
          <w:sz w:val="24"/>
          <w:szCs w:val="24"/>
          <w:lang w:bidi="ar-SA"/>
        </w:rPr>
        <w:t xml:space="preserve"> (see 4.23)</w:t>
      </w:r>
      <w:r w:rsidR="00EE32F3" w:rsidRPr="006C3988">
        <w:rPr>
          <w:rFonts w:eastAsiaTheme="minorHAnsi"/>
          <w:bCs/>
          <w:i/>
          <w:iCs/>
          <w:sz w:val="24"/>
          <w:szCs w:val="24"/>
          <w:lang w:bidi="ar-SA"/>
        </w:rPr>
        <w:t>, notwithstanding that they are not fully self</w:t>
      </w:r>
      <w:r w:rsidR="00EE32F3" w:rsidRPr="006C3988">
        <w:rPr>
          <w:rFonts w:eastAsiaTheme="minorHAnsi"/>
          <w:bCs/>
          <w:i/>
          <w:iCs/>
          <w:sz w:val="24"/>
          <w:szCs w:val="24"/>
          <w:lang w:bidi="ar-SA"/>
        </w:rPr>
        <w:noBreakHyphen/>
        <w:t>contained and do not fall within use class C3.</w:t>
      </w:r>
    </w:p>
    <w:p w14:paraId="3DC27939" w14:textId="77777777" w:rsidR="00837CEE" w:rsidRPr="00D8055B" w:rsidRDefault="00837CEE" w:rsidP="00550A56">
      <w:pPr>
        <w:rPr>
          <w:rFonts w:eastAsiaTheme="minorHAnsi"/>
          <w:b/>
          <w:color w:val="000000" w:themeColor="text1"/>
          <w:sz w:val="24"/>
          <w:szCs w:val="24"/>
          <w:lang w:bidi="ar-SA"/>
        </w:rPr>
      </w:pPr>
    </w:p>
    <w:p w14:paraId="040659A1" w14:textId="0D743283" w:rsidR="00550A56" w:rsidRPr="00D8055B" w:rsidRDefault="00550A56" w:rsidP="00550A56">
      <w:pPr>
        <w:rPr>
          <w:rFonts w:eastAsiaTheme="minorHAnsi"/>
          <w:bCs/>
          <w:sz w:val="24"/>
          <w:szCs w:val="24"/>
          <w:lang w:bidi="ar-SA"/>
        </w:rPr>
      </w:pPr>
      <w:r w:rsidRPr="002253DB">
        <w:rPr>
          <w:rFonts w:eastAsiaTheme="minorHAnsi"/>
          <w:b/>
          <w:color w:val="4C4C77"/>
          <w:sz w:val="24"/>
          <w:szCs w:val="24"/>
          <w:lang w:bidi="ar-SA"/>
        </w:rPr>
        <w:t>Local Plan</w:t>
      </w:r>
      <w:r w:rsidRPr="00D8055B">
        <w:rPr>
          <w:rFonts w:eastAsiaTheme="minorHAnsi"/>
          <w:bCs/>
          <w:sz w:val="24"/>
          <w:szCs w:val="24"/>
          <w:lang w:bidi="ar-SA"/>
        </w:rPr>
        <w:t>:</w:t>
      </w:r>
      <w:r w:rsidRPr="00D8055B">
        <w:rPr>
          <w:rFonts w:eastAsiaTheme="minorHAnsi"/>
          <w:b/>
          <w:sz w:val="24"/>
          <w:szCs w:val="24"/>
          <w:lang w:bidi="ar-SA"/>
        </w:rPr>
        <w:t xml:space="preserve"> </w:t>
      </w:r>
      <w:r w:rsidRPr="00D8055B">
        <w:rPr>
          <w:rFonts w:eastAsiaTheme="minorHAnsi"/>
          <w:bCs/>
          <w:sz w:val="24"/>
          <w:szCs w:val="24"/>
          <w:lang w:bidi="ar-SA"/>
        </w:rPr>
        <w:t>Nottingham’s Core Strategy (2014) (ACS) and Land &amp; Planning Policies Document (2020) (LAPP).</w:t>
      </w:r>
    </w:p>
    <w:p w14:paraId="048F9C7F" w14:textId="77777777" w:rsidR="00550A56" w:rsidRPr="00D8055B" w:rsidRDefault="00550A56" w:rsidP="00550A56">
      <w:pPr>
        <w:rPr>
          <w:rFonts w:eastAsiaTheme="minorHAnsi"/>
          <w:b/>
          <w:color w:val="000000" w:themeColor="text1"/>
          <w:sz w:val="24"/>
          <w:szCs w:val="24"/>
          <w:lang w:bidi="ar-SA"/>
        </w:rPr>
      </w:pPr>
    </w:p>
    <w:p w14:paraId="5C04ACFC" w14:textId="07773A5B" w:rsidR="00575086" w:rsidRPr="00D8055B" w:rsidRDefault="00575086" w:rsidP="00550A56">
      <w:pPr>
        <w:rPr>
          <w:rFonts w:eastAsiaTheme="minorHAnsi"/>
          <w:bCs/>
          <w:sz w:val="24"/>
          <w:szCs w:val="24"/>
          <w:lang w:bidi="ar-SA"/>
        </w:rPr>
      </w:pPr>
      <w:r w:rsidRPr="002253DB">
        <w:rPr>
          <w:rFonts w:eastAsiaTheme="minorHAnsi"/>
          <w:b/>
          <w:color w:val="4C4C77"/>
          <w:sz w:val="24"/>
          <w:szCs w:val="24"/>
          <w:lang w:bidi="ar-SA"/>
        </w:rPr>
        <w:t>Nationally Described Space Standards (NDSS)</w:t>
      </w:r>
      <w:r w:rsidRPr="00D8055B">
        <w:rPr>
          <w:rFonts w:eastAsiaTheme="minorHAnsi"/>
          <w:bCs/>
          <w:sz w:val="24"/>
          <w:szCs w:val="24"/>
          <w:lang w:bidi="ar-SA"/>
        </w:rPr>
        <w:t>: Guidelines for the minimum size of new homes.</w:t>
      </w:r>
    </w:p>
    <w:p w14:paraId="50E8B6AB" w14:textId="77777777" w:rsidR="001F14C8" w:rsidRPr="00D8055B" w:rsidRDefault="001F14C8" w:rsidP="00575086">
      <w:pPr>
        <w:ind w:left="567" w:hanging="567"/>
        <w:rPr>
          <w:rFonts w:eastAsiaTheme="minorHAnsi"/>
          <w:bCs/>
          <w:color w:val="000000" w:themeColor="text1"/>
          <w:sz w:val="24"/>
          <w:szCs w:val="24"/>
          <w:lang w:bidi="ar-SA"/>
        </w:rPr>
      </w:pPr>
    </w:p>
    <w:p w14:paraId="4FCE8C2A" w14:textId="0439AF0E" w:rsidR="001F14C8" w:rsidRPr="00D8055B" w:rsidRDefault="001F14C8" w:rsidP="00575086">
      <w:pPr>
        <w:ind w:left="567" w:hanging="567"/>
        <w:rPr>
          <w:rFonts w:eastAsiaTheme="minorHAnsi"/>
          <w:bCs/>
          <w:sz w:val="24"/>
          <w:szCs w:val="24"/>
          <w:lang w:bidi="ar-SA"/>
        </w:rPr>
      </w:pPr>
      <w:r w:rsidRPr="002253DB">
        <w:rPr>
          <w:rFonts w:eastAsiaTheme="minorHAnsi"/>
          <w:b/>
          <w:color w:val="4C4C77"/>
          <w:sz w:val="24"/>
          <w:szCs w:val="24"/>
          <w:lang w:bidi="ar-SA"/>
        </w:rPr>
        <w:t>NPPF / NPPG</w:t>
      </w:r>
      <w:r w:rsidR="00550A56" w:rsidRPr="00D8055B">
        <w:rPr>
          <w:rFonts w:eastAsiaTheme="minorHAnsi"/>
          <w:bCs/>
          <w:sz w:val="24"/>
          <w:szCs w:val="24"/>
          <w:lang w:bidi="ar-SA"/>
        </w:rPr>
        <w:t xml:space="preserve">: </w:t>
      </w:r>
      <w:r w:rsidRPr="00D8055B">
        <w:rPr>
          <w:rFonts w:eastAsiaTheme="minorHAnsi"/>
          <w:bCs/>
          <w:sz w:val="24"/>
          <w:szCs w:val="24"/>
          <w:lang w:bidi="ar-SA"/>
        </w:rPr>
        <w:t>National Planning Policy Framework &amp; National Planning Practice Guidance.</w:t>
      </w:r>
    </w:p>
    <w:p w14:paraId="4D7E0D71" w14:textId="77777777" w:rsidR="00B23DDC" w:rsidRPr="00D8055B" w:rsidRDefault="00B23DDC" w:rsidP="00575086">
      <w:pPr>
        <w:ind w:left="567" w:hanging="567"/>
        <w:rPr>
          <w:rFonts w:eastAsiaTheme="minorHAnsi"/>
          <w:bCs/>
          <w:color w:val="000000" w:themeColor="text1"/>
          <w:sz w:val="24"/>
          <w:szCs w:val="24"/>
          <w:lang w:bidi="ar-SA"/>
        </w:rPr>
      </w:pPr>
    </w:p>
    <w:p w14:paraId="64BA65EC" w14:textId="49C7D161" w:rsidR="00F41BA3" w:rsidRDefault="00B23DDC" w:rsidP="000B48AB">
      <w:pPr>
        <w:rPr>
          <w:rFonts w:eastAsiaTheme="minorHAnsi"/>
          <w:bCs/>
          <w:sz w:val="24"/>
          <w:szCs w:val="24"/>
          <w:lang w:bidi="ar-SA"/>
        </w:rPr>
      </w:pPr>
      <w:r w:rsidRPr="002253DB">
        <w:rPr>
          <w:rFonts w:eastAsiaTheme="minorHAnsi"/>
          <w:b/>
          <w:color w:val="4C4C77"/>
          <w:sz w:val="24"/>
          <w:szCs w:val="24"/>
          <w:lang w:bidi="ar-SA"/>
        </w:rPr>
        <w:t>Private unit</w:t>
      </w:r>
      <w:r w:rsidR="000B48AB">
        <w:rPr>
          <w:rFonts w:eastAsia="Times New Roman"/>
          <w:sz w:val="24"/>
          <w:szCs w:val="24"/>
          <w:lang w:bidi="ar-SA"/>
        </w:rPr>
        <w:t xml:space="preserve">: </w:t>
      </w:r>
      <w:r w:rsidR="000B48AB" w:rsidRPr="000B48AB">
        <w:rPr>
          <w:rFonts w:eastAsia="Times New Roman"/>
          <w:sz w:val="24"/>
          <w:szCs w:val="24"/>
          <w:lang w:bidi="ar-SA"/>
        </w:rPr>
        <w:t>An individual element of residential accommodation intended for the exclusive use of a single resident or household, forming the primary private living space within a development, regardless of whether it is fully self</w:t>
      </w:r>
      <w:r w:rsidR="000B48AB" w:rsidRPr="000B48AB">
        <w:rPr>
          <w:rFonts w:ascii="Cambria Math" w:eastAsia="Times New Roman" w:hAnsi="Cambria Math" w:cs="Cambria Math"/>
          <w:sz w:val="24"/>
          <w:szCs w:val="24"/>
          <w:lang w:bidi="ar-SA"/>
        </w:rPr>
        <w:t>‑</w:t>
      </w:r>
      <w:r w:rsidR="000B48AB" w:rsidRPr="000B48AB">
        <w:rPr>
          <w:rFonts w:eastAsia="Times New Roman"/>
          <w:sz w:val="24"/>
          <w:szCs w:val="24"/>
          <w:lang w:bidi="ar-SA"/>
        </w:rPr>
        <w:t>contained.</w:t>
      </w:r>
    </w:p>
    <w:p w14:paraId="3B10DE7A" w14:textId="77777777" w:rsidR="00DB1901" w:rsidRDefault="00DB1901" w:rsidP="00F41BA3">
      <w:pPr>
        <w:rPr>
          <w:rFonts w:eastAsiaTheme="minorHAnsi"/>
          <w:bCs/>
          <w:sz w:val="24"/>
          <w:szCs w:val="24"/>
          <w:lang w:bidi="ar-SA"/>
        </w:rPr>
      </w:pPr>
    </w:p>
    <w:p w14:paraId="002E2425" w14:textId="77777777" w:rsidR="00B00E31" w:rsidRPr="00D8055B" w:rsidRDefault="00B00E31" w:rsidP="00F41BA3">
      <w:pPr>
        <w:rPr>
          <w:rFonts w:eastAsiaTheme="minorHAnsi"/>
          <w:bCs/>
          <w:sz w:val="24"/>
          <w:szCs w:val="24"/>
          <w:lang w:bidi="ar-SA"/>
        </w:rPr>
      </w:pPr>
    </w:p>
    <w:p w14:paraId="5338F108" w14:textId="77777777" w:rsidR="00051FAB" w:rsidRPr="00D8055B" w:rsidRDefault="00550A56" w:rsidP="00051FAB">
      <w:pPr>
        <w:rPr>
          <w:rFonts w:eastAsiaTheme="minorHAnsi"/>
          <w:bCs/>
          <w:sz w:val="24"/>
          <w:szCs w:val="24"/>
          <w:lang w:bidi="ar-SA"/>
        </w:rPr>
      </w:pPr>
      <w:r w:rsidRPr="002253DB">
        <w:rPr>
          <w:rFonts w:eastAsiaTheme="minorHAnsi"/>
          <w:b/>
          <w:color w:val="4C4C77"/>
          <w:sz w:val="24"/>
          <w:szCs w:val="24"/>
          <w:lang w:bidi="ar-SA"/>
        </w:rPr>
        <w:lastRenderedPageBreak/>
        <w:t>Purpose-Built Student Accommodation (</w:t>
      </w:r>
      <w:r w:rsidR="00A1003B" w:rsidRPr="002253DB">
        <w:rPr>
          <w:rFonts w:eastAsiaTheme="minorHAnsi"/>
          <w:b/>
          <w:color w:val="4C4C77"/>
          <w:sz w:val="24"/>
          <w:szCs w:val="24"/>
          <w:lang w:bidi="ar-SA"/>
        </w:rPr>
        <w:t>PBSA</w:t>
      </w:r>
      <w:r w:rsidRPr="002253DB">
        <w:rPr>
          <w:rFonts w:eastAsiaTheme="minorHAnsi"/>
          <w:b/>
          <w:color w:val="4C4C77"/>
          <w:sz w:val="24"/>
          <w:szCs w:val="24"/>
          <w:lang w:bidi="ar-SA"/>
        </w:rPr>
        <w:t>)</w:t>
      </w:r>
      <w:r w:rsidRPr="00D8055B">
        <w:rPr>
          <w:rFonts w:eastAsiaTheme="minorHAnsi"/>
          <w:bCs/>
          <w:sz w:val="24"/>
          <w:szCs w:val="24"/>
          <w:lang w:bidi="ar-SA"/>
        </w:rPr>
        <w:t>: Accommodation designed and used solely for the occupation by students</w:t>
      </w:r>
      <w:r w:rsidR="00A1003B" w:rsidRPr="00D8055B">
        <w:rPr>
          <w:rFonts w:eastAsiaTheme="minorHAnsi"/>
          <w:bCs/>
          <w:sz w:val="24"/>
          <w:szCs w:val="24"/>
          <w:lang w:bidi="ar-SA"/>
        </w:rPr>
        <w:t>.</w:t>
      </w:r>
    </w:p>
    <w:p w14:paraId="36603E0B" w14:textId="77777777" w:rsidR="00051FAB" w:rsidRPr="00D8055B" w:rsidRDefault="00051FAB" w:rsidP="00051FAB">
      <w:pPr>
        <w:rPr>
          <w:rFonts w:eastAsiaTheme="minorHAnsi"/>
          <w:bCs/>
          <w:sz w:val="24"/>
          <w:szCs w:val="24"/>
          <w:lang w:bidi="ar-SA"/>
        </w:rPr>
      </w:pPr>
    </w:p>
    <w:p w14:paraId="42D9C57A" w14:textId="77777777" w:rsidR="00051FAB" w:rsidRPr="00D8055B" w:rsidRDefault="0988AC10" w:rsidP="0081716A">
      <w:pPr>
        <w:rPr>
          <w:rFonts w:eastAsiaTheme="minorHAnsi"/>
          <w:bCs/>
          <w:sz w:val="24"/>
          <w:szCs w:val="24"/>
          <w:lang w:bidi="ar-SA"/>
        </w:rPr>
      </w:pPr>
      <w:r w:rsidRPr="002253DB">
        <w:rPr>
          <w:rFonts w:eastAsiaTheme="minorEastAsia"/>
          <w:b/>
          <w:bCs/>
          <w:color w:val="4C4C77"/>
          <w:sz w:val="24"/>
          <w:szCs w:val="24"/>
          <w:lang w:bidi="ar-SA"/>
        </w:rPr>
        <w:t>Planning Obligation</w:t>
      </w:r>
      <w:r w:rsidR="008B24D2" w:rsidRPr="002253DB">
        <w:rPr>
          <w:rFonts w:eastAsiaTheme="minorEastAsia"/>
          <w:b/>
          <w:bCs/>
          <w:color w:val="4C4C77"/>
          <w:sz w:val="24"/>
          <w:szCs w:val="24"/>
          <w:lang w:bidi="ar-SA"/>
        </w:rPr>
        <w:t xml:space="preserve"> (S106</w:t>
      </w:r>
      <w:r w:rsidR="30C91270" w:rsidRPr="002253DB">
        <w:rPr>
          <w:rFonts w:eastAsiaTheme="minorEastAsia"/>
          <w:b/>
          <w:bCs/>
          <w:color w:val="4C4C77"/>
          <w:sz w:val="24"/>
          <w:szCs w:val="24"/>
          <w:lang w:bidi="ar-SA"/>
        </w:rPr>
        <w:t>)</w:t>
      </w:r>
      <w:r w:rsidR="30C91270" w:rsidRPr="00D8055B">
        <w:rPr>
          <w:rFonts w:eastAsiaTheme="minorEastAsia"/>
          <w:sz w:val="24"/>
          <w:szCs w:val="24"/>
          <w:lang w:bidi="ar-SA"/>
        </w:rPr>
        <w:t xml:space="preserve">: </w:t>
      </w:r>
      <w:r w:rsidR="000C6EBE" w:rsidRPr="00D8055B">
        <w:rPr>
          <w:sz w:val="24"/>
          <w:szCs w:val="24"/>
        </w:rPr>
        <w:t xml:space="preserve">A legal agreement </w:t>
      </w:r>
      <w:proofErr w:type="gramStart"/>
      <w:r w:rsidR="000C6EBE" w:rsidRPr="00D8055B">
        <w:rPr>
          <w:sz w:val="24"/>
          <w:szCs w:val="24"/>
        </w:rPr>
        <w:t>entered into</w:t>
      </w:r>
      <w:proofErr w:type="gramEnd"/>
      <w:r w:rsidR="000C6EBE" w:rsidRPr="00D8055B">
        <w:rPr>
          <w:sz w:val="24"/>
          <w:szCs w:val="24"/>
        </w:rPr>
        <w:t xml:space="preserve"> under section 106 of the Town and Country Planning Act 1990 to mitigate the impacts of a development proposal.</w:t>
      </w:r>
    </w:p>
    <w:p w14:paraId="52E0614C" w14:textId="77777777" w:rsidR="00051FAB" w:rsidRPr="00D8055B" w:rsidRDefault="00051FAB" w:rsidP="0081716A">
      <w:pPr>
        <w:rPr>
          <w:rFonts w:eastAsiaTheme="minorHAnsi"/>
          <w:bCs/>
          <w:sz w:val="24"/>
          <w:szCs w:val="24"/>
          <w:lang w:bidi="ar-SA"/>
        </w:rPr>
      </w:pPr>
    </w:p>
    <w:p w14:paraId="22ACC95F" w14:textId="3779B34D" w:rsidR="00575086" w:rsidRPr="00D8055B" w:rsidRDefault="00A879C8" w:rsidP="0081716A">
      <w:pPr>
        <w:rPr>
          <w:rFonts w:eastAsiaTheme="minorHAnsi"/>
          <w:bCs/>
          <w:sz w:val="24"/>
          <w:szCs w:val="24"/>
          <w:lang w:bidi="ar-SA"/>
        </w:rPr>
      </w:pPr>
      <w:r w:rsidRPr="002253DB">
        <w:rPr>
          <w:rFonts w:eastAsiaTheme="minorHAnsi"/>
          <w:b/>
          <w:color w:val="4C4C77"/>
          <w:sz w:val="24"/>
          <w:szCs w:val="24"/>
          <w:lang w:bidi="ar-SA"/>
        </w:rPr>
        <w:t>Studio room</w:t>
      </w:r>
      <w:r w:rsidR="00550A56" w:rsidRPr="00D8055B">
        <w:rPr>
          <w:rFonts w:eastAsiaTheme="minorHAnsi"/>
          <w:bCs/>
          <w:sz w:val="24"/>
          <w:szCs w:val="24"/>
          <w:lang w:bidi="ar-SA"/>
        </w:rPr>
        <w:t xml:space="preserve">: </w:t>
      </w:r>
      <w:r w:rsidR="00DB3FDE" w:rsidRPr="00D8055B">
        <w:rPr>
          <w:rFonts w:eastAsiaTheme="minorHAnsi"/>
          <w:bCs/>
          <w:sz w:val="24"/>
          <w:szCs w:val="24"/>
          <w:lang w:bidi="ar-SA"/>
        </w:rPr>
        <w:t>A private unit occupied by one or two persons containing its own private en-suite bathroom and cooking facilities, with no sharing of kitchen or bathroom with residents from other units</w:t>
      </w:r>
      <w:r w:rsidRPr="00D8055B">
        <w:rPr>
          <w:rFonts w:eastAsiaTheme="minorHAnsi"/>
          <w:bCs/>
          <w:sz w:val="24"/>
          <w:szCs w:val="24"/>
          <w:lang w:bidi="ar-SA"/>
        </w:rPr>
        <w:t>.</w:t>
      </w:r>
    </w:p>
    <w:p w14:paraId="1DA82C9C" w14:textId="77777777" w:rsidR="0081716A" w:rsidRPr="00D8055B" w:rsidRDefault="0081716A" w:rsidP="00575086">
      <w:pPr>
        <w:ind w:left="567" w:hanging="567"/>
        <w:rPr>
          <w:rFonts w:eastAsiaTheme="minorEastAsia"/>
          <w:b/>
          <w:color w:val="000000" w:themeColor="text1"/>
          <w:sz w:val="24"/>
          <w:szCs w:val="24"/>
          <w:lang w:bidi="ar-SA"/>
        </w:rPr>
      </w:pPr>
    </w:p>
    <w:p w14:paraId="3A6D200E" w14:textId="40C2CF8C" w:rsidR="00575086" w:rsidRPr="00D8055B" w:rsidRDefault="00575086" w:rsidP="00575086">
      <w:pPr>
        <w:ind w:left="567" w:hanging="567"/>
        <w:rPr>
          <w:rFonts w:eastAsiaTheme="minorEastAsia"/>
          <w:sz w:val="24"/>
          <w:szCs w:val="24"/>
          <w:lang w:bidi="ar-SA"/>
        </w:rPr>
      </w:pPr>
      <w:r w:rsidRPr="002253DB">
        <w:rPr>
          <w:rFonts w:eastAsiaTheme="minorEastAsia"/>
          <w:b/>
          <w:color w:val="4C4C77"/>
          <w:sz w:val="24"/>
          <w:szCs w:val="24"/>
          <w:lang w:bidi="ar-SA"/>
        </w:rPr>
        <w:t>Sui Generis</w:t>
      </w:r>
      <w:r w:rsidRPr="00D8055B">
        <w:rPr>
          <w:rFonts w:eastAsiaTheme="minorEastAsia"/>
          <w:sz w:val="24"/>
          <w:szCs w:val="24"/>
          <w:lang w:bidi="ar-SA"/>
        </w:rPr>
        <w:t xml:space="preserve">: A unique use </w:t>
      </w:r>
      <w:r w:rsidR="65493AA0" w:rsidRPr="00D8055B">
        <w:rPr>
          <w:rFonts w:eastAsiaTheme="minorEastAsia"/>
          <w:sz w:val="24"/>
          <w:szCs w:val="24"/>
          <w:lang w:bidi="ar-SA"/>
        </w:rPr>
        <w:t xml:space="preserve">of </w:t>
      </w:r>
      <w:r w:rsidR="00D8055B" w:rsidRPr="00D8055B">
        <w:rPr>
          <w:rFonts w:eastAsiaTheme="minorEastAsia"/>
          <w:sz w:val="24"/>
          <w:szCs w:val="24"/>
          <w:lang w:bidi="ar-SA"/>
        </w:rPr>
        <w:t>a property</w:t>
      </w:r>
      <w:r w:rsidRPr="00D8055B">
        <w:rPr>
          <w:rFonts w:eastAsiaTheme="minorEastAsia"/>
          <w:sz w:val="24"/>
          <w:szCs w:val="24"/>
          <w:lang w:bidi="ar-SA"/>
        </w:rPr>
        <w:t xml:space="preserve"> that do</w:t>
      </w:r>
      <w:r w:rsidR="5DDDA932" w:rsidRPr="00D8055B">
        <w:rPr>
          <w:rFonts w:eastAsiaTheme="minorEastAsia"/>
          <w:sz w:val="24"/>
          <w:szCs w:val="24"/>
          <w:lang w:bidi="ar-SA"/>
        </w:rPr>
        <w:t>es</w:t>
      </w:r>
      <w:r w:rsidRPr="00D8055B">
        <w:rPr>
          <w:rFonts w:eastAsiaTheme="minorEastAsia"/>
          <w:sz w:val="24"/>
          <w:szCs w:val="24"/>
          <w:lang w:bidi="ar-SA"/>
        </w:rPr>
        <w:t xml:space="preserve"> not fall into </w:t>
      </w:r>
      <w:r w:rsidR="084C98C6" w:rsidRPr="00D8055B">
        <w:rPr>
          <w:rFonts w:eastAsiaTheme="minorEastAsia"/>
          <w:sz w:val="24"/>
          <w:szCs w:val="24"/>
          <w:lang w:bidi="ar-SA"/>
        </w:rPr>
        <w:t>a prescribed use class</w:t>
      </w:r>
      <w:r w:rsidR="00D8055B">
        <w:rPr>
          <w:rFonts w:eastAsiaTheme="minorEastAsia"/>
          <w:sz w:val="24"/>
          <w:szCs w:val="24"/>
          <w:lang w:bidi="ar-SA"/>
        </w:rPr>
        <w:t>.</w:t>
      </w:r>
      <w:r w:rsidR="084C98C6" w:rsidRPr="00D8055B">
        <w:rPr>
          <w:rFonts w:eastAsiaTheme="minorEastAsia"/>
          <w:sz w:val="24"/>
          <w:szCs w:val="24"/>
          <w:lang w:bidi="ar-SA"/>
        </w:rPr>
        <w:t xml:space="preserve"> </w:t>
      </w:r>
    </w:p>
    <w:p w14:paraId="34C95C7B" w14:textId="61CA29B2" w:rsidR="00575086" w:rsidRPr="00D8055B" w:rsidRDefault="00575086" w:rsidP="0086703B">
      <w:pPr>
        <w:spacing w:line="259" w:lineRule="auto"/>
        <w:ind w:left="567" w:hanging="567"/>
        <w:rPr>
          <w:rFonts w:eastAsiaTheme="minorEastAsia"/>
          <w:b/>
          <w:sz w:val="24"/>
          <w:szCs w:val="24"/>
          <w:lang w:bidi="ar-SA"/>
        </w:rPr>
      </w:pPr>
    </w:p>
    <w:p w14:paraId="07739121" w14:textId="7B144CC7" w:rsidR="00176767" w:rsidRPr="00D8055B" w:rsidRDefault="0081716A" w:rsidP="0081716A">
      <w:pPr>
        <w:rPr>
          <w:rFonts w:eastAsiaTheme="minorEastAsia"/>
          <w:sz w:val="24"/>
          <w:szCs w:val="24"/>
          <w:lang w:bidi="ar-SA"/>
        </w:rPr>
      </w:pPr>
      <w:r w:rsidRPr="002253DB">
        <w:rPr>
          <w:rFonts w:eastAsiaTheme="minorEastAsia"/>
          <w:b/>
          <w:color w:val="34345F"/>
          <w:sz w:val="24"/>
          <w:szCs w:val="24"/>
          <w:lang w:bidi="ar-SA"/>
        </w:rPr>
        <w:t>Town and Country Planning (Use Classes) Order 1987 (as amended)</w:t>
      </w:r>
      <w:r w:rsidR="00575086" w:rsidRPr="00D8055B">
        <w:rPr>
          <w:rFonts w:eastAsiaTheme="minorEastAsia"/>
          <w:sz w:val="24"/>
          <w:szCs w:val="24"/>
          <w:lang w:bidi="ar-SA"/>
        </w:rPr>
        <w:t>: A classification system for different types of property use in planning law.</w:t>
      </w:r>
    </w:p>
    <w:p w14:paraId="54D26D85" w14:textId="77777777" w:rsidR="00176767" w:rsidRDefault="00176767">
      <w:pPr>
        <w:rPr>
          <w:rFonts w:eastAsiaTheme="minorEastAsia"/>
          <w:sz w:val="24"/>
          <w:szCs w:val="24"/>
          <w:lang w:bidi="ar-SA"/>
        </w:rPr>
      </w:pPr>
      <w:r>
        <w:rPr>
          <w:rFonts w:eastAsiaTheme="minorEastAsia"/>
          <w:sz w:val="24"/>
          <w:szCs w:val="24"/>
          <w:lang w:bidi="ar-SA"/>
        </w:rPr>
        <w:br w:type="page"/>
      </w:r>
    </w:p>
    <w:p w14:paraId="56FDE0CA" w14:textId="1E51C0DA" w:rsidR="00FC3EAF" w:rsidRPr="000B0CDE" w:rsidRDefault="00FC3EAF" w:rsidP="00FC3EAF">
      <w:pPr>
        <w:pStyle w:val="Heading1"/>
        <w:numPr>
          <w:ilvl w:val="0"/>
          <w:numId w:val="0"/>
        </w:numPr>
        <w:ind w:left="870" w:hanging="870"/>
      </w:pPr>
      <w:bookmarkStart w:id="59" w:name="_Toc229489671"/>
      <w:r>
        <w:lastRenderedPageBreak/>
        <w:t xml:space="preserve">Appendix </w:t>
      </w:r>
      <w:r w:rsidR="005C0F22">
        <w:t>A</w:t>
      </w:r>
      <w:r>
        <w:t xml:space="preserve">: </w:t>
      </w:r>
      <w:r w:rsidRPr="00FC3EAF">
        <w:t xml:space="preserve">Evidence and </w:t>
      </w:r>
      <w:r w:rsidR="00C95B73">
        <w:t>Precedent</w:t>
      </w:r>
      <w:r>
        <w:t xml:space="preserve"> </w:t>
      </w:r>
      <w:bookmarkEnd w:id="59"/>
    </w:p>
    <w:p w14:paraId="3619DEE0" w14:textId="77777777" w:rsidR="00FC3EAF" w:rsidRDefault="00FC3EAF" w:rsidP="00FC3EAF">
      <w:pPr>
        <w:spacing w:after="160" w:line="278" w:lineRule="auto"/>
        <w:rPr>
          <w:b/>
          <w:bCs/>
        </w:rPr>
      </w:pPr>
    </w:p>
    <w:p w14:paraId="241F3056" w14:textId="367F7B88" w:rsidR="00FC3EAF" w:rsidRPr="003A0810" w:rsidRDefault="00FC3EAF" w:rsidP="00FC3EAF">
      <w:pPr>
        <w:spacing w:after="160" w:line="278" w:lineRule="auto"/>
        <w:rPr>
          <w:sz w:val="24"/>
          <w:szCs w:val="24"/>
        </w:rPr>
      </w:pPr>
      <w:r w:rsidRPr="003A0810">
        <w:rPr>
          <w:sz w:val="24"/>
          <w:szCs w:val="24"/>
        </w:rPr>
        <w:t xml:space="preserve">This annex sets out the evidence and reasoning </w:t>
      </w:r>
      <w:r w:rsidR="0002089C">
        <w:rPr>
          <w:sz w:val="24"/>
          <w:szCs w:val="24"/>
        </w:rPr>
        <w:t xml:space="preserve">that has underpinned the development of these guidelines, </w:t>
      </w:r>
      <w:r w:rsidR="00E56271" w:rsidRPr="00E56271">
        <w:rPr>
          <w:sz w:val="24"/>
          <w:szCs w:val="24"/>
        </w:rPr>
        <w:t xml:space="preserve">with </w:t>
      </w:r>
      <w:proofErr w:type="gramStart"/>
      <w:r w:rsidR="00E56271" w:rsidRPr="00E56271">
        <w:rPr>
          <w:sz w:val="24"/>
          <w:szCs w:val="24"/>
        </w:rPr>
        <w:t>particular reference</w:t>
      </w:r>
      <w:proofErr w:type="gramEnd"/>
      <w:r w:rsidR="00E56271" w:rsidRPr="00E56271">
        <w:rPr>
          <w:sz w:val="24"/>
          <w:szCs w:val="24"/>
        </w:rPr>
        <w:t xml:space="preserve"> to the recommended parameters for private unit size and internal communal amenity provision.</w:t>
      </w:r>
    </w:p>
    <w:p w14:paraId="58722E3E" w14:textId="78E06E89" w:rsidR="00FC3EAF" w:rsidRPr="003A0810" w:rsidRDefault="00C0781B" w:rsidP="00FC3EAF">
      <w:pPr>
        <w:spacing w:after="160" w:line="278" w:lineRule="auto"/>
        <w:rPr>
          <w:b/>
          <w:bCs/>
          <w:sz w:val="24"/>
          <w:szCs w:val="24"/>
        </w:rPr>
      </w:pPr>
      <w:r w:rsidRPr="003A0810">
        <w:rPr>
          <w:b/>
          <w:bCs/>
          <w:sz w:val="24"/>
          <w:szCs w:val="24"/>
        </w:rPr>
        <w:t>1</w:t>
      </w:r>
      <w:r w:rsidR="00FC3EAF" w:rsidRPr="003A0810">
        <w:rPr>
          <w:b/>
          <w:bCs/>
          <w:sz w:val="24"/>
          <w:szCs w:val="24"/>
        </w:rPr>
        <w:t>. Comparative approaches adopted by other authorities</w:t>
      </w:r>
    </w:p>
    <w:p w14:paraId="2F64F410" w14:textId="78BB4BD6" w:rsidR="00FC3EAF" w:rsidRPr="003A0810" w:rsidRDefault="0074405F" w:rsidP="00FC3EAF">
      <w:pPr>
        <w:spacing w:after="160" w:line="278" w:lineRule="auto"/>
        <w:rPr>
          <w:sz w:val="24"/>
          <w:szCs w:val="24"/>
        </w:rPr>
      </w:pPr>
      <w:r w:rsidRPr="0074405F">
        <w:rPr>
          <w:sz w:val="24"/>
          <w:szCs w:val="24"/>
        </w:rPr>
        <w:t>Review of adopted and emerging policy indicates that local authorities have generally coalesced around three broad approaches to space standards for co</w:t>
      </w:r>
      <w:r w:rsidRPr="0074405F">
        <w:rPr>
          <w:rFonts w:ascii="Cambria Math" w:hAnsi="Cambria Math" w:cs="Cambria Math"/>
          <w:sz w:val="24"/>
          <w:szCs w:val="24"/>
        </w:rPr>
        <w:t>‑</w:t>
      </w:r>
      <w:r w:rsidRPr="0074405F">
        <w:rPr>
          <w:sz w:val="24"/>
          <w:szCs w:val="24"/>
        </w:rPr>
        <w:t>living developments.</w:t>
      </w:r>
    </w:p>
    <w:p w14:paraId="3EF648F6" w14:textId="69E30764" w:rsidR="00BB22A2" w:rsidRPr="003A0810" w:rsidRDefault="00BB22A2" w:rsidP="0002776A">
      <w:pPr>
        <w:pStyle w:val="ListParagraph"/>
        <w:numPr>
          <w:ilvl w:val="1"/>
          <w:numId w:val="12"/>
        </w:numPr>
        <w:spacing w:after="160" w:line="278" w:lineRule="auto"/>
        <w:rPr>
          <w:i/>
          <w:iCs/>
          <w:sz w:val="24"/>
          <w:szCs w:val="24"/>
        </w:rPr>
      </w:pPr>
      <w:r w:rsidRPr="003A0810">
        <w:rPr>
          <w:i/>
          <w:iCs/>
          <w:sz w:val="24"/>
          <w:szCs w:val="24"/>
        </w:rPr>
        <w:t>London, Chelmsford and Watford: lower minimum private room sizes</w:t>
      </w:r>
      <w:r w:rsidR="00D019E2">
        <w:rPr>
          <w:i/>
          <w:iCs/>
          <w:sz w:val="24"/>
          <w:szCs w:val="24"/>
        </w:rPr>
        <w:t xml:space="preserve"> and indoor amenities</w:t>
      </w:r>
    </w:p>
    <w:p w14:paraId="64A961EA" w14:textId="77777777" w:rsidR="009174BE" w:rsidRPr="009174BE" w:rsidRDefault="00FC3EAF" w:rsidP="009174BE">
      <w:pPr>
        <w:spacing w:after="160" w:line="278" w:lineRule="auto"/>
        <w:rPr>
          <w:sz w:val="24"/>
          <w:szCs w:val="24"/>
        </w:rPr>
      </w:pPr>
      <w:r w:rsidRPr="003A0810">
        <w:rPr>
          <w:sz w:val="24"/>
          <w:szCs w:val="24"/>
        </w:rPr>
        <w:t xml:space="preserve">The </w:t>
      </w:r>
      <w:hyperlink r:id="rId52" w:history="1">
        <w:r w:rsidRPr="003A0810">
          <w:rPr>
            <w:rStyle w:val="Hyperlink"/>
            <w:sz w:val="24"/>
            <w:szCs w:val="24"/>
          </w:rPr>
          <w:t>London Plan</w:t>
        </w:r>
      </w:hyperlink>
      <w:r w:rsidRPr="003A0810">
        <w:rPr>
          <w:sz w:val="24"/>
          <w:szCs w:val="24"/>
        </w:rPr>
        <w:t xml:space="preserve"> </w:t>
      </w:r>
      <w:r w:rsidR="009174BE" w:rsidRPr="009174BE">
        <w:rPr>
          <w:sz w:val="24"/>
          <w:szCs w:val="24"/>
        </w:rPr>
        <w:t>permits private co</w:t>
      </w:r>
      <w:r w:rsidR="009174BE" w:rsidRPr="009174BE">
        <w:rPr>
          <w:rFonts w:ascii="Cambria Math" w:hAnsi="Cambria Math" w:cs="Cambria Math"/>
          <w:sz w:val="24"/>
          <w:szCs w:val="24"/>
        </w:rPr>
        <w:t>‑</w:t>
      </w:r>
      <w:r w:rsidR="009174BE" w:rsidRPr="009174BE">
        <w:rPr>
          <w:sz w:val="24"/>
          <w:szCs w:val="24"/>
        </w:rPr>
        <w:t>living rooms as small as 18 sqm (generally capped at 27 sqm), subject to substantial communal provision, tiered by scheme size, and location in areas of very high public transport accessibility. Communal internal amenity is expected at 4 sqm per resident for schemes up to 100 residents, reducing to 3 sqm and then 2 sqm per resident as scheme size increases. This approach is explicitly justified by exceptional land values and density pressures unique to London.</w:t>
      </w:r>
    </w:p>
    <w:p w14:paraId="1408897B" w14:textId="52ADF1C5" w:rsidR="009174BE" w:rsidRDefault="009174BE" w:rsidP="009174BE">
      <w:pPr>
        <w:spacing w:after="160" w:line="278" w:lineRule="auto"/>
        <w:rPr>
          <w:sz w:val="24"/>
          <w:szCs w:val="24"/>
        </w:rPr>
      </w:pPr>
      <w:r w:rsidRPr="009174BE">
        <w:rPr>
          <w:sz w:val="24"/>
          <w:szCs w:val="24"/>
        </w:rPr>
        <w:t xml:space="preserve">Both </w:t>
      </w:r>
      <w:hyperlink r:id="rId53" w:history="1">
        <w:r w:rsidRPr="00303EC9">
          <w:rPr>
            <w:rStyle w:val="Hyperlink"/>
            <w:sz w:val="24"/>
            <w:szCs w:val="24"/>
          </w:rPr>
          <w:t>Chelmsford</w:t>
        </w:r>
      </w:hyperlink>
      <w:r w:rsidRPr="009174BE">
        <w:rPr>
          <w:sz w:val="24"/>
          <w:szCs w:val="24"/>
        </w:rPr>
        <w:t xml:space="preserve"> and </w:t>
      </w:r>
      <w:hyperlink r:id="rId54" w:history="1">
        <w:r w:rsidRPr="00783BFA">
          <w:rPr>
            <w:rStyle w:val="Hyperlink"/>
            <w:sz w:val="24"/>
            <w:szCs w:val="24"/>
          </w:rPr>
          <w:t>Watford</w:t>
        </w:r>
      </w:hyperlink>
      <w:r w:rsidRPr="009174BE">
        <w:rPr>
          <w:sz w:val="24"/>
          <w:szCs w:val="24"/>
        </w:rPr>
        <w:t xml:space="preserve"> adopt a closely aligned approach, explicitly referencing the London Large</w:t>
      </w:r>
      <w:r w:rsidRPr="009174BE">
        <w:rPr>
          <w:rFonts w:ascii="Cambria Math" w:hAnsi="Cambria Math" w:cs="Cambria Math"/>
          <w:sz w:val="24"/>
          <w:szCs w:val="24"/>
        </w:rPr>
        <w:t>‑</w:t>
      </w:r>
      <w:r w:rsidRPr="009174BE">
        <w:rPr>
          <w:sz w:val="24"/>
          <w:szCs w:val="24"/>
        </w:rPr>
        <w:t>Scale Purpose</w:t>
      </w:r>
      <w:r w:rsidRPr="009174BE">
        <w:rPr>
          <w:rFonts w:ascii="Cambria Math" w:hAnsi="Cambria Math" w:cs="Cambria Math"/>
          <w:sz w:val="24"/>
          <w:szCs w:val="24"/>
        </w:rPr>
        <w:t>‑</w:t>
      </w:r>
      <w:r w:rsidRPr="009174BE">
        <w:rPr>
          <w:sz w:val="24"/>
          <w:szCs w:val="24"/>
        </w:rPr>
        <w:t>Built Shared Living Guidance. In these authorities, private rooms of 18–27 sqm are accepted in principle, with strong emphasis on the quantity, distribution and functionality of communal kitchens, dining areas, lounges and workspaces. In Watford, 4 sqm per resident of internal communal amenity is the stated minimum starting point, with a tiered reduction accepted for larger schemes; Chelmsford similarly relies on London benchmarks. In all cases, policy wording makes clear that 18 sqm is an absolute minimum, with smaller rooms only acceptable where communal facilities are demonstrably sufficient in practice.</w:t>
      </w:r>
    </w:p>
    <w:p w14:paraId="79268F43" w14:textId="40567086" w:rsidR="00FC3EAF" w:rsidRPr="003A0810" w:rsidRDefault="00C0781B" w:rsidP="009174BE">
      <w:pPr>
        <w:spacing w:after="160" w:line="278" w:lineRule="auto"/>
        <w:rPr>
          <w:i/>
          <w:iCs/>
          <w:sz w:val="24"/>
          <w:szCs w:val="24"/>
        </w:rPr>
      </w:pPr>
      <w:r w:rsidRPr="003A0810">
        <w:rPr>
          <w:i/>
          <w:iCs/>
          <w:sz w:val="24"/>
          <w:szCs w:val="24"/>
        </w:rPr>
        <w:t>1</w:t>
      </w:r>
      <w:r w:rsidR="00FC3EAF" w:rsidRPr="003A0810">
        <w:rPr>
          <w:i/>
          <w:iCs/>
          <w:sz w:val="24"/>
          <w:szCs w:val="24"/>
        </w:rPr>
        <w:t>.2 Leeds</w:t>
      </w:r>
      <w:r w:rsidR="00683A02">
        <w:rPr>
          <w:i/>
          <w:iCs/>
          <w:sz w:val="24"/>
          <w:szCs w:val="24"/>
        </w:rPr>
        <w:t xml:space="preserve"> and Bath</w:t>
      </w:r>
      <w:r w:rsidR="00FC3EAF" w:rsidRPr="003A0810">
        <w:rPr>
          <w:i/>
          <w:iCs/>
          <w:sz w:val="24"/>
          <w:szCs w:val="24"/>
        </w:rPr>
        <w:t>: NDSS</w:t>
      </w:r>
      <w:r w:rsidR="00FC3EAF" w:rsidRPr="003A0810">
        <w:rPr>
          <w:i/>
          <w:iCs/>
          <w:sz w:val="24"/>
          <w:szCs w:val="24"/>
        </w:rPr>
        <w:noBreakHyphen/>
        <w:t>aligned total space with flexible distribution</w:t>
      </w:r>
    </w:p>
    <w:p w14:paraId="05BCEE8E" w14:textId="46C0C6AC" w:rsidR="001D2E86" w:rsidRPr="001D2E86" w:rsidRDefault="00FC3EAF" w:rsidP="001D2E86">
      <w:pPr>
        <w:spacing w:after="160" w:line="278" w:lineRule="auto"/>
        <w:rPr>
          <w:sz w:val="24"/>
          <w:szCs w:val="24"/>
        </w:rPr>
      </w:pPr>
      <w:r w:rsidRPr="003A0810">
        <w:rPr>
          <w:sz w:val="24"/>
          <w:szCs w:val="24"/>
        </w:rPr>
        <w:t xml:space="preserve">A second approach, exemplified by </w:t>
      </w:r>
      <w:hyperlink r:id="rId55" w:history="1">
        <w:r w:rsidRPr="003A0810">
          <w:rPr>
            <w:rStyle w:val="Hyperlink"/>
            <w:sz w:val="24"/>
            <w:szCs w:val="24"/>
          </w:rPr>
          <w:t>Leeds</w:t>
        </w:r>
      </w:hyperlink>
      <w:r w:rsidR="001D2E86">
        <w:rPr>
          <w:sz w:val="24"/>
          <w:szCs w:val="24"/>
        </w:rPr>
        <w:t xml:space="preserve"> </w:t>
      </w:r>
      <w:r w:rsidR="001D2E86" w:rsidRPr="001D2E86">
        <w:rPr>
          <w:sz w:val="24"/>
          <w:szCs w:val="24"/>
        </w:rPr>
        <w:t xml:space="preserve">and </w:t>
      </w:r>
      <w:hyperlink r:id="rId56" w:history="1">
        <w:r w:rsidR="001D2E86" w:rsidRPr="004A59EE">
          <w:rPr>
            <w:rStyle w:val="Hyperlink"/>
            <w:sz w:val="24"/>
            <w:szCs w:val="24"/>
          </w:rPr>
          <w:t>Bath &amp; North East Somerset,</w:t>
        </w:r>
      </w:hyperlink>
      <w:r w:rsidR="001D2E86" w:rsidRPr="001D2E86">
        <w:rPr>
          <w:sz w:val="24"/>
          <w:szCs w:val="24"/>
        </w:rPr>
        <w:t xml:space="preserve"> retains the NDSS one</w:t>
      </w:r>
      <w:r w:rsidR="001D2E86" w:rsidRPr="001D2E86">
        <w:rPr>
          <w:rFonts w:ascii="Cambria Math" w:hAnsi="Cambria Math" w:cs="Cambria Math"/>
          <w:sz w:val="24"/>
          <w:szCs w:val="24"/>
        </w:rPr>
        <w:t>‑</w:t>
      </w:r>
      <w:r w:rsidR="001D2E86" w:rsidRPr="001D2E86">
        <w:rPr>
          <w:sz w:val="24"/>
          <w:szCs w:val="24"/>
        </w:rPr>
        <w:t>person</w:t>
      </w:r>
      <w:r w:rsidR="003269D6">
        <w:rPr>
          <w:sz w:val="24"/>
          <w:szCs w:val="24"/>
        </w:rPr>
        <w:t xml:space="preserve"> standard</w:t>
      </w:r>
      <w:r w:rsidR="001D2E86" w:rsidRPr="001D2E86">
        <w:rPr>
          <w:sz w:val="24"/>
          <w:szCs w:val="24"/>
        </w:rPr>
        <w:t xml:space="preserve"> (36–37 sqm) as a meaningful reference point, but allows this to be achieved through a combination of private </w:t>
      </w:r>
      <w:r w:rsidR="00D019E2">
        <w:rPr>
          <w:sz w:val="24"/>
          <w:szCs w:val="24"/>
        </w:rPr>
        <w:t>&amp;</w:t>
      </w:r>
      <w:r w:rsidR="001D2E86" w:rsidRPr="001D2E86">
        <w:rPr>
          <w:sz w:val="24"/>
          <w:szCs w:val="24"/>
        </w:rPr>
        <w:t xml:space="preserve"> communal space, assessed on an aggregated basis.</w:t>
      </w:r>
    </w:p>
    <w:p w14:paraId="3C186A3E" w14:textId="7426ED5D" w:rsidR="001D2E86" w:rsidRPr="001D2E86" w:rsidRDefault="001D2E86" w:rsidP="001D2E86">
      <w:pPr>
        <w:spacing w:after="160" w:line="278" w:lineRule="auto"/>
        <w:rPr>
          <w:sz w:val="24"/>
          <w:szCs w:val="24"/>
        </w:rPr>
      </w:pPr>
      <w:r w:rsidRPr="001D2E86">
        <w:rPr>
          <w:sz w:val="24"/>
          <w:szCs w:val="24"/>
        </w:rPr>
        <w:t>Under this model, private units may fall below NDSS on their own, but the combined amount of private, indoor communal and (where relevant) outdoor amenity space is expected to broadly align with NDSS</w:t>
      </w:r>
      <w:r w:rsidRPr="001D2E86">
        <w:rPr>
          <w:rFonts w:ascii="Cambria Math" w:hAnsi="Cambria Math" w:cs="Cambria Math"/>
          <w:sz w:val="24"/>
          <w:szCs w:val="24"/>
        </w:rPr>
        <w:t>‑</w:t>
      </w:r>
      <w:r w:rsidRPr="001D2E86">
        <w:rPr>
          <w:sz w:val="24"/>
          <w:szCs w:val="24"/>
        </w:rPr>
        <w:t xml:space="preserve">equivalent levels. </w:t>
      </w:r>
      <w:r w:rsidR="00387D56" w:rsidRPr="00387D56">
        <w:rPr>
          <w:sz w:val="24"/>
          <w:szCs w:val="24"/>
        </w:rPr>
        <w:t>In Leeds, the assessment does not apply separate minimum standards for private unit size and communal amenity space</w:t>
      </w:r>
      <w:r w:rsidR="00387D56">
        <w:rPr>
          <w:sz w:val="24"/>
          <w:szCs w:val="24"/>
        </w:rPr>
        <w:t xml:space="preserve">. </w:t>
      </w:r>
      <w:r w:rsidR="00260615">
        <w:rPr>
          <w:sz w:val="24"/>
          <w:szCs w:val="24"/>
        </w:rPr>
        <w:t>I</w:t>
      </w:r>
      <w:r w:rsidR="00260615" w:rsidRPr="00387D56">
        <w:rPr>
          <w:sz w:val="24"/>
          <w:szCs w:val="24"/>
        </w:rPr>
        <w:t>nstead</w:t>
      </w:r>
      <w:r w:rsidR="00387D56" w:rsidRPr="00387D56">
        <w:rPr>
          <w:sz w:val="24"/>
          <w:szCs w:val="24"/>
        </w:rPr>
        <w:t>, proposals are assessed on an aggregated basis, with the combined provision of private and internal communal space expected to broadly meet or exceed the NDSS benchmark of 36–37 sqm for a one</w:t>
      </w:r>
      <w:r w:rsidR="00387D56" w:rsidRPr="00387D56">
        <w:rPr>
          <w:rFonts w:ascii="Cambria Math" w:hAnsi="Cambria Math" w:cs="Cambria Math"/>
          <w:sz w:val="24"/>
          <w:szCs w:val="24"/>
        </w:rPr>
        <w:t>‑</w:t>
      </w:r>
      <w:r w:rsidR="00387D56" w:rsidRPr="00387D56">
        <w:rPr>
          <w:sz w:val="24"/>
          <w:szCs w:val="24"/>
        </w:rPr>
        <w:t xml:space="preserve">person dwelling, subject to the communal space being sufficiently generous, accessible and well distributed in </w:t>
      </w:r>
      <w:r w:rsidR="00735641" w:rsidRPr="00387D56">
        <w:rPr>
          <w:sz w:val="24"/>
          <w:szCs w:val="24"/>
        </w:rPr>
        <w:t>practice.</w:t>
      </w:r>
    </w:p>
    <w:p w14:paraId="0FB0B042" w14:textId="591E8267" w:rsidR="001D2E86" w:rsidRPr="001D2E86" w:rsidRDefault="001D2E86" w:rsidP="001D2E86">
      <w:pPr>
        <w:spacing w:after="160" w:line="278" w:lineRule="auto"/>
        <w:rPr>
          <w:sz w:val="24"/>
          <w:szCs w:val="24"/>
        </w:rPr>
      </w:pPr>
      <w:r w:rsidRPr="001D2E86">
        <w:rPr>
          <w:sz w:val="24"/>
          <w:szCs w:val="24"/>
        </w:rPr>
        <w:t>Bath’s position statement similarly requires that co</w:t>
      </w:r>
      <w:r w:rsidRPr="001D2E86">
        <w:rPr>
          <w:rFonts w:ascii="Cambria Math" w:hAnsi="Cambria Math" w:cs="Cambria Math"/>
          <w:sz w:val="24"/>
          <w:szCs w:val="24"/>
        </w:rPr>
        <w:t>‑</w:t>
      </w:r>
      <w:r w:rsidRPr="001D2E86">
        <w:rPr>
          <w:sz w:val="24"/>
          <w:szCs w:val="24"/>
        </w:rPr>
        <w:t xml:space="preserve">living schemes deliver an aggregated level of amenity equivalent to conventional residential </w:t>
      </w:r>
      <w:r w:rsidR="00387D56" w:rsidRPr="001D2E86">
        <w:rPr>
          <w:sz w:val="24"/>
          <w:szCs w:val="24"/>
        </w:rPr>
        <w:t>standards and</w:t>
      </w:r>
      <w:r w:rsidRPr="001D2E86">
        <w:rPr>
          <w:sz w:val="24"/>
          <w:szCs w:val="24"/>
        </w:rPr>
        <w:t xml:space="preserve"> explicitly identifies 25 sqm as a minimum private studio size for single occupancy, with exceptions permitted only where exceptional communal provision is demonstrated. This approach places significant weight on overall living conditions and avoids endorsing very small private units by default.</w:t>
      </w:r>
    </w:p>
    <w:p w14:paraId="6893B348" w14:textId="08667E64" w:rsidR="00FC3EAF" w:rsidRPr="003A0810" w:rsidRDefault="001D2E86" w:rsidP="003A0810">
      <w:pPr>
        <w:spacing w:after="160" w:line="278" w:lineRule="auto"/>
        <w:rPr>
          <w:sz w:val="24"/>
          <w:szCs w:val="24"/>
        </w:rPr>
      </w:pPr>
      <w:r w:rsidRPr="003A0810">
        <w:rPr>
          <w:rStyle w:val="BodyNormChar"/>
        </w:rPr>
        <w:lastRenderedPageBreak/>
        <w:t>Notably, this approach</w:t>
      </w:r>
      <w:r w:rsidRPr="001D2E86">
        <w:rPr>
          <w:sz w:val="24"/>
          <w:szCs w:val="24"/>
        </w:rPr>
        <w:t xml:space="preserve"> does not support private units that are materially below NDSS</w:t>
      </w:r>
      <w:r w:rsidRPr="001D2E86">
        <w:rPr>
          <w:rFonts w:ascii="Cambria Math" w:hAnsi="Cambria Math" w:cs="Cambria Math"/>
          <w:sz w:val="24"/>
          <w:szCs w:val="24"/>
        </w:rPr>
        <w:t>‑</w:t>
      </w:r>
      <w:r w:rsidRPr="001D2E86">
        <w:rPr>
          <w:sz w:val="24"/>
          <w:szCs w:val="24"/>
        </w:rPr>
        <w:t xml:space="preserve">aligned totals, nor does it assume that communal amenity invariably reduces overall space needs; instead, it treats aggregation as a mechanism for assessment rather than </w:t>
      </w:r>
      <w:proofErr w:type="gramStart"/>
      <w:r w:rsidRPr="001D2E86">
        <w:rPr>
          <w:sz w:val="24"/>
          <w:szCs w:val="24"/>
        </w:rPr>
        <w:t>justification in itself</w:t>
      </w:r>
      <w:proofErr w:type="gramEnd"/>
      <w:r w:rsidRPr="001D2E86">
        <w:rPr>
          <w:sz w:val="24"/>
          <w:szCs w:val="24"/>
        </w:rPr>
        <w:t>.</w:t>
      </w:r>
    </w:p>
    <w:p w14:paraId="09B120B9" w14:textId="6310CB2B" w:rsidR="00FC3EAF" w:rsidRPr="003A0810" w:rsidRDefault="00C0781B" w:rsidP="00FC3EAF">
      <w:pPr>
        <w:spacing w:after="160" w:line="278" w:lineRule="auto"/>
        <w:rPr>
          <w:i/>
          <w:iCs/>
          <w:sz w:val="24"/>
          <w:szCs w:val="24"/>
        </w:rPr>
      </w:pPr>
      <w:r w:rsidRPr="003A0810">
        <w:rPr>
          <w:i/>
          <w:iCs/>
          <w:sz w:val="24"/>
          <w:szCs w:val="24"/>
        </w:rPr>
        <w:t>1</w:t>
      </w:r>
      <w:r w:rsidR="00FC3EAF" w:rsidRPr="003A0810">
        <w:rPr>
          <w:i/>
          <w:iCs/>
          <w:sz w:val="24"/>
          <w:szCs w:val="24"/>
        </w:rPr>
        <w:t>.3 Birmingham and Brighton &amp; Hove: a defined minimum private unit size</w:t>
      </w:r>
    </w:p>
    <w:p w14:paraId="79FCE3A8" w14:textId="202B0431" w:rsidR="00A31A69" w:rsidRDefault="00FC3EAF" w:rsidP="00A31A69">
      <w:pPr>
        <w:spacing w:after="160" w:line="278" w:lineRule="auto"/>
        <w:rPr>
          <w:sz w:val="24"/>
          <w:szCs w:val="24"/>
        </w:rPr>
      </w:pPr>
      <w:r w:rsidRPr="003A0810">
        <w:rPr>
          <w:sz w:val="24"/>
          <w:szCs w:val="24"/>
        </w:rPr>
        <w:t xml:space="preserve">A third group of authorities, including </w:t>
      </w:r>
      <w:hyperlink r:id="rId57" w:history="1">
        <w:r w:rsidRPr="003A0810">
          <w:rPr>
            <w:rStyle w:val="Hyperlink"/>
            <w:sz w:val="24"/>
            <w:szCs w:val="24"/>
          </w:rPr>
          <w:t>Birmingham</w:t>
        </w:r>
      </w:hyperlink>
      <w:r w:rsidRPr="003A0810">
        <w:rPr>
          <w:sz w:val="24"/>
          <w:szCs w:val="24"/>
        </w:rPr>
        <w:t xml:space="preserve">, and </w:t>
      </w:r>
      <w:hyperlink r:id="rId58" w:history="1">
        <w:r w:rsidRPr="003A0810">
          <w:rPr>
            <w:rStyle w:val="Hyperlink"/>
            <w:sz w:val="24"/>
            <w:szCs w:val="24"/>
          </w:rPr>
          <w:t>Brighton &amp; Hove</w:t>
        </w:r>
      </w:hyperlink>
      <w:r w:rsidRPr="003A0810">
        <w:rPr>
          <w:sz w:val="24"/>
          <w:szCs w:val="24"/>
        </w:rPr>
        <w:t xml:space="preserve">, </w:t>
      </w:r>
      <w:r w:rsidR="003C2AEF" w:rsidRPr="003C2AEF">
        <w:rPr>
          <w:sz w:val="24"/>
          <w:szCs w:val="24"/>
        </w:rPr>
        <w:t xml:space="preserve">and </w:t>
      </w:r>
      <w:hyperlink r:id="rId59" w:history="1">
        <w:r w:rsidR="003C2AEF" w:rsidRPr="00D736B5">
          <w:rPr>
            <w:rStyle w:val="Hyperlink"/>
            <w:sz w:val="24"/>
            <w:szCs w:val="24"/>
          </w:rPr>
          <w:t>Bristol,</w:t>
        </w:r>
      </w:hyperlink>
      <w:r w:rsidR="003C2AEF" w:rsidRPr="003C2AEF">
        <w:rPr>
          <w:sz w:val="24"/>
          <w:szCs w:val="24"/>
        </w:rPr>
        <w:t xml:space="preserve"> </w:t>
      </w:r>
      <w:r w:rsidR="00A31A69" w:rsidRPr="00A31A69">
        <w:rPr>
          <w:sz w:val="24"/>
          <w:szCs w:val="24"/>
        </w:rPr>
        <w:t>adopts a more precautionary and quality</w:t>
      </w:r>
      <w:r w:rsidR="00A31A69" w:rsidRPr="00A31A69">
        <w:rPr>
          <w:rFonts w:ascii="Cambria Math" w:hAnsi="Cambria Math" w:cs="Cambria Math"/>
          <w:sz w:val="24"/>
          <w:szCs w:val="24"/>
        </w:rPr>
        <w:t>‑</w:t>
      </w:r>
      <w:r w:rsidR="00A31A69" w:rsidRPr="00A31A69">
        <w:rPr>
          <w:sz w:val="24"/>
          <w:szCs w:val="24"/>
        </w:rPr>
        <w:t>led approach, identifying a clear minimum private unit size alongside quantified expectations for communal amenity provision.</w:t>
      </w:r>
      <w:r w:rsidR="0008612C">
        <w:rPr>
          <w:sz w:val="24"/>
          <w:szCs w:val="24"/>
        </w:rPr>
        <w:t xml:space="preserve"> There </w:t>
      </w:r>
      <w:r w:rsidR="008043C1">
        <w:rPr>
          <w:sz w:val="24"/>
          <w:szCs w:val="24"/>
        </w:rPr>
        <w:t>have</w:t>
      </w:r>
      <w:r w:rsidR="0008612C">
        <w:rPr>
          <w:sz w:val="24"/>
          <w:szCs w:val="24"/>
        </w:rPr>
        <w:t xml:space="preserve"> been some differences in how this has been approached:</w:t>
      </w:r>
    </w:p>
    <w:p w14:paraId="1BA99316" w14:textId="7701DE88" w:rsidR="00604A74" w:rsidRPr="00604A74" w:rsidRDefault="00695D74" w:rsidP="0002776A">
      <w:pPr>
        <w:pStyle w:val="ListParagraph"/>
        <w:numPr>
          <w:ilvl w:val="0"/>
          <w:numId w:val="13"/>
        </w:numPr>
        <w:spacing w:after="160" w:line="278" w:lineRule="auto"/>
        <w:ind w:left="284" w:hanging="284"/>
        <w:rPr>
          <w:sz w:val="24"/>
          <w:szCs w:val="24"/>
        </w:rPr>
      </w:pPr>
      <w:r w:rsidRPr="00604A74">
        <w:rPr>
          <w:sz w:val="24"/>
          <w:szCs w:val="24"/>
        </w:rPr>
        <w:t>Birmingham</w:t>
      </w:r>
      <w:r w:rsidR="00604A74" w:rsidRPr="00604A74">
        <w:rPr>
          <w:sz w:val="24"/>
          <w:szCs w:val="24"/>
        </w:rPr>
        <w:t xml:space="preserve"> applies a 25 sqm minimum private unit size for sole</w:t>
      </w:r>
      <w:r w:rsidR="00604A74" w:rsidRPr="00604A74">
        <w:rPr>
          <w:rFonts w:ascii="Cambria Math" w:hAnsi="Cambria Math" w:cs="Cambria Math"/>
          <w:sz w:val="24"/>
          <w:szCs w:val="24"/>
        </w:rPr>
        <w:t>‑</w:t>
      </w:r>
      <w:r w:rsidR="00604A74" w:rsidRPr="00604A74">
        <w:rPr>
          <w:sz w:val="24"/>
          <w:szCs w:val="24"/>
        </w:rPr>
        <w:t>occupancy co</w:t>
      </w:r>
      <w:r w:rsidR="00604A74" w:rsidRPr="00604A74">
        <w:rPr>
          <w:rFonts w:ascii="Cambria Math" w:hAnsi="Cambria Math" w:cs="Cambria Math"/>
          <w:sz w:val="24"/>
          <w:szCs w:val="24"/>
        </w:rPr>
        <w:t>‑</w:t>
      </w:r>
      <w:r w:rsidR="00604A74" w:rsidRPr="00604A74">
        <w:rPr>
          <w:sz w:val="24"/>
          <w:szCs w:val="24"/>
        </w:rPr>
        <w:t>living accommodation, supported by quantified internal communal amenity standards (generally around 4 sqm per resident, with flexibility by scheme size), with communal kitchens and lounges expected to be generous and well distributed to avoid over</w:t>
      </w:r>
      <w:r w:rsidR="00604A74" w:rsidRPr="00604A74">
        <w:rPr>
          <w:rFonts w:ascii="Cambria Math" w:hAnsi="Cambria Math" w:cs="Cambria Math"/>
          <w:sz w:val="24"/>
          <w:szCs w:val="24"/>
        </w:rPr>
        <w:t>‑</w:t>
      </w:r>
      <w:r w:rsidR="00604A74" w:rsidRPr="00604A74">
        <w:rPr>
          <w:sz w:val="24"/>
          <w:szCs w:val="24"/>
        </w:rPr>
        <w:t xml:space="preserve">reliance on shared facilities. </w:t>
      </w:r>
    </w:p>
    <w:p w14:paraId="537C7D18" w14:textId="77777777" w:rsidR="00604A74" w:rsidRPr="00604A74" w:rsidRDefault="00604A74" w:rsidP="0002776A">
      <w:pPr>
        <w:pStyle w:val="ListParagraph"/>
        <w:numPr>
          <w:ilvl w:val="0"/>
          <w:numId w:val="13"/>
        </w:numPr>
        <w:spacing w:after="160" w:line="278" w:lineRule="auto"/>
        <w:ind w:left="284" w:hanging="284"/>
        <w:rPr>
          <w:sz w:val="24"/>
          <w:szCs w:val="24"/>
        </w:rPr>
      </w:pPr>
      <w:r w:rsidRPr="00604A74">
        <w:rPr>
          <w:sz w:val="24"/>
          <w:szCs w:val="24"/>
        </w:rPr>
        <w:t>Brighton &amp; Hove adopts a non</w:t>
      </w:r>
      <w:r w:rsidRPr="00604A74">
        <w:rPr>
          <w:rFonts w:ascii="Cambria Math" w:hAnsi="Cambria Math" w:cs="Cambria Math"/>
          <w:sz w:val="24"/>
          <w:szCs w:val="24"/>
        </w:rPr>
        <w:t>‑</w:t>
      </w:r>
      <w:r w:rsidRPr="00604A74">
        <w:rPr>
          <w:sz w:val="24"/>
          <w:szCs w:val="24"/>
        </w:rPr>
        <w:t>prescriptive, quality</w:t>
      </w:r>
      <w:r w:rsidRPr="00604A74">
        <w:rPr>
          <w:rFonts w:ascii="Cambria Math" w:hAnsi="Cambria Math" w:cs="Cambria Math"/>
          <w:sz w:val="24"/>
          <w:szCs w:val="24"/>
        </w:rPr>
        <w:t>‑</w:t>
      </w:r>
      <w:r w:rsidRPr="00604A74">
        <w:rPr>
          <w:sz w:val="24"/>
          <w:szCs w:val="24"/>
        </w:rPr>
        <w:t>led approach, assessing co</w:t>
      </w:r>
      <w:r w:rsidRPr="00604A74">
        <w:rPr>
          <w:rFonts w:ascii="Cambria Math" w:hAnsi="Cambria Math" w:cs="Cambria Math"/>
          <w:sz w:val="24"/>
          <w:szCs w:val="24"/>
        </w:rPr>
        <w:t>‑</w:t>
      </w:r>
      <w:r w:rsidRPr="00604A74">
        <w:rPr>
          <w:sz w:val="24"/>
          <w:szCs w:val="24"/>
        </w:rPr>
        <w:t>living schemes holistically rather than against fixed numerical standards; sub</w:t>
      </w:r>
      <w:r w:rsidRPr="00604A74">
        <w:rPr>
          <w:rFonts w:ascii="Cambria Math" w:hAnsi="Cambria Math" w:cs="Cambria Math"/>
          <w:sz w:val="24"/>
          <w:szCs w:val="24"/>
        </w:rPr>
        <w:t>‑</w:t>
      </w:r>
      <w:r w:rsidRPr="00604A74">
        <w:rPr>
          <w:sz w:val="24"/>
          <w:szCs w:val="24"/>
        </w:rPr>
        <w:t>NDSS private units have been accepted where the overall balance of private space, internal communal amenity, layout, daylight and management delivers acceptable living conditions, with 25 sqm functioning as a reference point rather than a formal minimum.</w:t>
      </w:r>
    </w:p>
    <w:p w14:paraId="383E7EE4" w14:textId="77777777" w:rsidR="0002089C" w:rsidRDefault="00604A74" w:rsidP="0002776A">
      <w:pPr>
        <w:pStyle w:val="ListParagraph"/>
        <w:numPr>
          <w:ilvl w:val="0"/>
          <w:numId w:val="13"/>
        </w:numPr>
        <w:spacing w:after="160" w:line="278" w:lineRule="auto"/>
        <w:ind w:left="284" w:hanging="284"/>
        <w:rPr>
          <w:sz w:val="24"/>
          <w:szCs w:val="24"/>
        </w:rPr>
      </w:pPr>
      <w:r w:rsidRPr="00604A74">
        <w:rPr>
          <w:sz w:val="24"/>
          <w:szCs w:val="24"/>
        </w:rPr>
        <w:t>Bristol sets out the clearest framework: while allowing an absolute minimum of 18 sqm, its draft SPD identifies 25 sqm as the typical private unit size needed to accommodate core domestic functions with dignity, treats smaller units as an exception requiring justification, and applies tiered internal communal amenity standards, starting at 4 sqm per resident for schemes up to 100 residents, with reductions for larger schemes alongside detailed guidance on distribution and access.</w:t>
      </w:r>
    </w:p>
    <w:p w14:paraId="5CFACF96" w14:textId="2B975A72" w:rsidR="00FC3EAF" w:rsidRPr="003A0810" w:rsidRDefault="003C70BB" w:rsidP="003A0810">
      <w:pPr>
        <w:spacing w:after="160" w:line="278" w:lineRule="auto"/>
        <w:rPr>
          <w:b/>
          <w:bCs/>
          <w:sz w:val="24"/>
          <w:szCs w:val="24"/>
        </w:rPr>
      </w:pPr>
      <w:r>
        <w:rPr>
          <w:b/>
          <w:bCs/>
          <w:sz w:val="24"/>
          <w:szCs w:val="24"/>
        </w:rPr>
        <w:t>2</w:t>
      </w:r>
      <w:r w:rsidR="00FC3EAF" w:rsidRPr="003A0810">
        <w:rPr>
          <w:b/>
          <w:bCs/>
          <w:sz w:val="24"/>
          <w:szCs w:val="24"/>
        </w:rPr>
        <w:t>. Evidence on minimum space, usability and wellbeing</w:t>
      </w:r>
    </w:p>
    <w:p w14:paraId="1CFAA5E8" w14:textId="46D60E0F" w:rsidR="00FC3EAF" w:rsidRPr="003A0810" w:rsidRDefault="002B26EF" w:rsidP="009C1A48">
      <w:pPr>
        <w:spacing w:after="160" w:line="278" w:lineRule="auto"/>
        <w:rPr>
          <w:sz w:val="24"/>
          <w:szCs w:val="24"/>
        </w:rPr>
      </w:pPr>
      <w:r>
        <w:rPr>
          <w:sz w:val="24"/>
          <w:szCs w:val="24"/>
        </w:rPr>
        <w:t>In developing these standards, we also reviewed research on space standards and co</w:t>
      </w:r>
      <w:r w:rsidR="001555BF">
        <w:rPr>
          <w:sz w:val="24"/>
          <w:szCs w:val="24"/>
        </w:rPr>
        <w:t>-</w:t>
      </w:r>
      <w:r>
        <w:rPr>
          <w:sz w:val="24"/>
          <w:szCs w:val="24"/>
        </w:rPr>
        <w:t xml:space="preserve">living, noting however a very limited number of studies on the latter. The research that </w:t>
      </w:r>
      <w:r w:rsidR="000F5C9B">
        <w:rPr>
          <w:sz w:val="24"/>
          <w:szCs w:val="24"/>
        </w:rPr>
        <w:t>exists shows that w</w:t>
      </w:r>
      <w:r w:rsidR="00FC3EAF" w:rsidRPr="003A0810">
        <w:rPr>
          <w:sz w:val="24"/>
          <w:szCs w:val="24"/>
        </w:rPr>
        <w:t>hile there is no single definitive standard for “adequate” space, a growing body of research and post</w:t>
      </w:r>
      <w:r w:rsidR="00FC3EAF" w:rsidRPr="003A0810">
        <w:rPr>
          <w:sz w:val="24"/>
          <w:szCs w:val="24"/>
        </w:rPr>
        <w:noBreakHyphen/>
        <w:t>occupancy evidence indicates that very small private dwellings are associated with poorer functional and wellbeing outcomes</w:t>
      </w:r>
      <w:r w:rsidR="00FC3EAF" w:rsidRPr="003A0810">
        <w:rPr>
          <w:rStyle w:val="FootnoteReference"/>
          <w:sz w:val="24"/>
          <w:szCs w:val="24"/>
        </w:rPr>
        <w:footnoteReference w:id="4"/>
      </w:r>
      <w:r w:rsidR="00FC3EAF" w:rsidRPr="003A0810">
        <w:rPr>
          <w:sz w:val="24"/>
          <w:szCs w:val="24"/>
        </w:rPr>
        <w:t>. Key findings from design research and housing studies support a cautious approach to very compact private units.</w:t>
      </w:r>
      <w:r w:rsidR="005F5D25">
        <w:rPr>
          <w:sz w:val="24"/>
          <w:szCs w:val="24"/>
        </w:rPr>
        <w:t xml:space="preserve"> Notably, one </w:t>
      </w:r>
      <w:r w:rsidR="005F5D25" w:rsidRPr="009C1A48">
        <w:rPr>
          <w:sz w:val="24"/>
          <w:szCs w:val="24"/>
        </w:rPr>
        <w:t xml:space="preserve">review </w:t>
      </w:r>
      <w:r w:rsidR="001A6A24" w:rsidRPr="009C1A48">
        <w:rPr>
          <w:sz w:val="24"/>
          <w:szCs w:val="24"/>
        </w:rPr>
        <w:t>article</w:t>
      </w:r>
      <w:r w:rsidR="009C1A48" w:rsidRPr="009C1A48">
        <w:rPr>
          <w:sz w:val="24"/>
          <w:szCs w:val="24"/>
        </w:rPr>
        <w:t xml:space="preserve"> (</w:t>
      </w:r>
      <w:hyperlink r:id="rId60" w:history="1">
        <w:r w:rsidR="009C1A48" w:rsidRPr="003A0810">
          <w:rPr>
            <w:rStyle w:val="Hyperlink"/>
            <w:sz w:val="24"/>
            <w:szCs w:val="24"/>
          </w:rPr>
          <w:t>Ulrich 2025</w:t>
        </w:r>
      </w:hyperlink>
      <w:r w:rsidR="009C1A48" w:rsidRPr="003A0810">
        <w:rPr>
          <w:sz w:val="24"/>
          <w:szCs w:val="24"/>
        </w:rPr>
        <w:t>)</w:t>
      </w:r>
      <w:r w:rsidR="001A6A24" w:rsidRPr="009C1A48">
        <w:rPr>
          <w:sz w:val="24"/>
          <w:szCs w:val="24"/>
        </w:rPr>
        <w:t>, argued that for 25–30 m</w:t>
      </w:r>
      <w:r w:rsidR="001A6A24" w:rsidRPr="009C1A48">
        <w:rPr>
          <w:sz w:val="24"/>
          <w:szCs w:val="24"/>
          <w:vertAlign w:val="superscript"/>
        </w:rPr>
        <w:t>2</w:t>
      </w:r>
      <w:r w:rsidR="00102298" w:rsidRPr="009C1A48">
        <w:rPr>
          <w:sz w:val="24"/>
          <w:szCs w:val="24"/>
        </w:rPr>
        <w:t xml:space="preserve"> is </w:t>
      </w:r>
      <w:r w:rsidR="009C1A48" w:rsidRPr="009C1A48">
        <w:rPr>
          <w:sz w:val="24"/>
          <w:szCs w:val="24"/>
        </w:rPr>
        <w:t>the observed thresholds for sustained occupancy</w:t>
      </w:r>
      <w:r w:rsidR="00214CEC">
        <w:rPr>
          <w:sz w:val="24"/>
          <w:szCs w:val="24"/>
        </w:rPr>
        <w:t xml:space="preserve"> for single person households. This supports the position taken in the IPG. </w:t>
      </w:r>
    </w:p>
    <w:p w14:paraId="56BB64C9" w14:textId="48907035" w:rsidR="00FC3EAF" w:rsidRPr="003A0810" w:rsidRDefault="003C70BB" w:rsidP="00FC3EAF">
      <w:pPr>
        <w:spacing w:after="160" w:line="278" w:lineRule="auto"/>
        <w:rPr>
          <w:b/>
          <w:bCs/>
          <w:sz w:val="24"/>
          <w:szCs w:val="24"/>
        </w:rPr>
      </w:pPr>
      <w:r>
        <w:rPr>
          <w:b/>
          <w:bCs/>
          <w:sz w:val="24"/>
          <w:szCs w:val="24"/>
        </w:rPr>
        <w:t>3</w:t>
      </w:r>
      <w:r w:rsidR="00FC3EAF" w:rsidRPr="003A0810">
        <w:rPr>
          <w:b/>
          <w:bCs/>
          <w:sz w:val="24"/>
          <w:szCs w:val="24"/>
        </w:rPr>
        <w:t>. Evidence from appeals</w:t>
      </w:r>
    </w:p>
    <w:p w14:paraId="6C7A775D" w14:textId="77777777" w:rsidR="004F6674" w:rsidRPr="004F6674" w:rsidRDefault="004F6674" w:rsidP="004F6674">
      <w:pPr>
        <w:pStyle w:val="BodyNorm"/>
      </w:pPr>
      <w:r w:rsidRPr="004F6674">
        <w:t>Recent appeal decisions demonstrate that Inspectors treat co</w:t>
      </w:r>
      <w:r w:rsidRPr="004F6674">
        <w:noBreakHyphen/>
        <w:t xml:space="preserve">living space standards as a </w:t>
      </w:r>
      <w:r w:rsidRPr="003A0810">
        <w:t>holistic assessment</w:t>
      </w:r>
      <w:r w:rsidRPr="004F6674">
        <w:t>, rather than a binary application of the NDSS, with outcomes turning on scheme</w:t>
      </w:r>
      <w:r w:rsidRPr="004F6674">
        <w:noBreakHyphen/>
        <w:t>specific detail.</w:t>
      </w:r>
    </w:p>
    <w:p w14:paraId="31421E1A" w14:textId="77777777" w:rsidR="004F6674" w:rsidRPr="004F6674" w:rsidRDefault="004F6674" w:rsidP="0002776A">
      <w:pPr>
        <w:pStyle w:val="BodyNorm"/>
        <w:numPr>
          <w:ilvl w:val="0"/>
          <w:numId w:val="14"/>
        </w:numPr>
      </w:pPr>
      <w:r w:rsidRPr="004F6674">
        <w:lastRenderedPageBreak/>
        <w:t xml:space="preserve">In </w:t>
      </w:r>
      <w:r w:rsidRPr="003A0810">
        <w:t>APP/Z4310/W/22/3293838 (Liverpool)</w:t>
      </w:r>
      <w:r w:rsidRPr="004F6674">
        <w:t xml:space="preserve">, a scheme of 236 studios mostly around </w:t>
      </w:r>
      <w:r w:rsidRPr="003A0810">
        <w:t>22 sqm</w:t>
      </w:r>
      <w:r w:rsidRPr="004F6674">
        <w:t xml:space="preserve"> was dismissed, as the scale and distribution of communal facilities—large kitchens serving over 40 studios on some floors, with some amenity publicly accessible or bookable—were found insufficient to mitigate the small private units, resulting in unsatisfactory living conditions.</w:t>
      </w:r>
    </w:p>
    <w:p w14:paraId="508993E6" w14:textId="16FF7F74" w:rsidR="004F6674" w:rsidRPr="004F6674" w:rsidRDefault="004F6674" w:rsidP="0002776A">
      <w:pPr>
        <w:pStyle w:val="BodyNorm"/>
        <w:numPr>
          <w:ilvl w:val="0"/>
          <w:numId w:val="14"/>
        </w:numPr>
      </w:pPr>
      <w:r w:rsidRPr="004F6674">
        <w:t xml:space="preserve">Conversely, in </w:t>
      </w:r>
      <w:r w:rsidRPr="003A0810">
        <w:t>APP/N4720/W/23/3334127</w:t>
      </w:r>
      <w:r w:rsidRPr="004F6674">
        <w:t xml:space="preserve"> and </w:t>
      </w:r>
      <w:r w:rsidRPr="003A0810">
        <w:t>APP/N4720/Y/24/3336966 (Leeds)</w:t>
      </w:r>
      <w:r w:rsidRPr="004F6674">
        <w:t xml:space="preserve">, schemes with private units below NDSS were allowed where extensive, centrally located communal spaces meant the </w:t>
      </w:r>
      <w:r w:rsidRPr="003A0810">
        <w:t>aggregated internal space exceeded NDSS</w:t>
      </w:r>
      <w:r w:rsidRPr="003A0810">
        <w:noBreakHyphen/>
        <w:t>equivalent levels</w:t>
      </w:r>
      <w:r w:rsidR="00412491">
        <w:t xml:space="preserve"> (i.e. </w:t>
      </w:r>
      <w:r w:rsidR="00BF0AC6">
        <w:t>the minimum cumulative amenity and unit sizes was 38.4 sqm</w:t>
      </w:r>
      <w:r w:rsidR="00412491">
        <w:t>)</w:t>
      </w:r>
      <w:r w:rsidRPr="004F6674">
        <w:t>, leading the Inspector to conclude that acceptable living conditions were achieved.</w:t>
      </w:r>
    </w:p>
    <w:p w14:paraId="48FBD132" w14:textId="69C8D138" w:rsidR="004F6674" w:rsidRPr="004F6674" w:rsidRDefault="004F6674" w:rsidP="0002776A">
      <w:pPr>
        <w:pStyle w:val="BodyNorm"/>
        <w:numPr>
          <w:ilvl w:val="0"/>
          <w:numId w:val="14"/>
        </w:numPr>
      </w:pPr>
      <w:r w:rsidRPr="004F6674">
        <w:t xml:space="preserve">Similarly, in </w:t>
      </w:r>
      <w:r w:rsidRPr="003A0810">
        <w:t>APP/Q1445/W/23/3321177 (Brighton &amp; Hove)</w:t>
      </w:r>
      <w:r w:rsidRPr="004F6674">
        <w:t>, sub</w:t>
      </w:r>
      <w:r w:rsidRPr="004F6674">
        <w:noBreakHyphen/>
        <w:t>NDSS studios were accepted within a large scheme due to the presence of kitchens and lounges on each floor</w:t>
      </w:r>
      <w:r w:rsidR="00052FB8">
        <w:t xml:space="preserve"> (with each shared between a small </w:t>
      </w:r>
      <w:r w:rsidR="002D20E9">
        <w:t>number of studio units)</w:t>
      </w:r>
      <w:r w:rsidRPr="004F6674">
        <w:t>, additional communal facilities and a comprehensive management regime.</w:t>
      </w:r>
    </w:p>
    <w:p w14:paraId="427A8E91" w14:textId="2F015E79" w:rsidR="00FC3EAF" w:rsidRDefault="00FC3EAF" w:rsidP="003A0810">
      <w:pPr>
        <w:pStyle w:val="BodyNorm"/>
      </w:pPr>
      <w:r w:rsidRPr="006617E5">
        <w:t xml:space="preserve">Taken together, these decisions demonstrate that Inspectors do not endorse very small private units in isolation, but assess whether the scale, quality and distribution of communal space genuinely </w:t>
      </w:r>
      <w:proofErr w:type="gramStart"/>
      <w:r w:rsidRPr="006617E5">
        <w:t>compensates</w:t>
      </w:r>
      <w:proofErr w:type="gramEnd"/>
      <w:r w:rsidRPr="006617E5">
        <w:t xml:space="preserve"> for reduced private space, with schemes failing where private units fall into the low</w:t>
      </w:r>
      <w:r w:rsidRPr="006617E5">
        <w:noBreakHyphen/>
        <w:t>20 sqm range without sufficient, accessible and well</w:t>
      </w:r>
      <w:r w:rsidRPr="006617E5">
        <w:noBreakHyphen/>
        <w:t>distributed shared amenity.</w:t>
      </w:r>
    </w:p>
    <w:p w14:paraId="72BC1B00" w14:textId="07991699" w:rsidR="00FC3EAF" w:rsidRPr="003A0810" w:rsidRDefault="003C70BB" w:rsidP="00FC3EAF">
      <w:pPr>
        <w:spacing w:after="160" w:line="278" w:lineRule="auto"/>
        <w:rPr>
          <w:b/>
          <w:bCs/>
          <w:sz w:val="24"/>
          <w:szCs w:val="24"/>
        </w:rPr>
      </w:pPr>
      <w:r>
        <w:rPr>
          <w:b/>
          <w:bCs/>
          <w:sz w:val="24"/>
          <w:szCs w:val="24"/>
        </w:rPr>
        <w:t>4</w:t>
      </w:r>
      <w:r w:rsidR="00FC3EAF" w:rsidRPr="003A0810">
        <w:rPr>
          <w:b/>
          <w:bCs/>
          <w:sz w:val="24"/>
          <w:szCs w:val="24"/>
        </w:rPr>
        <w:t>. Evidence from other schemes and design review</w:t>
      </w:r>
    </w:p>
    <w:p w14:paraId="7CE33EEB" w14:textId="03A1A3AF" w:rsidR="00521FB8" w:rsidRDefault="009E65CD" w:rsidP="00521FB8">
      <w:pPr>
        <w:pStyle w:val="BodyNorm"/>
      </w:pPr>
      <w:r w:rsidRPr="00521FB8">
        <w:t xml:space="preserve">We also reviewed precedent from </w:t>
      </w:r>
      <w:r w:rsidR="00C51799">
        <w:t>ten</w:t>
      </w:r>
      <w:r w:rsidR="0080338C" w:rsidRPr="00521FB8">
        <w:t xml:space="preserve"> </w:t>
      </w:r>
      <w:r w:rsidRPr="00521FB8">
        <w:t xml:space="preserve">other </w:t>
      </w:r>
      <w:r w:rsidR="00C17F43" w:rsidRPr="00521FB8">
        <w:t xml:space="preserve">non-London </w:t>
      </w:r>
      <w:r w:rsidRPr="00521FB8">
        <w:t>schemes</w:t>
      </w:r>
      <w:r w:rsidR="00D72967" w:rsidRPr="00521FB8">
        <w:rPr>
          <w:rStyle w:val="FootnoteReference"/>
        </w:rPr>
        <w:footnoteReference w:id="5"/>
      </w:r>
      <w:r w:rsidRPr="00521FB8">
        <w:t xml:space="preserve">, </w:t>
      </w:r>
      <w:r w:rsidR="00521FB8" w:rsidRPr="00521FB8">
        <w:t xml:space="preserve">including both completed developments and schemes with planning permission. This analysis highlighted the limitations of relying on </w:t>
      </w:r>
      <w:r w:rsidR="00521FB8" w:rsidRPr="003A0810">
        <w:t>average unit sizes</w:t>
      </w:r>
      <w:r w:rsidR="00521FB8" w:rsidRPr="00521FB8">
        <w:t>, instead reinforcing the importance of minimum unit sizes in determining day</w:t>
      </w:r>
      <w:r w:rsidR="00521FB8" w:rsidRPr="00521FB8">
        <w:noBreakHyphen/>
        <w:t>to</w:t>
      </w:r>
      <w:r w:rsidR="00521FB8" w:rsidRPr="00521FB8">
        <w:noBreakHyphen/>
        <w:t xml:space="preserve">day living conditions. Minimum unit sizes ranged from </w:t>
      </w:r>
      <w:r w:rsidR="00521FB8" w:rsidRPr="003A0810">
        <w:t>17 sqm to 29.5 sqm</w:t>
      </w:r>
      <w:r w:rsidR="00521FB8" w:rsidRPr="00521FB8">
        <w:t xml:space="preserve">, with average internal amenity provision between </w:t>
      </w:r>
      <w:r w:rsidR="00521FB8" w:rsidRPr="0023332E">
        <w:t>1.7 sqm and 8.1 sqm per bed</w:t>
      </w:r>
      <w:r w:rsidR="00521FB8" w:rsidRPr="00521FB8">
        <w:t xml:space="preserve">, reflecting the emerging and varied nature of the typology. While this variation limits the value of identifying a single benchmark, the review provided important reassurance on </w:t>
      </w:r>
      <w:r w:rsidR="00521FB8" w:rsidRPr="0023332E">
        <w:t>deliverability</w:t>
      </w:r>
      <w:r w:rsidR="00521FB8" w:rsidRPr="00521FB8">
        <w:t>, demonstrating that the standards proposed in this IPG are achievable in practice.</w:t>
      </w:r>
    </w:p>
    <w:p w14:paraId="17944492" w14:textId="7EA63F78" w:rsidR="006D25E0" w:rsidRPr="00521FB8" w:rsidRDefault="006D25E0" w:rsidP="00521FB8">
      <w:pPr>
        <w:pStyle w:val="BodyNorm"/>
      </w:pPr>
      <w:r>
        <w:t xml:space="preserve">As shown in </w:t>
      </w:r>
      <w:r w:rsidRPr="0023332E">
        <w:rPr>
          <w:b/>
          <w:bCs/>
        </w:rPr>
        <w:t>Appendix B</w:t>
      </w:r>
      <w:r>
        <w:t>, we explo</w:t>
      </w:r>
      <w:r w:rsidR="00976F39">
        <w:t xml:space="preserve">red this through design of a demonstration studio that meet the recommended space requirements. This also provide assurance that the recommended approach </w:t>
      </w:r>
      <w:r w:rsidR="009A4162">
        <w:t>is</w:t>
      </w:r>
      <w:r w:rsidR="00976F39">
        <w:t xml:space="preserve"> technically deliverable. </w:t>
      </w:r>
    </w:p>
    <w:p w14:paraId="05C66520" w14:textId="34F1ADC4" w:rsidR="00FC3EAF" w:rsidRPr="00521FB8" w:rsidRDefault="009E65CD" w:rsidP="00521FB8">
      <w:pPr>
        <w:pStyle w:val="BodyNorm"/>
        <w:rPr>
          <w:b/>
          <w:bCs/>
        </w:rPr>
      </w:pPr>
      <w:r>
        <w:rPr>
          <w:b/>
          <w:bCs/>
        </w:rPr>
        <w:t>5</w:t>
      </w:r>
      <w:r w:rsidR="00FC3EAF" w:rsidRPr="00521FB8">
        <w:rPr>
          <w:b/>
          <w:bCs/>
        </w:rPr>
        <w:t xml:space="preserve">. </w:t>
      </w:r>
      <w:r w:rsidR="003C70BB">
        <w:rPr>
          <w:b/>
          <w:bCs/>
        </w:rPr>
        <w:t>Commentary</w:t>
      </w:r>
    </w:p>
    <w:p w14:paraId="6648C98B" w14:textId="02C30B86" w:rsidR="00E21E6B" w:rsidRDefault="00E21E6B" w:rsidP="00E21E6B">
      <w:pPr>
        <w:pStyle w:val="BodyNorm"/>
      </w:pPr>
      <w:r w:rsidRPr="00E21E6B">
        <w:t xml:space="preserve">Taken together, the evidence reviewed in Sections 1 to 4 demonstrates a clear national trajectory towards </w:t>
      </w:r>
      <w:r w:rsidRPr="0023332E">
        <w:t>greater definition and precaution</w:t>
      </w:r>
      <w:r w:rsidRPr="00E21E6B">
        <w:t xml:space="preserve"> in co</w:t>
      </w:r>
      <w:r w:rsidRPr="00E21E6B">
        <w:noBreakHyphen/>
        <w:t>living space standards, particularly outside London. While the London</w:t>
      </w:r>
      <w:r w:rsidRPr="00E21E6B">
        <w:noBreakHyphen/>
        <w:t>derived approach is well</w:t>
      </w:r>
      <w:r w:rsidRPr="00E21E6B">
        <w:noBreakHyphen/>
        <w:t xml:space="preserve">established, it is underpinned by </w:t>
      </w:r>
      <w:r w:rsidRPr="0023332E">
        <w:t>exceptional metropolitan conditions</w:t>
      </w:r>
      <w:r w:rsidRPr="00E21E6B">
        <w:t xml:space="preserve">—including </w:t>
      </w:r>
      <w:r w:rsidR="00B20C75">
        <w:t>severe</w:t>
      </w:r>
      <w:r w:rsidR="005D29C9">
        <w:t xml:space="preserve"> housing affordability pressures</w:t>
      </w:r>
      <w:r w:rsidR="00D20ED7">
        <w:t>, a more common culture of housing sharing,</w:t>
      </w:r>
      <w:r w:rsidR="005D29C9">
        <w:t xml:space="preserve"> and a </w:t>
      </w:r>
      <w:r w:rsidR="00D20ED7">
        <w:t>denser</w:t>
      </w:r>
      <w:r w:rsidR="005D29C9">
        <w:t xml:space="preserve"> urban context </w:t>
      </w:r>
      <w:r w:rsidRPr="00E21E6B">
        <w:t>—that are not directly comparable to the Nottingham context. For this reason, both London policy and London</w:t>
      </w:r>
      <w:r w:rsidRPr="00E21E6B">
        <w:noBreakHyphen/>
        <w:t>centric precedent are afforded limited weight in informing these guidelines.</w:t>
      </w:r>
    </w:p>
    <w:p w14:paraId="610A2B91" w14:textId="77777777" w:rsidR="00D20ED7" w:rsidRPr="00E21E6B" w:rsidRDefault="00D20ED7" w:rsidP="00E21E6B">
      <w:pPr>
        <w:pStyle w:val="BodyNorm"/>
      </w:pPr>
    </w:p>
    <w:p w14:paraId="1168BA9B" w14:textId="0A3433BC" w:rsidR="00E21E6B" w:rsidRPr="00E21E6B" w:rsidRDefault="00E21E6B" w:rsidP="00E21E6B">
      <w:pPr>
        <w:pStyle w:val="BodyNorm"/>
      </w:pPr>
      <w:r w:rsidRPr="00E21E6B">
        <w:t xml:space="preserve">The second, </w:t>
      </w:r>
      <w:r w:rsidRPr="0023332E">
        <w:t>NDSS</w:t>
      </w:r>
      <w:r w:rsidRPr="0023332E">
        <w:noBreakHyphen/>
        <w:t>aligned aggregated approach</w:t>
      </w:r>
      <w:r w:rsidRPr="00E21E6B">
        <w:t xml:space="preserve"> used in Leeds and Bath usefully frames co</w:t>
      </w:r>
      <w:r w:rsidRPr="00E21E6B">
        <w:noBreakHyphen/>
        <w:t xml:space="preserve">living as a holistic balance between private and communal provision and accords with Inspector reasoning that space standards should not be applied mechanistically. </w:t>
      </w:r>
      <w:r w:rsidR="00DA7F3F" w:rsidRPr="00DA7F3F">
        <w:t>However, this approach fails to reflect the principle that shared accommodation requires less space per occupant, resulting in housing requirements that are broadly equivalent to NDSS one</w:t>
      </w:r>
      <w:r w:rsidR="00DA7F3F" w:rsidRPr="00DA7F3F">
        <w:rPr>
          <w:rFonts w:ascii="Cambria Math" w:hAnsi="Cambria Math" w:cs="Cambria Math"/>
        </w:rPr>
        <w:t>‑</w:t>
      </w:r>
      <w:r w:rsidR="00DA7F3F" w:rsidRPr="00DA7F3F">
        <w:t>bed units despite fundamental differences in housing typology.</w:t>
      </w:r>
    </w:p>
    <w:p w14:paraId="79CB8F5E" w14:textId="4BA32C55" w:rsidR="00E21E6B" w:rsidRPr="00E21E6B" w:rsidRDefault="00E21E6B" w:rsidP="00E21E6B">
      <w:pPr>
        <w:pStyle w:val="BodyNorm"/>
      </w:pPr>
      <w:r w:rsidRPr="00E21E6B">
        <w:t xml:space="preserve">By contrast, the </w:t>
      </w:r>
      <w:r w:rsidRPr="0023332E">
        <w:t>defined minimum private unit size approach</w:t>
      </w:r>
      <w:r w:rsidRPr="00E21E6B">
        <w:t xml:space="preserve"> adopted by Birmingham, Brighton &amp; Hove and Bristol is most closely aligned with the full body of evidence. This approach reflects research on space, usability and wellbeing which consistently indicates that very small private dwellings are associated with poorer functional and wellbeing outcomes, even where shared amenity is provided. It also mirrors Inspector conclusions which do not endorse very small private units in </w:t>
      </w:r>
      <w:proofErr w:type="gramStart"/>
      <w:r w:rsidRPr="00E21E6B">
        <w:t>isolation, but</w:t>
      </w:r>
      <w:proofErr w:type="gramEnd"/>
      <w:r w:rsidRPr="00E21E6B">
        <w:t xml:space="preserve"> instead assess whether communal provision genuinely enhances living conditions rather than compensating for inadequate private space.</w:t>
      </w:r>
    </w:p>
    <w:p w14:paraId="1147F8CB" w14:textId="2204DE42" w:rsidR="00E21E6B" w:rsidRPr="00E21E6B" w:rsidRDefault="00E21E6B" w:rsidP="00E21E6B">
      <w:pPr>
        <w:pStyle w:val="BodyNorm"/>
      </w:pPr>
      <w:r w:rsidRPr="00E21E6B">
        <w:t xml:space="preserve">The review of </w:t>
      </w:r>
      <w:r w:rsidRPr="0023332E">
        <w:t>other non</w:t>
      </w:r>
      <w:r w:rsidRPr="0023332E">
        <w:noBreakHyphen/>
        <w:t>London schemes</w:t>
      </w:r>
      <w:r w:rsidRPr="00E21E6B">
        <w:t xml:space="preserve"> further reinforces this position. While the wide variation observed across precedent schemes reflects the emerging nature of the typology, it provides important reassurance on </w:t>
      </w:r>
      <w:r w:rsidRPr="0023332E">
        <w:t>deliverability</w:t>
      </w:r>
      <w:r w:rsidRPr="00E21E6B">
        <w:t xml:space="preserve">, demonstrating that schemes meeting higher minimum private unit expectations alongside defined communal provision have been successfully delivered or approved in </w:t>
      </w:r>
      <w:r w:rsidRPr="0023332E">
        <w:t>cities with comparable characteristics to Nottingham</w:t>
      </w:r>
      <w:r w:rsidRPr="00E21E6B">
        <w:t>, notably Sheffield</w:t>
      </w:r>
      <w:r w:rsidR="00712190">
        <w:t>, Birmingham</w:t>
      </w:r>
      <w:r w:rsidRPr="00E21E6B">
        <w:t xml:space="preserve"> and Leeds.</w:t>
      </w:r>
    </w:p>
    <w:p w14:paraId="1120501A" w14:textId="1765855E" w:rsidR="00E21E6B" w:rsidRDefault="00E21E6B" w:rsidP="00E21E6B">
      <w:pPr>
        <w:pStyle w:val="BodyNorm"/>
      </w:pPr>
      <w:proofErr w:type="gramStart"/>
      <w:r w:rsidRPr="00E21E6B">
        <w:t>In light of</w:t>
      </w:r>
      <w:proofErr w:type="gramEnd"/>
      <w:r w:rsidRPr="00E21E6B">
        <w:t xml:space="preserve"> this evidence, Nottingham City Council considers the </w:t>
      </w:r>
      <w:r w:rsidRPr="0023332E">
        <w:t>Birmingham</w:t>
      </w:r>
      <w:r w:rsidRPr="0023332E">
        <w:noBreakHyphen/>
        <w:t>style model</w:t>
      </w:r>
      <w:r w:rsidRPr="00E21E6B">
        <w:t>—establishing a clear minimum private unit size alongside proportionate and quantified communal amenity requirements—to be the most appropriate and robust</w:t>
      </w:r>
      <w:r w:rsidR="00042CE3">
        <w:t xml:space="preserve"> comparable</w:t>
      </w:r>
      <w:r w:rsidRPr="00E21E6B">
        <w:t xml:space="preserve"> basis for</w:t>
      </w:r>
      <w:r w:rsidR="00042CE3">
        <w:t xml:space="preserve"> this</w:t>
      </w:r>
      <w:r w:rsidRPr="00E21E6B">
        <w:t xml:space="preserve"> guidance. This approach ensures that residents can meet the essential requirements of day</w:t>
      </w:r>
      <w:r w:rsidRPr="00E21E6B">
        <w:noBreakHyphen/>
        <w:t>to</w:t>
      </w:r>
      <w:r w:rsidRPr="00E21E6B">
        <w:noBreakHyphen/>
        <w:t xml:space="preserve">day domestic life within their private units, even where communal spaces are used intermittently, while allowing communal amenity to </w:t>
      </w:r>
      <w:r w:rsidRPr="0023332E">
        <w:t>enhance quality, sociability and resilience</w:t>
      </w:r>
      <w:r w:rsidRPr="00E21E6B">
        <w:t xml:space="preserve"> in a manner that is consistent with appeal precedent, research evidence, and demonstrably achievable in practice.</w:t>
      </w:r>
      <w:r w:rsidR="00D019E2">
        <w:t xml:space="preserve"> </w:t>
      </w:r>
    </w:p>
    <w:p w14:paraId="4748E182" w14:textId="02E344CB" w:rsidR="00855FBB" w:rsidRPr="00E21E6B" w:rsidRDefault="00855FBB" w:rsidP="00E21E6B">
      <w:pPr>
        <w:pStyle w:val="BodyNorm"/>
      </w:pPr>
      <w:r>
        <w:t xml:space="preserve">However, some elements of the London approach have been drawn upon, </w:t>
      </w:r>
      <w:proofErr w:type="gramStart"/>
      <w:r>
        <w:t>in particular in</w:t>
      </w:r>
      <w:proofErr w:type="gramEnd"/>
      <w:r>
        <w:t xml:space="preserve"> relation to the tiering of </w:t>
      </w:r>
      <w:r w:rsidR="0033522D">
        <w:t>indoor communal</w:t>
      </w:r>
      <w:r w:rsidR="00C636A3">
        <w:t xml:space="preserve"> amenity space.</w:t>
      </w:r>
      <w:r w:rsidR="00907FBF">
        <w:t xml:space="preserve"> This </w:t>
      </w:r>
      <w:r w:rsidR="003845D6">
        <w:t xml:space="preserve">recognises that </w:t>
      </w:r>
      <w:r w:rsidR="003845D6" w:rsidRPr="003845D6">
        <w:t>larger developments can share facilities more efficiently, meaning a slightly lower amount of space per resident can still provide a good overall level of amenity.</w:t>
      </w:r>
      <w:r w:rsidR="00C636A3">
        <w:t xml:space="preserve"> </w:t>
      </w:r>
      <w:r w:rsidR="0033522D">
        <w:t xml:space="preserve"> </w:t>
      </w:r>
    </w:p>
    <w:p w14:paraId="1FE3FE2F" w14:textId="77777777" w:rsidR="004D7E4E" w:rsidRPr="00051D86" w:rsidRDefault="004D7E4E" w:rsidP="0023332E">
      <w:pPr>
        <w:pStyle w:val="BodyNorm"/>
      </w:pPr>
    </w:p>
    <w:p w14:paraId="439F87AF" w14:textId="77777777" w:rsidR="00FC3EAF" w:rsidRDefault="00FC3EAF">
      <w:pPr>
        <w:rPr>
          <w:rFonts w:eastAsia="HelveticaNeueLTStd-Roman"/>
          <w:color w:val="4F5252"/>
          <w:spacing w:val="-9"/>
          <w:sz w:val="40"/>
          <w:szCs w:val="40"/>
        </w:rPr>
      </w:pPr>
      <w:r>
        <w:br w:type="page"/>
      </w:r>
    </w:p>
    <w:p w14:paraId="27C071A4" w14:textId="11B85F71" w:rsidR="00176767" w:rsidRPr="000B0CDE" w:rsidRDefault="00176767" w:rsidP="00176767">
      <w:pPr>
        <w:pStyle w:val="Heading1"/>
        <w:numPr>
          <w:ilvl w:val="0"/>
          <w:numId w:val="0"/>
        </w:numPr>
        <w:ind w:left="870" w:hanging="870"/>
      </w:pPr>
      <w:bookmarkStart w:id="60" w:name="_Toc229489672"/>
      <w:r>
        <w:lastRenderedPageBreak/>
        <w:t xml:space="preserve">Appendix </w:t>
      </w:r>
      <w:r w:rsidR="00FC3EAF">
        <w:t>B</w:t>
      </w:r>
      <w:r>
        <w:t>: Illustrative Designs</w:t>
      </w:r>
      <w:bookmarkEnd w:id="60"/>
    </w:p>
    <w:p w14:paraId="2DE66743" w14:textId="77777777" w:rsidR="00575086" w:rsidRDefault="00575086" w:rsidP="0081716A">
      <w:pPr>
        <w:rPr>
          <w:rFonts w:eastAsiaTheme="minorEastAsia"/>
          <w:sz w:val="24"/>
          <w:szCs w:val="24"/>
          <w:lang w:bidi="ar-SA"/>
        </w:rPr>
      </w:pPr>
    </w:p>
    <w:p w14:paraId="44EBA819" w14:textId="508CBC35" w:rsidR="00381EA4" w:rsidRPr="002253DB" w:rsidRDefault="00214BAA" w:rsidP="00381EA4">
      <w:pPr>
        <w:rPr>
          <w:rFonts w:eastAsiaTheme="minorEastAsia"/>
          <w:color w:val="0D0D0D" w:themeColor="text1" w:themeTint="F2"/>
          <w:sz w:val="24"/>
          <w:szCs w:val="24"/>
          <w:lang w:bidi="ar-SA"/>
        </w:rPr>
      </w:pPr>
      <w:r>
        <w:rPr>
          <w:rFonts w:eastAsiaTheme="minorEastAsia"/>
          <w:sz w:val="24"/>
          <w:szCs w:val="24"/>
          <w:lang w:bidi="ar-SA"/>
        </w:rPr>
        <w:t>The</w:t>
      </w:r>
      <w:r w:rsidR="00381EA4" w:rsidRPr="00381EA4">
        <w:rPr>
          <w:rFonts w:eastAsiaTheme="minorEastAsia"/>
          <w:sz w:val="24"/>
          <w:szCs w:val="24"/>
          <w:lang w:bidi="ar-SA"/>
        </w:rPr>
        <w:t xml:space="preserve"> illustrative layouts show </w:t>
      </w:r>
      <w:r>
        <w:rPr>
          <w:rFonts w:eastAsiaTheme="minorEastAsia"/>
          <w:sz w:val="24"/>
          <w:szCs w:val="24"/>
          <w:lang w:bidi="ar-SA"/>
        </w:rPr>
        <w:t>on the next page s</w:t>
      </w:r>
      <w:r w:rsidR="00381EA4" w:rsidRPr="00381EA4">
        <w:rPr>
          <w:rFonts w:eastAsiaTheme="minorEastAsia"/>
          <w:sz w:val="24"/>
          <w:szCs w:val="24"/>
          <w:lang w:bidi="ar-SA"/>
        </w:rPr>
        <w:t>how compact minimum 25 m² studios can function effectively when well designed. They should, however, be read together with the full guidance, which sets out additional requirements relating to:</w:t>
      </w:r>
    </w:p>
    <w:p w14:paraId="3D7AF760" w14:textId="77777777" w:rsidR="00D316AA" w:rsidRPr="00381EA4" w:rsidRDefault="00D316AA" w:rsidP="00381EA4">
      <w:pPr>
        <w:rPr>
          <w:rFonts w:eastAsiaTheme="minorEastAsia"/>
          <w:sz w:val="24"/>
          <w:szCs w:val="24"/>
          <w:lang w:bidi="ar-SA"/>
        </w:rPr>
      </w:pPr>
    </w:p>
    <w:p w14:paraId="1F9CACB0" w14:textId="346CB6D2" w:rsidR="00381EA4" w:rsidRPr="00381EA4" w:rsidRDefault="00381EA4" w:rsidP="0002776A">
      <w:pPr>
        <w:numPr>
          <w:ilvl w:val="0"/>
          <w:numId w:val="9"/>
        </w:numPr>
        <w:rPr>
          <w:rFonts w:eastAsiaTheme="minorEastAsia"/>
          <w:sz w:val="24"/>
          <w:szCs w:val="24"/>
          <w:lang w:bidi="ar-SA"/>
        </w:rPr>
      </w:pPr>
      <w:r w:rsidRPr="00381EA4">
        <w:rPr>
          <w:rFonts w:eastAsiaTheme="minorEastAsia"/>
          <w:b/>
          <w:bCs/>
          <w:sz w:val="24"/>
          <w:szCs w:val="24"/>
          <w:lang w:bidi="ar-SA"/>
        </w:rPr>
        <w:t>Aggregated amenity space</w:t>
      </w:r>
      <w:r w:rsidRPr="00381EA4">
        <w:rPr>
          <w:rFonts w:eastAsiaTheme="minorEastAsia"/>
          <w:sz w:val="24"/>
          <w:szCs w:val="24"/>
          <w:lang w:bidi="ar-SA"/>
        </w:rPr>
        <w:t xml:space="preserve"> (including minimum total amenity per unit and indoor communal space averages)</w:t>
      </w:r>
      <w:r w:rsidR="00BE0D73">
        <w:rPr>
          <w:rFonts w:eastAsiaTheme="minorEastAsia"/>
          <w:sz w:val="24"/>
          <w:szCs w:val="24"/>
          <w:lang w:bidi="ar-SA"/>
        </w:rPr>
        <w:t>,</w:t>
      </w:r>
      <w:r w:rsidRPr="00381EA4">
        <w:rPr>
          <w:rFonts w:eastAsiaTheme="minorEastAsia"/>
          <w:sz w:val="24"/>
          <w:szCs w:val="24"/>
          <w:lang w:bidi="ar-SA"/>
        </w:rPr>
        <w:t xml:space="preserve"> </w:t>
      </w:r>
    </w:p>
    <w:p w14:paraId="58999B1A" w14:textId="49AE6843" w:rsidR="00381EA4" w:rsidRPr="00381EA4" w:rsidRDefault="00381EA4" w:rsidP="0002776A">
      <w:pPr>
        <w:numPr>
          <w:ilvl w:val="0"/>
          <w:numId w:val="9"/>
        </w:numPr>
        <w:rPr>
          <w:rFonts w:eastAsiaTheme="minorEastAsia"/>
          <w:sz w:val="24"/>
          <w:szCs w:val="24"/>
          <w:lang w:bidi="ar-SA"/>
        </w:rPr>
      </w:pPr>
      <w:r w:rsidRPr="00381EA4">
        <w:rPr>
          <w:rFonts w:eastAsiaTheme="minorEastAsia"/>
          <w:b/>
          <w:bCs/>
          <w:sz w:val="24"/>
          <w:szCs w:val="24"/>
          <w:lang w:bidi="ar-SA"/>
        </w:rPr>
        <w:t>Unit mix expectations</w:t>
      </w:r>
      <w:r w:rsidRPr="00381EA4">
        <w:rPr>
          <w:rFonts w:eastAsiaTheme="minorEastAsia"/>
          <w:sz w:val="24"/>
          <w:szCs w:val="24"/>
          <w:lang w:bidi="ar-SA"/>
        </w:rPr>
        <w:t>, including the need for a balanced mix of studios and cluster flats</w:t>
      </w:r>
      <w:r w:rsidR="00BE0D73">
        <w:rPr>
          <w:rFonts w:eastAsiaTheme="minorEastAsia"/>
          <w:sz w:val="24"/>
          <w:szCs w:val="24"/>
          <w:lang w:bidi="ar-SA"/>
        </w:rPr>
        <w:t>,</w:t>
      </w:r>
      <w:r w:rsidRPr="00381EA4">
        <w:rPr>
          <w:rFonts w:eastAsiaTheme="minorEastAsia"/>
          <w:sz w:val="24"/>
          <w:szCs w:val="24"/>
          <w:lang w:bidi="ar-SA"/>
        </w:rPr>
        <w:t xml:space="preserve"> </w:t>
      </w:r>
    </w:p>
    <w:p w14:paraId="17E01302" w14:textId="42E2A13D" w:rsidR="00381EA4" w:rsidRPr="00381EA4" w:rsidRDefault="00381EA4" w:rsidP="0002776A">
      <w:pPr>
        <w:numPr>
          <w:ilvl w:val="0"/>
          <w:numId w:val="9"/>
        </w:numPr>
        <w:rPr>
          <w:rFonts w:eastAsiaTheme="minorEastAsia"/>
          <w:sz w:val="24"/>
          <w:szCs w:val="24"/>
          <w:lang w:bidi="ar-SA"/>
        </w:rPr>
      </w:pPr>
      <w:r w:rsidRPr="00381EA4">
        <w:rPr>
          <w:rFonts w:eastAsiaTheme="minorEastAsia"/>
          <w:b/>
          <w:bCs/>
          <w:sz w:val="24"/>
          <w:szCs w:val="24"/>
          <w:lang w:bidi="ar-SA"/>
        </w:rPr>
        <w:t>Accessible unit standards</w:t>
      </w:r>
      <w:r w:rsidRPr="00381EA4">
        <w:rPr>
          <w:rFonts w:eastAsiaTheme="minorEastAsia"/>
          <w:sz w:val="24"/>
          <w:szCs w:val="24"/>
          <w:lang w:bidi="ar-SA"/>
        </w:rPr>
        <w:t>, which require larger footprints and compliance with Part M</w:t>
      </w:r>
      <w:r w:rsidR="00BE0D73">
        <w:rPr>
          <w:rFonts w:eastAsiaTheme="minorEastAsia"/>
          <w:sz w:val="24"/>
          <w:szCs w:val="24"/>
          <w:lang w:bidi="ar-SA"/>
        </w:rPr>
        <w:t>,</w:t>
      </w:r>
      <w:r w:rsidRPr="00381EA4">
        <w:rPr>
          <w:rFonts w:eastAsiaTheme="minorEastAsia"/>
          <w:sz w:val="24"/>
          <w:szCs w:val="24"/>
          <w:lang w:bidi="ar-SA"/>
        </w:rPr>
        <w:t xml:space="preserve"> </w:t>
      </w:r>
    </w:p>
    <w:p w14:paraId="0A45F00C" w14:textId="3534CFBD" w:rsidR="00381EA4" w:rsidRDefault="00381EA4" w:rsidP="0002776A">
      <w:pPr>
        <w:numPr>
          <w:ilvl w:val="0"/>
          <w:numId w:val="9"/>
        </w:numPr>
        <w:rPr>
          <w:rFonts w:eastAsiaTheme="minorEastAsia"/>
          <w:sz w:val="24"/>
          <w:szCs w:val="24"/>
          <w:lang w:bidi="ar-SA"/>
        </w:rPr>
      </w:pPr>
      <w:r w:rsidRPr="00381EA4">
        <w:rPr>
          <w:rFonts w:eastAsiaTheme="minorEastAsia"/>
          <w:b/>
          <w:bCs/>
          <w:sz w:val="24"/>
          <w:szCs w:val="24"/>
          <w:lang w:bidi="ar-SA"/>
        </w:rPr>
        <w:t>Communal space distribution</w:t>
      </w:r>
      <w:r w:rsidRPr="00381EA4">
        <w:rPr>
          <w:rFonts w:eastAsiaTheme="minorEastAsia"/>
          <w:sz w:val="24"/>
          <w:szCs w:val="24"/>
          <w:lang w:bidi="ar-SA"/>
        </w:rPr>
        <w:t>, including cluster</w:t>
      </w:r>
      <w:r w:rsidRPr="00381EA4">
        <w:rPr>
          <w:rFonts w:eastAsiaTheme="minorEastAsia"/>
          <w:sz w:val="24"/>
          <w:szCs w:val="24"/>
          <w:lang w:bidi="ar-SA"/>
        </w:rPr>
        <w:noBreakHyphen/>
        <w:t>level lounges and other shared facilities that support smaller private units</w:t>
      </w:r>
      <w:r w:rsidR="00650982">
        <w:rPr>
          <w:rFonts w:eastAsiaTheme="minorEastAsia"/>
          <w:sz w:val="24"/>
          <w:szCs w:val="24"/>
          <w:lang w:bidi="ar-SA"/>
        </w:rPr>
        <w:t>.</w:t>
      </w:r>
    </w:p>
    <w:p w14:paraId="33AC0BA4" w14:textId="464482EE" w:rsidR="00893CFC" w:rsidRDefault="00893CFC">
      <w:pPr>
        <w:rPr>
          <w:rFonts w:eastAsiaTheme="minorEastAsia"/>
          <w:sz w:val="24"/>
          <w:szCs w:val="24"/>
          <w:lang w:bidi="ar-SA"/>
        </w:rPr>
      </w:pPr>
      <w:r>
        <w:rPr>
          <w:rFonts w:eastAsiaTheme="minorEastAsia"/>
          <w:sz w:val="24"/>
          <w:szCs w:val="24"/>
          <w:lang w:bidi="ar-SA"/>
        </w:rPr>
        <w:br w:type="page"/>
      </w:r>
    </w:p>
    <w:p w14:paraId="71BD3B40" w14:textId="77777777" w:rsidR="00893CFC" w:rsidRDefault="00893CFC" w:rsidP="0081716A">
      <w:pPr>
        <w:rPr>
          <w:rFonts w:eastAsiaTheme="minorEastAsia"/>
          <w:sz w:val="24"/>
          <w:szCs w:val="24"/>
          <w:lang w:bidi="ar-SA"/>
        </w:rPr>
        <w:sectPr w:rsidR="00893CFC" w:rsidSect="00420EA3">
          <w:headerReference w:type="default" r:id="rId61"/>
          <w:footerReference w:type="default" r:id="rId62"/>
          <w:pgSz w:w="11910" w:h="16840"/>
          <w:pgMar w:top="851" w:right="570" w:bottom="620" w:left="1020" w:header="1346" w:footer="424" w:gutter="0"/>
          <w:cols w:space="720"/>
          <w:docGrid w:linePitch="299"/>
        </w:sectPr>
      </w:pPr>
    </w:p>
    <w:p w14:paraId="135C90A6" w14:textId="4D5FB396" w:rsidR="00575086" w:rsidRPr="002253DB" w:rsidRDefault="00D316AA" w:rsidP="00214BAA">
      <w:pPr>
        <w:jc w:val="center"/>
        <w:rPr>
          <w:rFonts w:eastAsiaTheme="minorEastAsia"/>
          <w:sz w:val="24"/>
          <w:szCs w:val="24"/>
          <w:lang w:bidi="ar-SA"/>
        </w:rPr>
      </w:pPr>
      <w:r>
        <w:rPr>
          <w:noProof/>
        </w:rPr>
        <w:lastRenderedPageBreak/>
        <mc:AlternateContent>
          <mc:Choice Requires="wps">
            <w:drawing>
              <wp:anchor distT="45720" distB="45720" distL="114300" distR="114300" simplePos="0" relativeHeight="251658246" behindDoc="0" locked="0" layoutInCell="1" allowOverlap="1" wp14:anchorId="5FB9E141" wp14:editId="47913514">
                <wp:simplePos x="0" y="0"/>
                <wp:positionH relativeFrom="column">
                  <wp:posOffset>367030</wp:posOffset>
                </wp:positionH>
                <wp:positionV relativeFrom="paragraph">
                  <wp:posOffset>-481330</wp:posOffset>
                </wp:positionV>
                <wp:extent cx="2360930" cy="1404620"/>
                <wp:effectExtent l="0" t="0" r="2032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3C0816F" w14:textId="6DDE9C17" w:rsidR="00D316AA" w:rsidRPr="006C478C" w:rsidRDefault="00D316AA">
                            <w:pPr>
                              <w:rPr>
                                <w:b/>
                                <w:bCs/>
                                <w:color w:val="7F7FAA"/>
                                <w:sz w:val="32"/>
                                <w:szCs w:val="32"/>
                              </w:rPr>
                            </w:pPr>
                            <w:r w:rsidRPr="006C478C">
                              <w:rPr>
                                <w:b/>
                                <w:bCs/>
                                <w:color w:val="7F7FAA"/>
                                <w:sz w:val="32"/>
                                <w:szCs w:val="32"/>
                              </w:rPr>
                              <w:t>Illustrative Designs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FB9E141" id="_x0000_s1031" type="#_x0000_t202" style="position:absolute;left:0;text-align:left;margin-left:28.9pt;margin-top:-37.9pt;width:185.9pt;height:110.6pt;z-index:25165824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" strokecolor="white [3212]">
                <v:textbox style="mso-fit-shape-to-text:t">
                  <w:txbxContent>
                    <w:p w14:paraId="13C0816F" w14:textId="6DDE9C17" w:rsidR="00D316AA" w:rsidRPr="006C478C" w:rsidRDefault="00D316AA">
                      <w:pPr>
                        <w:rPr>
                          <w:b/>
                          <w:bCs/>
                          <w:color w:val="7F7FAA"/>
                          <w:sz w:val="32"/>
                          <w:szCs w:val="32"/>
                        </w:rPr>
                      </w:pPr>
                      <w:r w:rsidRPr="006C478C">
                        <w:rPr>
                          <w:b/>
                          <w:bCs/>
                          <w:color w:val="7F7FAA"/>
                          <w:sz w:val="32"/>
                          <w:szCs w:val="32"/>
                        </w:rPr>
                        <w:t>Illustrative Designs</w:t>
                      </w:r>
                    </w:p>
                  </w:txbxContent>
                </v:textbox>
              </v:shape>
            </w:pict>
          </mc:Fallback>
        </mc:AlternateContent>
      </w:r>
      <w:r w:rsidR="00893CFC">
        <w:rPr>
          <w:noProof/>
        </w:rPr>
        <w:drawing>
          <wp:inline distT="0" distB="0" distL="0" distR="0" wp14:anchorId="5F215CB8" wp14:editId="4677ED6F">
            <wp:extent cx="9235586" cy="6311900"/>
            <wp:effectExtent l="0" t="0" r="3810" b="0"/>
            <wp:docPr id="943955825" name="Picture 1" descr="Technical diagram displaying design guidelines and layout for compact private units, including floor plan, section view, and zoning recommendations. Key elements include labeled dimensions in millimeters, critical design parameters for room depth and daylight access, and community amenity space criteria, with clear annotations on natural light, ventilation, and room fun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55825" name="Picture 1" descr="Technical diagram displaying design guidelines and layout for compact private units, including floor plan, section view, and zoning recommendations. Key elements include labeled dimensions in millimeters, critical design parameters for room depth and daylight access, and community amenity space criteria, with clear annotations on natural light, ventilation, and room functionality."/>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a:fillRect/>
                    </a:stretch>
                  </pic:blipFill>
                  <pic:spPr bwMode="auto">
                    <a:xfrm>
                      <a:off x="0" y="0"/>
                      <a:ext cx="9279589" cy="6341973"/>
                    </a:xfrm>
                    <a:prstGeom prst="rect">
                      <a:avLst/>
                    </a:prstGeom>
                    <a:noFill/>
                    <a:ln>
                      <a:noFill/>
                    </a:ln>
                    <a:extLst>
                      <a:ext uri="{53640926-AAD7-44D8-BBD7-CCE9431645EC}">
                        <a14:shadowObscured xmlns:a14="http://schemas.microsoft.com/office/drawing/2010/main"/>
                      </a:ext>
                    </a:extLst>
                  </pic:spPr>
                </pic:pic>
              </a:graphicData>
            </a:graphic>
          </wp:inline>
        </w:drawing>
      </w:r>
    </w:p>
    <w:sectPr w:rsidR="00575086" w:rsidRPr="002253DB" w:rsidSect="00893CFC">
      <w:pgSz w:w="16840" w:h="11910" w:orient="landscape"/>
      <w:pgMar w:top="284" w:right="851" w:bottom="879" w:left="618" w:header="1344" w:footer="42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0D8910" w14:textId="77777777" w:rsidR="005C6B34" w:rsidRDefault="005C6B34">
      <w:r>
        <w:separator/>
      </w:r>
    </w:p>
  </w:endnote>
  <w:endnote w:type="continuationSeparator" w:id="0">
    <w:p w14:paraId="2CEB8885" w14:textId="77777777" w:rsidR="005C6B34" w:rsidRDefault="005C6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Std-Roman">
    <w:altName w:val="Times New Roman"/>
    <w:charset w:val="00"/>
    <w:family w:val="roman"/>
    <w:pitch w:val="variable"/>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kzidenzGrotesk">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Helvetica Neue">
    <w:altName w:val="Arial"/>
    <w:charset w:val="00"/>
    <w:family w:val="swiss"/>
    <w:pitch w:val="variable"/>
  </w:font>
  <w:font w:name="MS Mincho">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77109" w14:textId="72D64D4E" w:rsidR="005C4808" w:rsidRDefault="005C4808" w:rsidP="00BB29EC">
    <w:pPr>
      <w:pStyle w:val="Footer"/>
      <w:jc w:val="right"/>
    </w:pPr>
  </w:p>
  <w:p w14:paraId="47D7F0CE" w14:textId="0E5E4D8D" w:rsidR="005C4808" w:rsidRDefault="005C4808">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9131809"/>
      <w:docPartObj>
        <w:docPartGallery w:val="Page Numbers (Bottom of Page)"/>
        <w:docPartUnique/>
      </w:docPartObj>
    </w:sdtPr>
    <w:sdtContent>
      <w:p w14:paraId="7832D08D" w14:textId="6648FC43" w:rsidR="009241D5" w:rsidRDefault="009241D5">
        <w:pPr>
          <w:pStyle w:val="Footer"/>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E2DFD" w14:textId="77777777" w:rsidR="005C4808" w:rsidRDefault="005C480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C2A620" w14:textId="77777777" w:rsidR="005C6B34" w:rsidRDefault="005C6B34">
      <w:r>
        <w:separator/>
      </w:r>
    </w:p>
  </w:footnote>
  <w:footnote w:type="continuationSeparator" w:id="0">
    <w:p w14:paraId="194A2A37" w14:textId="77777777" w:rsidR="005C6B34" w:rsidRDefault="005C6B34">
      <w:r>
        <w:continuationSeparator/>
      </w:r>
    </w:p>
  </w:footnote>
  <w:footnote w:id="1">
    <w:p w14:paraId="3380B358" w14:textId="20911B3A" w:rsidR="00E049F8" w:rsidRPr="00D01AA2" w:rsidRDefault="00E049F8">
      <w:pPr>
        <w:pStyle w:val="FootnoteText"/>
        <w:rPr>
          <w:lang w:val="en-GB"/>
        </w:rPr>
      </w:pPr>
      <w:r>
        <w:rPr>
          <w:rStyle w:val="FootnoteReference"/>
        </w:rPr>
        <w:footnoteRef/>
      </w:r>
      <w:r>
        <w:t xml:space="preserve"> </w:t>
      </w:r>
      <w:r>
        <w:rPr>
          <w:lang w:val="en-GB"/>
        </w:rPr>
        <w:t>See paragraph 54</w:t>
      </w:r>
      <w:r w:rsidR="00810C83">
        <w:rPr>
          <w:lang w:val="en-GB"/>
        </w:rPr>
        <w:t xml:space="preserve"> of </w:t>
      </w:r>
      <w:hyperlink r:id="rId1" w:anchor="para54" w:tgtFrame="_blank" w:history="1">
        <w:r w:rsidR="00810C83" w:rsidRPr="00810C83">
          <w:rPr>
            <w:rStyle w:val="Hyperlink"/>
            <w:i/>
            <w:iCs/>
            <w:lang w:val="en-GB" w:bidi="en-GB"/>
          </w:rPr>
          <w:t>London Borough of Brent v Secretary of State for Levelling Up, Housing and Communities &amp; Anor</w:t>
        </w:r>
      </w:hyperlink>
      <w:r w:rsidR="00810C83">
        <w:rPr>
          <w:lang w:val="en-GB"/>
        </w:rPr>
        <w:t xml:space="preserve">. </w:t>
      </w:r>
      <w:r w:rsidR="00810C83" w:rsidRPr="00810C83">
        <w:rPr>
          <w:lang w:val="en-GB" w:bidi="en-GB"/>
        </w:rPr>
        <w:t> </w:t>
      </w:r>
    </w:p>
  </w:footnote>
  <w:footnote w:id="2">
    <w:p w14:paraId="5E2B97AA" w14:textId="7EB425D2" w:rsidR="004E378A" w:rsidRPr="001306DD" w:rsidRDefault="004E378A">
      <w:pPr>
        <w:pStyle w:val="FootnoteText"/>
        <w:rPr>
          <w:lang w:val="en-GB"/>
        </w:rPr>
      </w:pPr>
      <w:r>
        <w:rPr>
          <w:rStyle w:val="FootnoteReference"/>
        </w:rPr>
        <w:footnoteRef/>
      </w:r>
      <w:r>
        <w:t xml:space="preserve"> </w:t>
      </w:r>
      <w:r w:rsidR="00BE61D3" w:rsidRPr="00BE61D3">
        <w:rPr>
          <w:lang w:bidi="en-GB"/>
        </w:rPr>
        <w:t>Greater Nottingham and Ashfield Housing Needs Update Final Re</w:t>
      </w:r>
      <w:r w:rsidR="00436EE9">
        <w:rPr>
          <w:lang w:bidi="en-GB"/>
        </w:rPr>
        <w:t xml:space="preserve">port </w:t>
      </w:r>
      <w:r w:rsidR="00436EE9">
        <w:t xml:space="preserve">Iceni Projects Limited on behalf of The Greater Nottingham Planning Partnership March 2024 </w:t>
      </w:r>
    </w:p>
  </w:footnote>
  <w:footnote w:id="3">
    <w:p w14:paraId="63A3D951" w14:textId="0CAAF92A" w:rsidR="00101164" w:rsidRPr="00D01AA2" w:rsidRDefault="00101164">
      <w:pPr>
        <w:pStyle w:val="FootnoteText"/>
        <w:rPr>
          <w:lang w:val="en-GB"/>
        </w:rPr>
      </w:pPr>
      <w:r>
        <w:rPr>
          <w:rStyle w:val="FootnoteReference"/>
        </w:rPr>
        <w:footnoteRef/>
      </w:r>
      <w:r>
        <w:t xml:space="preserve"> </w:t>
      </w:r>
      <w:r w:rsidR="008A2D9C">
        <w:rPr>
          <w:lang w:val="en-GB"/>
        </w:rPr>
        <w:t xml:space="preserve">Census 2021: </w:t>
      </w:r>
      <w:r w:rsidR="008A2D9C" w:rsidRPr="008A2D9C">
        <w:rPr>
          <w:lang w:val="en-GB"/>
        </w:rPr>
        <w:t>RM057 (Household composition by age)</w:t>
      </w:r>
    </w:p>
  </w:footnote>
  <w:footnote w:id="4">
    <w:p w14:paraId="7D13645A" w14:textId="0AD69F14" w:rsidR="00FC3EAF" w:rsidRPr="0094643C" w:rsidRDefault="00FC3EAF" w:rsidP="00FC3EAF">
      <w:pPr>
        <w:pStyle w:val="FootnoteText"/>
        <w:rPr>
          <w:rFonts w:cs="Arial"/>
        </w:rPr>
      </w:pPr>
      <w:r w:rsidRPr="0094643C">
        <w:rPr>
          <w:rStyle w:val="FootnoteReference"/>
          <w:rFonts w:eastAsia="Arial" w:cs="Arial"/>
        </w:rPr>
        <w:footnoteRef/>
      </w:r>
      <w:r w:rsidRPr="0094643C">
        <w:rPr>
          <w:rFonts w:cs="Arial"/>
        </w:rPr>
        <w:t xml:space="preserve"> </w:t>
      </w:r>
      <w:r w:rsidRPr="003A0810">
        <w:rPr>
          <w:rFonts w:cs="Arial"/>
          <w:sz w:val="18"/>
          <w:szCs w:val="18"/>
        </w:rPr>
        <w:t xml:space="preserve">For an overview of this research – see </w:t>
      </w:r>
      <w:hyperlink r:id="rId2" w:history="1">
        <w:r w:rsidRPr="003A0810">
          <w:rPr>
            <w:rStyle w:val="Hyperlink"/>
            <w:rFonts w:cs="Arial"/>
            <w:sz w:val="18"/>
            <w:szCs w:val="18"/>
          </w:rPr>
          <w:t>Kearns 2021</w:t>
        </w:r>
      </w:hyperlink>
      <w:r w:rsidRPr="003A0810">
        <w:rPr>
          <w:rFonts w:cs="Arial"/>
          <w:sz w:val="18"/>
          <w:szCs w:val="18"/>
        </w:rPr>
        <w:t xml:space="preserve"> for a broad overview of </w:t>
      </w:r>
      <w:r w:rsidR="00BE7CB5">
        <w:rPr>
          <w:rFonts w:cs="Arial"/>
          <w:sz w:val="18"/>
          <w:szCs w:val="18"/>
        </w:rPr>
        <w:t xml:space="preserve">housing </w:t>
      </w:r>
      <w:r w:rsidR="00BE7CB5" w:rsidRPr="00BE7CB5">
        <w:rPr>
          <w:rFonts w:cs="Arial"/>
          <w:sz w:val="18"/>
          <w:szCs w:val="18"/>
        </w:rPr>
        <w:t>space and occupancy standards in</w:t>
      </w:r>
      <w:r w:rsidRPr="003A0810">
        <w:rPr>
          <w:rFonts w:cs="Arial"/>
          <w:sz w:val="18"/>
          <w:szCs w:val="18"/>
        </w:rPr>
        <w:t xml:space="preserve"> </w:t>
      </w:r>
      <w:r w:rsidR="00BE7CB5">
        <w:rPr>
          <w:rFonts w:cs="Arial"/>
          <w:sz w:val="18"/>
          <w:szCs w:val="18"/>
        </w:rPr>
        <w:t>the UK</w:t>
      </w:r>
      <w:r w:rsidR="0053045D">
        <w:rPr>
          <w:rFonts w:cs="Arial"/>
          <w:sz w:val="18"/>
          <w:szCs w:val="18"/>
        </w:rPr>
        <w:t>. S</w:t>
      </w:r>
      <w:r w:rsidRPr="003A0810">
        <w:rPr>
          <w:rFonts w:cs="Arial"/>
          <w:sz w:val="18"/>
          <w:szCs w:val="18"/>
        </w:rPr>
        <w:t xml:space="preserve">imilarly research on permitted development rights before NDSS requirements, and the impact of lack of space, is also relevant – see 4.3.1and 5.1 in </w:t>
      </w:r>
      <w:hyperlink r:id="rId3" w:history="1">
        <w:r w:rsidRPr="003A0810">
          <w:rPr>
            <w:rStyle w:val="Hyperlink"/>
            <w:rFonts w:cs="Arial"/>
            <w:sz w:val="18"/>
            <w:szCs w:val="18"/>
          </w:rPr>
          <w:t>Pieno et al 2024</w:t>
        </w:r>
      </w:hyperlink>
      <w:r w:rsidRPr="003A0810">
        <w:rPr>
          <w:rFonts w:cs="Arial"/>
          <w:sz w:val="18"/>
          <w:szCs w:val="18"/>
        </w:rPr>
        <w:t xml:space="preserve">. For a more broad international overview, see </w:t>
      </w:r>
      <w:hyperlink r:id="rId4" w:history="1">
        <w:r w:rsidRPr="003A0810">
          <w:rPr>
            <w:rStyle w:val="Hyperlink"/>
            <w:rFonts w:cs="Arial"/>
            <w:sz w:val="18"/>
            <w:szCs w:val="18"/>
          </w:rPr>
          <w:t>Ulrich 2025</w:t>
        </w:r>
      </w:hyperlink>
      <w:r w:rsidR="00633934" w:rsidRPr="003A0810">
        <w:rPr>
          <w:rFonts w:cs="Arial"/>
          <w:sz w:val="18"/>
          <w:szCs w:val="18"/>
        </w:rPr>
        <w:t>. For examples of research on co</w:t>
      </w:r>
      <w:r w:rsidR="001555BF">
        <w:rPr>
          <w:rFonts w:cs="Arial"/>
          <w:sz w:val="18"/>
          <w:szCs w:val="18"/>
        </w:rPr>
        <w:t>-</w:t>
      </w:r>
      <w:r w:rsidR="00633934" w:rsidRPr="003A0810">
        <w:rPr>
          <w:rFonts w:cs="Arial"/>
          <w:sz w:val="18"/>
          <w:szCs w:val="18"/>
        </w:rPr>
        <w:t>living</w:t>
      </w:r>
      <w:r w:rsidR="00DB1B4C" w:rsidRPr="003A0810">
        <w:rPr>
          <w:rFonts w:cs="Arial"/>
          <w:sz w:val="18"/>
          <w:szCs w:val="18"/>
        </w:rPr>
        <w:t xml:space="preserve"> in England</w:t>
      </w:r>
      <w:r w:rsidR="00633934" w:rsidRPr="003A0810">
        <w:rPr>
          <w:rFonts w:cs="Arial"/>
          <w:sz w:val="18"/>
          <w:szCs w:val="18"/>
        </w:rPr>
        <w:t xml:space="preserve"> – see for example </w:t>
      </w:r>
      <w:hyperlink r:id="rId5" w:history="1">
        <w:r w:rsidR="00DB1B4C" w:rsidRPr="003A0810">
          <w:rPr>
            <w:rStyle w:val="Hyperlink"/>
            <w:rFonts w:cs="Arial"/>
            <w:sz w:val="18"/>
            <w:szCs w:val="18"/>
          </w:rPr>
          <w:t>Corfe 2019</w:t>
        </w:r>
      </w:hyperlink>
      <w:r w:rsidR="00DB1B4C" w:rsidRPr="003A0810">
        <w:rPr>
          <w:rFonts w:cs="Arial"/>
          <w:sz w:val="18"/>
          <w:szCs w:val="18"/>
        </w:rPr>
        <w:t>. There also exists a number of descriptive market reports of co</w:t>
      </w:r>
      <w:r w:rsidR="001555BF">
        <w:rPr>
          <w:rFonts w:cs="Arial"/>
          <w:sz w:val="18"/>
          <w:szCs w:val="18"/>
        </w:rPr>
        <w:t>-</w:t>
      </w:r>
      <w:r w:rsidR="00DB1B4C" w:rsidRPr="003A0810">
        <w:rPr>
          <w:rFonts w:cs="Arial"/>
          <w:sz w:val="18"/>
          <w:szCs w:val="18"/>
        </w:rPr>
        <w:t xml:space="preserve">living in England, however these tend to mostly be an overview of what is </w:t>
      </w:r>
      <w:r w:rsidR="00D726D1" w:rsidRPr="003A0810">
        <w:rPr>
          <w:rFonts w:cs="Arial"/>
          <w:sz w:val="18"/>
          <w:szCs w:val="18"/>
        </w:rPr>
        <w:t xml:space="preserve">occurring – see for example the </w:t>
      </w:r>
      <w:hyperlink r:id="rId6" w:history="1">
        <w:r w:rsidR="00D726D1" w:rsidRPr="003A0810">
          <w:rPr>
            <w:rStyle w:val="Hyperlink"/>
            <w:rFonts w:cs="Arial"/>
            <w:sz w:val="18"/>
            <w:szCs w:val="18"/>
          </w:rPr>
          <w:t>Knight Frank</w:t>
        </w:r>
        <w:r w:rsidR="0096500A" w:rsidRPr="003A0810">
          <w:rPr>
            <w:rStyle w:val="Hyperlink"/>
            <w:rFonts w:cs="Arial"/>
            <w:sz w:val="18"/>
            <w:szCs w:val="18"/>
          </w:rPr>
          <w:t xml:space="preserve"> 2024 coliving report,</w:t>
        </w:r>
      </w:hyperlink>
      <w:r w:rsidR="0096500A" w:rsidRPr="003A0810">
        <w:rPr>
          <w:rFonts w:cs="Arial"/>
          <w:sz w:val="18"/>
          <w:szCs w:val="18"/>
        </w:rPr>
        <w:t xml:space="preserve"> and </w:t>
      </w:r>
      <w:hyperlink r:id="rId7" w:history="1">
        <w:r w:rsidR="00A83F74" w:rsidRPr="003A0810">
          <w:rPr>
            <w:rStyle w:val="Hyperlink"/>
            <w:rFonts w:cs="Arial"/>
            <w:sz w:val="18"/>
            <w:szCs w:val="18"/>
          </w:rPr>
          <w:t>Lichfield’</w:t>
        </w:r>
      </w:hyperlink>
      <w:r w:rsidR="00A83F74" w:rsidRPr="003A0810">
        <w:rPr>
          <w:rFonts w:cs="Arial"/>
          <w:sz w:val="18"/>
          <w:szCs w:val="18"/>
        </w:rPr>
        <w:t xml:space="preserve">s reporting on this – </w:t>
      </w:r>
      <w:r w:rsidR="00DB1B4C" w:rsidRPr="003A0810">
        <w:rPr>
          <w:rFonts w:cs="Arial"/>
          <w:sz w:val="18"/>
          <w:szCs w:val="18"/>
        </w:rPr>
        <w:t xml:space="preserve"> not research into what is </w:t>
      </w:r>
      <w:r w:rsidR="00D726D1" w:rsidRPr="003A0810">
        <w:rPr>
          <w:rFonts w:cs="Arial"/>
          <w:sz w:val="18"/>
          <w:szCs w:val="18"/>
        </w:rPr>
        <w:t xml:space="preserve">appropriate in terms of standards and policy. </w:t>
      </w:r>
    </w:p>
  </w:footnote>
  <w:footnote w:id="5">
    <w:p w14:paraId="159734E6" w14:textId="7FB2CEB1" w:rsidR="00D72967" w:rsidRPr="0023332E" w:rsidRDefault="00D72967">
      <w:pPr>
        <w:pStyle w:val="FootnoteText"/>
        <w:rPr>
          <w:lang w:val="en-GB"/>
        </w:rPr>
      </w:pPr>
      <w:r>
        <w:rPr>
          <w:rStyle w:val="FootnoteReference"/>
        </w:rPr>
        <w:footnoteRef/>
      </w:r>
      <w:r>
        <w:t xml:space="preserve"> </w:t>
      </w:r>
      <w:r>
        <w:rPr>
          <w:lang w:val="en-GB"/>
        </w:rPr>
        <w:t xml:space="preserve">The schemes reviewed were </w:t>
      </w:r>
      <w:r w:rsidR="00276BAB" w:rsidRPr="00276BAB">
        <w:rPr>
          <w:lang w:val="en-GB"/>
        </w:rPr>
        <w:t>Queens Road (Nottingham), Hive</w:t>
      </w:r>
      <w:r w:rsidR="00276BAB" w:rsidRPr="00276BAB">
        <w:rPr>
          <w:rFonts w:ascii="Cambria Math" w:hAnsi="Cambria Math" w:cs="Cambria Math"/>
          <w:lang w:val="en-GB"/>
        </w:rPr>
        <w:t>‑</w:t>
      </w:r>
      <w:r w:rsidR="00276BAB" w:rsidRPr="00276BAB">
        <w:rPr>
          <w:lang w:val="en-GB"/>
        </w:rPr>
        <w:t>Central (Sheffield), Headrow House (Leeds), Zinc Works (Bristol), Oppidan Life (Manchester), Union (Manchester), Scotland Street (Sheffield),</w:t>
      </w:r>
      <w:r w:rsidR="00C51799">
        <w:rPr>
          <w:lang w:val="en-GB"/>
        </w:rPr>
        <w:t xml:space="preserve"> Enterprise</w:t>
      </w:r>
      <w:r w:rsidR="007B7C6A">
        <w:rPr>
          <w:lang w:val="en-GB"/>
        </w:rPr>
        <w:t xml:space="preserve"> Point (</w:t>
      </w:r>
      <w:r w:rsidR="00BD69C9">
        <w:rPr>
          <w:lang w:val="en-GB"/>
        </w:rPr>
        <w:t>Brighton</w:t>
      </w:r>
      <w:r w:rsidR="00F61535">
        <w:rPr>
          <w:lang w:val="en-GB"/>
        </w:rPr>
        <w:t>), and</w:t>
      </w:r>
      <w:r w:rsidR="008E5ED2">
        <w:rPr>
          <w:lang w:val="en-GB"/>
        </w:rPr>
        <w:t xml:space="preserve"> Richmond House (Birmingham).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8962431"/>
      <w:docPartObj>
        <w:docPartGallery w:val="Page Numbers (Top of Page)"/>
        <w:docPartUnique/>
      </w:docPartObj>
    </w:sdtPr>
    <w:sdtEndPr>
      <w:rPr>
        <w:noProof/>
      </w:rPr>
    </w:sdtEndPr>
    <w:sdtContent>
      <w:p w14:paraId="22A7A298" w14:textId="3F0B930F" w:rsidR="00585C1A" w:rsidRDefault="00585C1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AB519B3" w14:textId="77777777" w:rsidR="00585C1A" w:rsidRDefault="00585C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BACC3" w14:textId="77777777" w:rsidR="005C4808" w:rsidRDefault="005C4808">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9A886" w14:textId="77777777" w:rsidR="005C4808" w:rsidRDefault="005C4808">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9178D" w14:textId="77777777" w:rsidR="005C4808" w:rsidRDefault="005C4808">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14DEF"/>
    <w:multiLevelType w:val="multilevel"/>
    <w:tmpl w:val="AC283068"/>
    <w:lvl w:ilvl="0">
      <w:start w:val="1"/>
      <w:numFmt w:val="decimal"/>
      <w:lvlText w:val="%1."/>
      <w:lvlJc w:val="left"/>
      <w:pPr>
        <w:ind w:left="1353" w:hanging="360"/>
      </w:pPr>
      <w:rPr>
        <w:rFonts w:hint="default"/>
      </w:rPr>
    </w:lvl>
    <w:lvl w:ilvl="1">
      <w:start w:val="1"/>
      <w:numFmt w:val="bullet"/>
      <w:lvlText w:val=""/>
      <w:lvlJc w:val="left"/>
      <w:pPr>
        <w:ind w:left="870" w:hanging="360"/>
      </w:pPr>
      <w:rPr>
        <w:rFonts w:ascii="Symbol" w:hAnsi="Symbol" w:hint="default"/>
      </w:rPr>
    </w:lvl>
    <w:lvl w:ilvl="2">
      <w:start w:val="1"/>
      <w:numFmt w:val="bullet"/>
      <w:lvlText w:val=""/>
      <w:lvlJc w:val="left"/>
      <w:pPr>
        <w:ind w:left="360" w:hanging="360"/>
      </w:pPr>
      <w:rPr>
        <w:rFonts w:ascii="Symbol" w:hAnsi="Symbol" w:hint="default"/>
      </w:rPr>
    </w:lvl>
    <w:lvl w:ilvl="3">
      <w:start w:val="1"/>
      <w:numFmt w:val="decimal"/>
      <w:isLgl/>
      <w:lvlText w:val="%1.%2.%3.%4"/>
      <w:lvlJc w:val="left"/>
      <w:pPr>
        <w:ind w:left="1230" w:hanging="720"/>
      </w:pPr>
      <w:rPr>
        <w:rFonts w:hint="default"/>
      </w:rPr>
    </w:lvl>
    <w:lvl w:ilvl="4">
      <w:start w:val="1"/>
      <w:numFmt w:val="decimal"/>
      <w:isLgl/>
      <w:lvlText w:val="%1.%2.%3.%4.%5"/>
      <w:lvlJc w:val="left"/>
      <w:pPr>
        <w:ind w:left="1590" w:hanging="1080"/>
      </w:pPr>
      <w:rPr>
        <w:rFonts w:hint="default"/>
      </w:rPr>
    </w:lvl>
    <w:lvl w:ilvl="5">
      <w:start w:val="1"/>
      <w:numFmt w:val="decimal"/>
      <w:isLgl/>
      <w:lvlText w:val="%1.%2.%3.%4.%5.%6"/>
      <w:lvlJc w:val="left"/>
      <w:pPr>
        <w:ind w:left="1590" w:hanging="1080"/>
      </w:pPr>
      <w:rPr>
        <w:rFonts w:hint="default"/>
      </w:rPr>
    </w:lvl>
    <w:lvl w:ilvl="6">
      <w:start w:val="1"/>
      <w:numFmt w:val="decimal"/>
      <w:isLgl/>
      <w:lvlText w:val="%1.%2.%3.%4.%5.%6.%7"/>
      <w:lvlJc w:val="left"/>
      <w:pPr>
        <w:ind w:left="1950" w:hanging="1440"/>
      </w:pPr>
      <w:rPr>
        <w:rFonts w:hint="default"/>
      </w:rPr>
    </w:lvl>
    <w:lvl w:ilvl="7">
      <w:start w:val="1"/>
      <w:numFmt w:val="decimal"/>
      <w:isLgl/>
      <w:lvlText w:val="%1.%2.%3.%4.%5.%6.%7.%8"/>
      <w:lvlJc w:val="left"/>
      <w:pPr>
        <w:ind w:left="1950" w:hanging="1440"/>
      </w:pPr>
      <w:rPr>
        <w:rFonts w:hint="default"/>
      </w:rPr>
    </w:lvl>
    <w:lvl w:ilvl="8">
      <w:start w:val="1"/>
      <w:numFmt w:val="decimal"/>
      <w:isLgl/>
      <w:lvlText w:val="%1.%2.%3.%4.%5.%6.%7.%8.%9"/>
      <w:lvlJc w:val="left"/>
      <w:pPr>
        <w:ind w:left="2310" w:hanging="1800"/>
      </w:pPr>
      <w:rPr>
        <w:rFonts w:hint="default"/>
      </w:rPr>
    </w:lvl>
  </w:abstractNum>
  <w:abstractNum w:abstractNumId="1" w15:restartNumberingAfterBreak="0">
    <w:nsid w:val="05CA3932"/>
    <w:multiLevelType w:val="hybridMultilevel"/>
    <w:tmpl w:val="E09441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AB44D41"/>
    <w:multiLevelType w:val="multilevel"/>
    <w:tmpl w:val="E77C474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C5C5E14"/>
    <w:multiLevelType w:val="hybridMultilevel"/>
    <w:tmpl w:val="EE1E745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 w15:restartNumberingAfterBreak="0">
    <w:nsid w:val="1E1705E0"/>
    <w:multiLevelType w:val="multilevel"/>
    <w:tmpl w:val="9FDA0BCC"/>
    <w:lvl w:ilvl="0">
      <w:start w:val="1"/>
      <w:numFmt w:val="decimal"/>
      <w:lvlText w:val="%1."/>
      <w:lvlJc w:val="left"/>
      <w:pPr>
        <w:ind w:left="1353" w:hanging="360"/>
      </w:pPr>
      <w:rPr>
        <w:rFonts w:hint="default"/>
      </w:rPr>
    </w:lvl>
    <w:lvl w:ilvl="1">
      <w:start w:val="1"/>
      <w:numFmt w:val="bullet"/>
      <w:lvlText w:val="o"/>
      <w:lvlJc w:val="left"/>
      <w:pPr>
        <w:ind w:left="870" w:hanging="360"/>
      </w:pPr>
      <w:rPr>
        <w:rFonts w:ascii="Courier New" w:hAnsi="Courier New" w:cs="Courier New" w:hint="default"/>
      </w:rPr>
    </w:lvl>
    <w:lvl w:ilvl="2">
      <w:start w:val="1"/>
      <w:numFmt w:val="bullet"/>
      <w:lvlText w:val="o"/>
      <w:lvlJc w:val="left"/>
      <w:pPr>
        <w:ind w:left="870" w:hanging="360"/>
      </w:pPr>
      <w:rPr>
        <w:rFonts w:ascii="Courier New" w:hAnsi="Courier New" w:cs="Courier New" w:hint="default"/>
      </w:rPr>
    </w:lvl>
    <w:lvl w:ilvl="3">
      <w:start w:val="1"/>
      <w:numFmt w:val="decimal"/>
      <w:isLgl/>
      <w:lvlText w:val="%1.%2.%3.%4"/>
      <w:lvlJc w:val="left"/>
      <w:pPr>
        <w:ind w:left="1230" w:hanging="720"/>
      </w:pPr>
      <w:rPr>
        <w:rFonts w:hint="default"/>
      </w:rPr>
    </w:lvl>
    <w:lvl w:ilvl="4">
      <w:start w:val="1"/>
      <w:numFmt w:val="decimal"/>
      <w:isLgl/>
      <w:lvlText w:val="%1.%2.%3.%4.%5"/>
      <w:lvlJc w:val="left"/>
      <w:pPr>
        <w:ind w:left="1590" w:hanging="1080"/>
      </w:pPr>
      <w:rPr>
        <w:rFonts w:hint="default"/>
      </w:rPr>
    </w:lvl>
    <w:lvl w:ilvl="5">
      <w:start w:val="1"/>
      <w:numFmt w:val="decimal"/>
      <w:isLgl/>
      <w:lvlText w:val="%1.%2.%3.%4.%5.%6"/>
      <w:lvlJc w:val="left"/>
      <w:pPr>
        <w:ind w:left="1590" w:hanging="1080"/>
      </w:pPr>
      <w:rPr>
        <w:rFonts w:hint="default"/>
      </w:rPr>
    </w:lvl>
    <w:lvl w:ilvl="6">
      <w:start w:val="1"/>
      <w:numFmt w:val="decimal"/>
      <w:isLgl/>
      <w:lvlText w:val="%1.%2.%3.%4.%5.%6.%7"/>
      <w:lvlJc w:val="left"/>
      <w:pPr>
        <w:ind w:left="1950" w:hanging="1440"/>
      </w:pPr>
      <w:rPr>
        <w:rFonts w:hint="default"/>
      </w:rPr>
    </w:lvl>
    <w:lvl w:ilvl="7">
      <w:start w:val="1"/>
      <w:numFmt w:val="decimal"/>
      <w:isLgl/>
      <w:lvlText w:val="%1.%2.%3.%4.%5.%6.%7.%8"/>
      <w:lvlJc w:val="left"/>
      <w:pPr>
        <w:ind w:left="1950" w:hanging="1440"/>
      </w:pPr>
      <w:rPr>
        <w:rFonts w:hint="default"/>
      </w:rPr>
    </w:lvl>
    <w:lvl w:ilvl="8">
      <w:start w:val="1"/>
      <w:numFmt w:val="decimal"/>
      <w:isLgl/>
      <w:lvlText w:val="%1.%2.%3.%4.%5.%6.%7.%8.%9"/>
      <w:lvlJc w:val="left"/>
      <w:pPr>
        <w:ind w:left="2310" w:hanging="1800"/>
      </w:pPr>
      <w:rPr>
        <w:rFonts w:hint="default"/>
      </w:rPr>
    </w:lvl>
  </w:abstractNum>
  <w:abstractNum w:abstractNumId="5" w15:restartNumberingAfterBreak="0">
    <w:nsid w:val="1F1228B5"/>
    <w:multiLevelType w:val="multilevel"/>
    <w:tmpl w:val="B3262BC4"/>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10747AB"/>
    <w:multiLevelType w:val="hybridMultilevel"/>
    <w:tmpl w:val="457898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9C8628A"/>
    <w:multiLevelType w:val="multilevel"/>
    <w:tmpl w:val="8DFC6B06"/>
    <w:lvl w:ilvl="0">
      <w:start w:val="1"/>
      <w:numFmt w:val="decimal"/>
      <w:pStyle w:val="Heading1"/>
      <w:lvlText w:val="%1."/>
      <w:lvlJc w:val="left"/>
      <w:pPr>
        <w:ind w:left="1353" w:hanging="360"/>
      </w:pPr>
      <w:rPr>
        <w:rFonts w:hint="default"/>
      </w:rPr>
    </w:lvl>
    <w:lvl w:ilvl="1">
      <w:start w:val="1"/>
      <w:numFmt w:val="decimal"/>
      <w:pStyle w:val="NormP"/>
      <w:isLgl/>
      <w:lvlText w:val="%1.%2"/>
      <w:lvlJc w:val="left"/>
      <w:pPr>
        <w:ind w:left="1230" w:hanging="720"/>
      </w:pPr>
      <w:rPr>
        <w:rFonts w:hint="default"/>
      </w:rPr>
    </w:lvl>
    <w:lvl w:ilvl="2">
      <w:start w:val="1"/>
      <w:numFmt w:val="decimal"/>
      <w:isLgl/>
      <w:lvlText w:val="%1.%2.%3"/>
      <w:lvlJc w:val="left"/>
      <w:pPr>
        <w:ind w:left="1230" w:hanging="720"/>
      </w:pPr>
      <w:rPr>
        <w:rFonts w:hint="default"/>
      </w:rPr>
    </w:lvl>
    <w:lvl w:ilvl="3">
      <w:start w:val="1"/>
      <w:numFmt w:val="decimal"/>
      <w:isLgl/>
      <w:lvlText w:val="%1.%2.%3.%4"/>
      <w:lvlJc w:val="left"/>
      <w:pPr>
        <w:ind w:left="1230" w:hanging="720"/>
      </w:pPr>
      <w:rPr>
        <w:rFonts w:hint="default"/>
      </w:rPr>
    </w:lvl>
    <w:lvl w:ilvl="4">
      <w:start w:val="1"/>
      <w:numFmt w:val="decimal"/>
      <w:isLgl/>
      <w:lvlText w:val="%1.%2.%3.%4.%5"/>
      <w:lvlJc w:val="left"/>
      <w:pPr>
        <w:ind w:left="1590" w:hanging="1080"/>
      </w:pPr>
      <w:rPr>
        <w:rFonts w:hint="default"/>
      </w:rPr>
    </w:lvl>
    <w:lvl w:ilvl="5">
      <w:start w:val="1"/>
      <w:numFmt w:val="decimal"/>
      <w:isLgl/>
      <w:lvlText w:val="%1.%2.%3.%4.%5.%6"/>
      <w:lvlJc w:val="left"/>
      <w:pPr>
        <w:ind w:left="1590" w:hanging="1080"/>
      </w:pPr>
      <w:rPr>
        <w:rFonts w:hint="default"/>
      </w:rPr>
    </w:lvl>
    <w:lvl w:ilvl="6">
      <w:start w:val="1"/>
      <w:numFmt w:val="decimal"/>
      <w:isLgl/>
      <w:lvlText w:val="%1.%2.%3.%4.%5.%6.%7"/>
      <w:lvlJc w:val="left"/>
      <w:pPr>
        <w:ind w:left="1950" w:hanging="1440"/>
      </w:pPr>
      <w:rPr>
        <w:rFonts w:hint="default"/>
      </w:rPr>
    </w:lvl>
    <w:lvl w:ilvl="7">
      <w:start w:val="1"/>
      <w:numFmt w:val="decimal"/>
      <w:isLgl/>
      <w:lvlText w:val="%1.%2.%3.%4.%5.%6.%7.%8"/>
      <w:lvlJc w:val="left"/>
      <w:pPr>
        <w:ind w:left="1950" w:hanging="1440"/>
      </w:pPr>
      <w:rPr>
        <w:rFonts w:hint="default"/>
      </w:rPr>
    </w:lvl>
    <w:lvl w:ilvl="8">
      <w:start w:val="1"/>
      <w:numFmt w:val="decimal"/>
      <w:isLgl/>
      <w:lvlText w:val="%1.%2.%3.%4.%5.%6.%7.%8.%9"/>
      <w:lvlJc w:val="left"/>
      <w:pPr>
        <w:ind w:left="2310" w:hanging="1800"/>
      </w:pPr>
      <w:rPr>
        <w:rFonts w:hint="default"/>
      </w:rPr>
    </w:lvl>
  </w:abstractNum>
  <w:abstractNum w:abstractNumId="8" w15:restartNumberingAfterBreak="0">
    <w:nsid w:val="45435930"/>
    <w:multiLevelType w:val="hybridMultilevel"/>
    <w:tmpl w:val="9F667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9C017A7"/>
    <w:multiLevelType w:val="multilevel"/>
    <w:tmpl w:val="3FB42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9322797"/>
    <w:multiLevelType w:val="hybridMultilevel"/>
    <w:tmpl w:val="1F2AF36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 w15:restartNumberingAfterBreak="0">
    <w:nsid w:val="5D8C168A"/>
    <w:multiLevelType w:val="hybridMultilevel"/>
    <w:tmpl w:val="ADD2FAE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 w15:restartNumberingAfterBreak="0">
    <w:nsid w:val="63661420"/>
    <w:multiLevelType w:val="multilevel"/>
    <w:tmpl w:val="200A7820"/>
    <w:lvl w:ilvl="0">
      <w:start w:val="1"/>
      <w:numFmt w:val="decimal"/>
      <w:lvlText w:val="%1."/>
      <w:lvlJc w:val="left"/>
      <w:pPr>
        <w:ind w:left="1353" w:hanging="360"/>
      </w:pPr>
      <w:rPr>
        <w:rFonts w:hint="default"/>
      </w:rPr>
    </w:lvl>
    <w:lvl w:ilvl="1">
      <w:start w:val="1"/>
      <w:numFmt w:val="bullet"/>
      <w:lvlText w:val=""/>
      <w:lvlJc w:val="left"/>
      <w:pPr>
        <w:ind w:left="870" w:hanging="360"/>
      </w:pPr>
      <w:rPr>
        <w:rFonts w:ascii="Symbol" w:hAnsi="Symbol" w:hint="default"/>
      </w:rPr>
    </w:lvl>
    <w:lvl w:ilvl="2">
      <w:start w:val="1"/>
      <w:numFmt w:val="bullet"/>
      <w:lvlText w:val="o"/>
      <w:lvlJc w:val="left"/>
      <w:pPr>
        <w:ind w:left="870" w:hanging="360"/>
      </w:pPr>
      <w:rPr>
        <w:rFonts w:ascii="Courier New" w:hAnsi="Courier New" w:cs="Courier New" w:hint="default"/>
      </w:rPr>
    </w:lvl>
    <w:lvl w:ilvl="3">
      <w:start w:val="1"/>
      <w:numFmt w:val="decimal"/>
      <w:isLgl/>
      <w:lvlText w:val="%1.%2.%3.%4"/>
      <w:lvlJc w:val="left"/>
      <w:pPr>
        <w:ind w:left="1230" w:hanging="720"/>
      </w:pPr>
      <w:rPr>
        <w:rFonts w:hint="default"/>
      </w:rPr>
    </w:lvl>
    <w:lvl w:ilvl="4">
      <w:start w:val="1"/>
      <w:numFmt w:val="decimal"/>
      <w:isLgl/>
      <w:lvlText w:val="%1.%2.%3.%4.%5"/>
      <w:lvlJc w:val="left"/>
      <w:pPr>
        <w:ind w:left="1590" w:hanging="1080"/>
      </w:pPr>
      <w:rPr>
        <w:rFonts w:hint="default"/>
      </w:rPr>
    </w:lvl>
    <w:lvl w:ilvl="5">
      <w:start w:val="1"/>
      <w:numFmt w:val="decimal"/>
      <w:isLgl/>
      <w:lvlText w:val="%1.%2.%3.%4.%5.%6"/>
      <w:lvlJc w:val="left"/>
      <w:pPr>
        <w:ind w:left="1590" w:hanging="1080"/>
      </w:pPr>
      <w:rPr>
        <w:rFonts w:hint="default"/>
      </w:rPr>
    </w:lvl>
    <w:lvl w:ilvl="6">
      <w:start w:val="1"/>
      <w:numFmt w:val="decimal"/>
      <w:isLgl/>
      <w:lvlText w:val="%1.%2.%3.%4.%5.%6.%7"/>
      <w:lvlJc w:val="left"/>
      <w:pPr>
        <w:ind w:left="1950" w:hanging="1440"/>
      </w:pPr>
      <w:rPr>
        <w:rFonts w:hint="default"/>
      </w:rPr>
    </w:lvl>
    <w:lvl w:ilvl="7">
      <w:start w:val="1"/>
      <w:numFmt w:val="decimal"/>
      <w:isLgl/>
      <w:lvlText w:val="%1.%2.%3.%4.%5.%6.%7.%8"/>
      <w:lvlJc w:val="left"/>
      <w:pPr>
        <w:ind w:left="1950" w:hanging="1440"/>
      </w:pPr>
      <w:rPr>
        <w:rFonts w:hint="default"/>
      </w:rPr>
    </w:lvl>
    <w:lvl w:ilvl="8">
      <w:start w:val="1"/>
      <w:numFmt w:val="decimal"/>
      <w:isLgl/>
      <w:lvlText w:val="%1.%2.%3.%4.%5.%6.%7.%8.%9"/>
      <w:lvlJc w:val="left"/>
      <w:pPr>
        <w:ind w:left="2310" w:hanging="1800"/>
      </w:pPr>
      <w:rPr>
        <w:rFonts w:hint="default"/>
      </w:rPr>
    </w:lvl>
  </w:abstractNum>
  <w:abstractNum w:abstractNumId="13" w15:restartNumberingAfterBreak="0">
    <w:nsid w:val="63BA2209"/>
    <w:multiLevelType w:val="hybridMultilevel"/>
    <w:tmpl w:val="4A784FC2"/>
    <w:lvl w:ilvl="0" w:tplc="08090001">
      <w:start w:val="1"/>
      <w:numFmt w:val="bullet"/>
      <w:lvlText w:val=""/>
      <w:lvlJc w:val="left"/>
      <w:pPr>
        <w:ind w:left="1003" w:hanging="360"/>
      </w:pPr>
      <w:rPr>
        <w:rFonts w:ascii="Symbol" w:hAnsi="Symbol"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4" w15:restartNumberingAfterBreak="0">
    <w:nsid w:val="66510A92"/>
    <w:multiLevelType w:val="hybridMultilevel"/>
    <w:tmpl w:val="8BC0DF60"/>
    <w:lvl w:ilvl="0" w:tplc="08090001">
      <w:start w:val="1"/>
      <w:numFmt w:val="bullet"/>
      <w:lvlText w:val=""/>
      <w:lvlJc w:val="left"/>
      <w:pPr>
        <w:ind w:left="910" w:hanging="360"/>
      </w:pPr>
      <w:rPr>
        <w:rFonts w:ascii="Symbol" w:hAnsi="Symbol" w:hint="default"/>
      </w:rPr>
    </w:lvl>
    <w:lvl w:ilvl="1" w:tplc="08090003" w:tentative="1">
      <w:start w:val="1"/>
      <w:numFmt w:val="bullet"/>
      <w:lvlText w:val="o"/>
      <w:lvlJc w:val="left"/>
      <w:pPr>
        <w:ind w:left="1630" w:hanging="360"/>
      </w:pPr>
      <w:rPr>
        <w:rFonts w:ascii="Courier New" w:hAnsi="Courier New" w:cs="Courier New" w:hint="default"/>
      </w:rPr>
    </w:lvl>
    <w:lvl w:ilvl="2" w:tplc="08090005" w:tentative="1">
      <w:start w:val="1"/>
      <w:numFmt w:val="bullet"/>
      <w:lvlText w:val=""/>
      <w:lvlJc w:val="left"/>
      <w:pPr>
        <w:ind w:left="2350" w:hanging="360"/>
      </w:pPr>
      <w:rPr>
        <w:rFonts w:ascii="Wingdings" w:hAnsi="Wingdings" w:hint="default"/>
      </w:rPr>
    </w:lvl>
    <w:lvl w:ilvl="3" w:tplc="08090001" w:tentative="1">
      <w:start w:val="1"/>
      <w:numFmt w:val="bullet"/>
      <w:lvlText w:val=""/>
      <w:lvlJc w:val="left"/>
      <w:pPr>
        <w:ind w:left="3070" w:hanging="360"/>
      </w:pPr>
      <w:rPr>
        <w:rFonts w:ascii="Symbol" w:hAnsi="Symbol" w:hint="default"/>
      </w:rPr>
    </w:lvl>
    <w:lvl w:ilvl="4" w:tplc="08090003" w:tentative="1">
      <w:start w:val="1"/>
      <w:numFmt w:val="bullet"/>
      <w:lvlText w:val="o"/>
      <w:lvlJc w:val="left"/>
      <w:pPr>
        <w:ind w:left="3790" w:hanging="360"/>
      </w:pPr>
      <w:rPr>
        <w:rFonts w:ascii="Courier New" w:hAnsi="Courier New" w:cs="Courier New" w:hint="default"/>
      </w:rPr>
    </w:lvl>
    <w:lvl w:ilvl="5" w:tplc="08090005" w:tentative="1">
      <w:start w:val="1"/>
      <w:numFmt w:val="bullet"/>
      <w:lvlText w:val=""/>
      <w:lvlJc w:val="left"/>
      <w:pPr>
        <w:ind w:left="4510" w:hanging="360"/>
      </w:pPr>
      <w:rPr>
        <w:rFonts w:ascii="Wingdings" w:hAnsi="Wingdings" w:hint="default"/>
      </w:rPr>
    </w:lvl>
    <w:lvl w:ilvl="6" w:tplc="08090001" w:tentative="1">
      <w:start w:val="1"/>
      <w:numFmt w:val="bullet"/>
      <w:lvlText w:val=""/>
      <w:lvlJc w:val="left"/>
      <w:pPr>
        <w:ind w:left="5230" w:hanging="360"/>
      </w:pPr>
      <w:rPr>
        <w:rFonts w:ascii="Symbol" w:hAnsi="Symbol" w:hint="default"/>
      </w:rPr>
    </w:lvl>
    <w:lvl w:ilvl="7" w:tplc="08090003" w:tentative="1">
      <w:start w:val="1"/>
      <w:numFmt w:val="bullet"/>
      <w:lvlText w:val="o"/>
      <w:lvlJc w:val="left"/>
      <w:pPr>
        <w:ind w:left="5950" w:hanging="360"/>
      </w:pPr>
      <w:rPr>
        <w:rFonts w:ascii="Courier New" w:hAnsi="Courier New" w:cs="Courier New" w:hint="default"/>
      </w:rPr>
    </w:lvl>
    <w:lvl w:ilvl="8" w:tplc="08090005" w:tentative="1">
      <w:start w:val="1"/>
      <w:numFmt w:val="bullet"/>
      <w:lvlText w:val=""/>
      <w:lvlJc w:val="left"/>
      <w:pPr>
        <w:ind w:left="6670" w:hanging="360"/>
      </w:pPr>
      <w:rPr>
        <w:rFonts w:ascii="Wingdings" w:hAnsi="Wingdings" w:hint="default"/>
      </w:rPr>
    </w:lvl>
  </w:abstractNum>
  <w:abstractNum w:abstractNumId="15" w15:restartNumberingAfterBreak="0">
    <w:nsid w:val="67981242"/>
    <w:multiLevelType w:val="multilevel"/>
    <w:tmpl w:val="06C62E28"/>
    <w:lvl w:ilvl="0">
      <w:start w:val="1"/>
      <w:numFmt w:val="decimal"/>
      <w:pStyle w:val="HR"/>
      <w:lvlText w:val="%1.0"/>
      <w:lvlJc w:val="left"/>
      <w:pPr>
        <w:ind w:left="720" w:hanging="720"/>
      </w:pPr>
      <w:rPr>
        <w:rFonts w:hint="default"/>
      </w:rPr>
    </w:lvl>
    <w:lvl w:ilvl="1">
      <w:start w:val="1"/>
      <w:numFmt w:val="decimal"/>
      <w:pStyle w:val="NormalR"/>
      <w:lvlText w:val="%1.%2"/>
      <w:lvlJc w:val="left"/>
      <w:pPr>
        <w:ind w:left="1440" w:hanging="720"/>
      </w:pPr>
      <w:rPr>
        <w:rFonts w:hint="default"/>
      </w:rPr>
    </w:lvl>
    <w:lvl w:ilvl="2">
      <w:start w:val="1"/>
      <w:numFmt w:val="bullet"/>
      <w:lvlText w:val=""/>
      <w:lvlJc w:val="left"/>
      <w:pPr>
        <w:ind w:left="1800" w:hanging="36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7CAF254D"/>
    <w:multiLevelType w:val="multilevel"/>
    <w:tmpl w:val="5108F1EE"/>
    <w:lvl w:ilvl="0">
      <w:start w:val="1"/>
      <w:numFmt w:val="decimal"/>
      <w:lvlText w:val="%1."/>
      <w:lvlJc w:val="left"/>
      <w:pPr>
        <w:ind w:left="1353" w:hanging="360"/>
      </w:pPr>
      <w:rPr>
        <w:rFonts w:hint="default"/>
      </w:rPr>
    </w:lvl>
    <w:lvl w:ilvl="1">
      <w:start w:val="1"/>
      <w:numFmt w:val="bullet"/>
      <w:lvlText w:val=""/>
      <w:lvlJc w:val="left"/>
      <w:pPr>
        <w:ind w:left="870" w:hanging="360"/>
      </w:pPr>
      <w:rPr>
        <w:rFonts w:ascii="Symbol" w:hAnsi="Symbol" w:hint="default"/>
      </w:rPr>
    </w:lvl>
    <w:lvl w:ilvl="2">
      <w:start w:val="1"/>
      <w:numFmt w:val="bullet"/>
      <w:lvlText w:val="o"/>
      <w:lvlJc w:val="left"/>
      <w:pPr>
        <w:ind w:left="870" w:hanging="360"/>
      </w:pPr>
      <w:rPr>
        <w:rFonts w:ascii="Courier New" w:hAnsi="Courier New" w:cs="Courier New" w:hint="default"/>
      </w:rPr>
    </w:lvl>
    <w:lvl w:ilvl="3">
      <w:start w:val="1"/>
      <w:numFmt w:val="decimal"/>
      <w:isLgl/>
      <w:lvlText w:val="%1.%2.%3.%4"/>
      <w:lvlJc w:val="left"/>
      <w:pPr>
        <w:ind w:left="1230" w:hanging="720"/>
      </w:pPr>
      <w:rPr>
        <w:rFonts w:hint="default"/>
      </w:rPr>
    </w:lvl>
    <w:lvl w:ilvl="4">
      <w:start w:val="1"/>
      <w:numFmt w:val="decimal"/>
      <w:isLgl/>
      <w:lvlText w:val="%1.%2.%3.%4.%5"/>
      <w:lvlJc w:val="left"/>
      <w:pPr>
        <w:ind w:left="1590" w:hanging="1080"/>
      </w:pPr>
      <w:rPr>
        <w:rFonts w:hint="default"/>
      </w:rPr>
    </w:lvl>
    <w:lvl w:ilvl="5">
      <w:start w:val="1"/>
      <w:numFmt w:val="decimal"/>
      <w:isLgl/>
      <w:lvlText w:val="%1.%2.%3.%4.%5.%6"/>
      <w:lvlJc w:val="left"/>
      <w:pPr>
        <w:ind w:left="1590" w:hanging="1080"/>
      </w:pPr>
      <w:rPr>
        <w:rFonts w:hint="default"/>
      </w:rPr>
    </w:lvl>
    <w:lvl w:ilvl="6">
      <w:start w:val="1"/>
      <w:numFmt w:val="decimal"/>
      <w:isLgl/>
      <w:lvlText w:val="%1.%2.%3.%4.%5.%6.%7"/>
      <w:lvlJc w:val="left"/>
      <w:pPr>
        <w:ind w:left="1950" w:hanging="1440"/>
      </w:pPr>
      <w:rPr>
        <w:rFonts w:hint="default"/>
      </w:rPr>
    </w:lvl>
    <w:lvl w:ilvl="7">
      <w:start w:val="1"/>
      <w:numFmt w:val="decimal"/>
      <w:isLgl/>
      <w:lvlText w:val="%1.%2.%3.%4.%5.%6.%7.%8"/>
      <w:lvlJc w:val="left"/>
      <w:pPr>
        <w:ind w:left="1950" w:hanging="1440"/>
      </w:pPr>
      <w:rPr>
        <w:rFonts w:hint="default"/>
      </w:rPr>
    </w:lvl>
    <w:lvl w:ilvl="8">
      <w:start w:val="1"/>
      <w:numFmt w:val="decimal"/>
      <w:isLgl/>
      <w:lvlText w:val="%1.%2.%3.%4.%5.%6.%7.%8.%9"/>
      <w:lvlJc w:val="left"/>
      <w:pPr>
        <w:ind w:left="2310" w:hanging="1800"/>
      </w:pPr>
      <w:rPr>
        <w:rFonts w:hint="default"/>
      </w:rPr>
    </w:lvl>
  </w:abstractNum>
  <w:num w:numId="1" w16cid:durableId="1608076435">
    <w:abstractNumId w:val="7"/>
  </w:num>
  <w:num w:numId="2" w16cid:durableId="1066563565">
    <w:abstractNumId w:val="1"/>
  </w:num>
  <w:num w:numId="3" w16cid:durableId="1207792987">
    <w:abstractNumId w:val="13"/>
  </w:num>
  <w:num w:numId="4" w16cid:durableId="245313030">
    <w:abstractNumId w:val="14"/>
  </w:num>
  <w:num w:numId="5" w16cid:durableId="300964305">
    <w:abstractNumId w:val="11"/>
  </w:num>
  <w:num w:numId="6" w16cid:durableId="1161582357">
    <w:abstractNumId w:val="3"/>
  </w:num>
  <w:num w:numId="7" w16cid:durableId="145174566">
    <w:abstractNumId w:val="10"/>
  </w:num>
  <w:num w:numId="8" w16cid:durableId="1492797825">
    <w:abstractNumId w:val="6"/>
  </w:num>
  <w:num w:numId="9" w16cid:durableId="241447990">
    <w:abstractNumId w:val="2"/>
  </w:num>
  <w:num w:numId="10" w16cid:durableId="1017584579">
    <w:abstractNumId w:val="12"/>
  </w:num>
  <w:num w:numId="11" w16cid:durableId="986397133">
    <w:abstractNumId w:val="16"/>
  </w:num>
  <w:num w:numId="12" w16cid:durableId="787621176">
    <w:abstractNumId w:val="5"/>
  </w:num>
  <w:num w:numId="13" w16cid:durableId="1194416415">
    <w:abstractNumId w:val="8"/>
  </w:num>
  <w:num w:numId="14" w16cid:durableId="12804388">
    <w:abstractNumId w:val="9"/>
  </w:num>
  <w:num w:numId="15" w16cid:durableId="399138497">
    <w:abstractNumId w:val="4"/>
  </w:num>
  <w:num w:numId="16" w16cid:durableId="355891067">
    <w:abstractNumId w:val="15"/>
  </w:num>
  <w:num w:numId="17" w16cid:durableId="335304995">
    <w:abstractNumId w:val="0"/>
  </w:num>
  <w:num w:numId="18" w16cid:durableId="1386028777">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049F"/>
    <w:rsid w:val="00001E0A"/>
    <w:rsid w:val="0000306B"/>
    <w:rsid w:val="0000317D"/>
    <w:rsid w:val="000031B4"/>
    <w:rsid w:val="00004060"/>
    <w:rsid w:val="000041C8"/>
    <w:rsid w:val="000045F6"/>
    <w:rsid w:val="0000527E"/>
    <w:rsid w:val="00005288"/>
    <w:rsid w:val="00005E64"/>
    <w:rsid w:val="00006387"/>
    <w:rsid w:val="00006CEA"/>
    <w:rsid w:val="000070D0"/>
    <w:rsid w:val="00007FC2"/>
    <w:rsid w:val="0001043F"/>
    <w:rsid w:val="00010E93"/>
    <w:rsid w:val="0001197E"/>
    <w:rsid w:val="000157D3"/>
    <w:rsid w:val="00015B70"/>
    <w:rsid w:val="00015D00"/>
    <w:rsid w:val="0001639F"/>
    <w:rsid w:val="000163F7"/>
    <w:rsid w:val="00016EF9"/>
    <w:rsid w:val="000175BC"/>
    <w:rsid w:val="00017A69"/>
    <w:rsid w:val="00017CFA"/>
    <w:rsid w:val="00020771"/>
    <w:rsid w:val="0002089C"/>
    <w:rsid w:val="0002097A"/>
    <w:rsid w:val="00021222"/>
    <w:rsid w:val="00021956"/>
    <w:rsid w:val="000220F1"/>
    <w:rsid w:val="000222CF"/>
    <w:rsid w:val="000225E2"/>
    <w:rsid w:val="00023C94"/>
    <w:rsid w:val="000256E6"/>
    <w:rsid w:val="0002776A"/>
    <w:rsid w:val="0003037A"/>
    <w:rsid w:val="0003070C"/>
    <w:rsid w:val="00031145"/>
    <w:rsid w:val="00031946"/>
    <w:rsid w:val="00032863"/>
    <w:rsid w:val="00032E08"/>
    <w:rsid w:val="00034AAE"/>
    <w:rsid w:val="00034F51"/>
    <w:rsid w:val="0003535B"/>
    <w:rsid w:val="00036456"/>
    <w:rsid w:val="0003665C"/>
    <w:rsid w:val="000373FA"/>
    <w:rsid w:val="00037458"/>
    <w:rsid w:val="00040457"/>
    <w:rsid w:val="000410C2"/>
    <w:rsid w:val="000417BD"/>
    <w:rsid w:val="00041A37"/>
    <w:rsid w:val="00041BD7"/>
    <w:rsid w:val="00042CE3"/>
    <w:rsid w:val="00043530"/>
    <w:rsid w:val="000444EB"/>
    <w:rsid w:val="00045437"/>
    <w:rsid w:val="000456A8"/>
    <w:rsid w:val="00047698"/>
    <w:rsid w:val="00050C2F"/>
    <w:rsid w:val="00050C72"/>
    <w:rsid w:val="00051D86"/>
    <w:rsid w:val="00051FAB"/>
    <w:rsid w:val="00052CB9"/>
    <w:rsid w:val="00052FB8"/>
    <w:rsid w:val="00053237"/>
    <w:rsid w:val="00054A12"/>
    <w:rsid w:val="00054DDC"/>
    <w:rsid w:val="00055863"/>
    <w:rsid w:val="00056B47"/>
    <w:rsid w:val="000606C4"/>
    <w:rsid w:val="00060B1C"/>
    <w:rsid w:val="000610C6"/>
    <w:rsid w:val="00061A82"/>
    <w:rsid w:val="00062990"/>
    <w:rsid w:val="00062EBA"/>
    <w:rsid w:val="00063272"/>
    <w:rsid w:val="000644EA"/>
    <w:rsid w:val="00064DB3"/>
    <w:rsid w:val="000652C8"/>
    <w:rsid w:val="00065491"/>
    <w:rsid w:val="000658D0"/>
    <w:rsid w:val="000665F4"/>
    <w:rsid w:val="000668ED"/>
    <w:rsid w:val="00066D02"/>
    <w:rsid w:val="0006740C"/>
    <w:rsid w:val="00071B94"/>
    <w:rsid w:val="00072AD8"/>
    <w:rsid w:val="000731E5"/>
    <w:rsid w:val="0007536E"/>
    <w:rsid w:val="0007578D"/>
    <w:rsid w:val="00075C44"/>
    <w:rsid w:val="00077970"/>
    <w:rsid w:val="00080F0D"/>
    <w:rsid w:val="00081481"/>
    <w:rsid w:val="00081562"/>
    <w:rsid w:val="00082108"/>
    <w:rsid w:val="000823E4"/>
    <w:rsid w:val="00083FA4"/>
    <w:rsid w:val="00084096"/>
    <w:rsid w:val="00085384"/>
    <w:rsid w:val="00085490"/>
    <w:rsid w:val="0008563A"/>
    <w:rsid w:val="0008612C"/>
    <w:rsid w:val="0008666F"/>
    <w:rsid w:val="000869F3"/>
    <w:rsid w:val="00086A3A"/>
    <w:rsid w:val="00086B14"/>
    <w:rsid w:val="00087F79"/>
    <w:rsid w:val="000913E3"/>
    <w:rsid w:val="0009155E"/>
    <w:rsid w:val="000926BD"/>
    <w:rsid w:val="00092851"/>
    <w:rsid w:val="00092CE5"/>
    <w:rsid w:val="000931D1"/>
    <w:rsid w:val="00097427"/>
    <w:rsid w:val="00097678"/>
    <w:rsid w:val="000A0237"/>
    <w:rsid w:val="000A05B4"/>
    <w:rsid w:val="000A3601"/>
    <w:rsid w:val="000A37FB"/>
    <w:rsid w:val="000A59DA"/>
    <w:rsid w:val="000A7417"/>
    <w:rsid w:val="000B0001"/>
    <w:rsid w:val="000B04A1"/>
    <w:rsid w:val="000B059A"/>
    <w:rsid w:val="000B0CDE"/>
    <w:rsid w:val="000B1B41"/>
    <w:rsid w:val="000B3C9F"/>
    <w:rsid w:val="000B48AB"/>
    <w:rsid w:val="000B4A52"/>
    <w:rsid w:val="000B4F81"/>
    <w:rsid w:val="000B5C7F"/>
    <w:rsid w:val="000B71E4"/>
    <w:rsid w:val="000C347F"/>
    <w:rsid w:val="000C40A9"/>
    <w:rsid w:val="000C4C80"/>
    <w:rsid w:val="000C6A4B"/>
    <w:rsid w:val="000C6EBE"/>
    <w:rsid w:val="000C6F4C"/>
    <w:rsid w:val="000D11C8"/>
    <w:rsid w:val="000D1949"/>
    <w:rsid w:val="000D2E0C"/>
    <w:rsid w:val="000D2FB8"/>
    <w:rsid w:val="000D482C"/>
    <w:rsid w:val="000D575F"/>
    <w:rsid w:val="000D5B2F"/>
    <w:rsid w:val="000D64FA"/>
    <w:rsid w:val="000D659F"/>
    <w:rsid w:val="000D7E08"/>
    <w:rsid w:val="000D7FF5"/>
    <w:rsid w:val="000E0B18"/>
    <w:rsid w:val="000E0F62"/>
    <w:rsid w:val="000E14C3"/>
    <w:rsid w:val="000E3B52"/>
    <w:rsid w:val="000E3EC7"/>
    <w:rsid w:val="000E3FF0"/>
    <w:rsid w:val="000E4465"/>
    <w:rsid w:val="000E4CE9"/>
    <w:rsid w:val="000E5CF3"/>
    <w:rsid w:val="000E5EEA"/>
    <w:rsid w:val="000E6A84"/>
    <w:rsid w:val="000E7239"/>
    <w:rsid w:val="000F0013"/>
    <w:rsid w:val="000F2A2D"/>
    <w:rsid w:val="000F2AD5"/>
    <w:rsid w:val="000F2B9A"/>
    <w:rsid w:val="000F3BED"/>
    <w:rsid w:val="000F3CAC"/>
    <w:rsid w:val="000F3E9F"/>
    <w:rsid w:val="000F424F"/>
    <w:rsid w:val="000F5C9B"/>
    <w:rsid w:val="000F5F7E"/>
    <w:rsid w:val="000F7C4A"/>
    <w:rsid w:val="000F7EB2"/>
    <w:rsid w:val="0010093C"/>
    <w:rsid w:val="00101164"/>
    <w:rsid w:val="00101B3D"/>
    <w:rsid w:val="00102298"/>
    <w:rsid w:val="00102BC8"/>
    <w:rsid w:val="00103A97"/>
    <w:rsid w:val="00104274"/>
    <w:rsid w:val="0010578C"/>
    <w:rsid w:val="00105B9C"/>
    <w:rsid w:val="001060B7"/>
    <w:rsid w:val="00106822"/>
    <w:rsid w:val="00106CFA"/>
    <w:rsid w:val="00111204"/>
    <w:rsid w:val="00113506"/>
    <w:rsid w:val="00113508"/>
    <w:rsid w:val="0011367E"/>
    <w:rsid w:val="00114D88"/>
    <w:rsid w:val="0011601D"/>
    <w:rsid w:val="0011726F"/>
    <w:rsid w:val="001172AE"/>
    <w:rsid w:val="001207B1"/>
    <w:rsid w:val="00120955"/>
    <w:rsid w:val="00120B40"/>
    <w:rsid w:val="0012173C"/>
    <w:rsid w:val="00121B0B"/>
    <w:rsid w:val="001226F3"/>
    <w:rsid w:val="00122D94"/>
    <w:rsid w:val="001232B5"/>
    <w:rsid w:val="001232E5"/>
    <w:rsid w:val="00123D9B"/>
    <w:rsid w:val="00124F6D"/>
    <w:rsid w:val="001256EE"/>
    <w:rsid w:val="00126B56"/>
    <w:rsid w:val="00127A19"/>
    <w:rsid w:val="00127A28"/>
    <w:rsid w:val="00130188"/>
    <w:rsid w:val="001304A5"/>
    <w:rsid w:val="001306DD"/>
    <w:rsid w:val="00131301"/>
    <w:rsid w:val="001316F8"/>
    <w:rsid w:val="00131A63"/>
    <w:rsid w:val="00132292"/>
    <w:rsid w:val="00134943"/>
    <w:rsid w:val="00134A19"/>
    <w:rsid w:val="001360EE"/>
    <w:rsid w:val="00136229"/>
    <w:rsid w:val="001365AA"/>
    <w:rsid w:val="0013698C"/>
    <w:rsid w:val="00136C74"/>
    <w:rsid w:val="0013792B"/>
    <w:rsid w:val="00140AA4"/>
    <w:rsid w:val="00142422"/>
    <w:rsid w:val="0014268E"/>
    <w:rsid w:val="00142D49"/>
    <w:rsid w:val="001455AF"/>
    <w:rsid w:val="001462A1"/>
    <w:rsid w:val="00146E80"/>
    <w:rsid w:val="00150A9C"/>
    <w:rsid w:val="00151030"/>
    <w:rsid w:val="00151766"/>
    <w:rsid w:val="00151FE4"/>
    <w:rsid w:val="00153265"/>
    <w:rsid w:val="00153675"/>
    <w:rsid w:val="00154B1D"/>
    <w:rsid w:val="001555BF"/>
    <w:rsid w:val="0015651C"/>
    <w:rsid w:val="00157B07"/>
    <w:rsid w:val="00157F64"/>
    <w:rsid w:val="001604FC"/>
    <w:rsid w:val="00160DF5"/>
    <w:rsid w:val="00161C48"/>
    <w:rsid w:val="00162ECD"/>
    <w:rsid w:val="00163E1C"/>
    <w:rsid w:val="001647AD"/>
    <w:rsid w:val="001668C9"/>
    <w:rsid w:val="00167492"/>
    <w:rsid w:val="001678E1"/>
    <w:rsid w:val="00171B0A"/>
    <w:rsid w:val="00172805"/>
    <w:rsid w:val="00173E18"/>
    <w:rsid w:val="001741E8"/>
    <w:rsid w:val="0017424D"/>
    <w:rsid w:val="00174CF2"/>
    <w:rsid w:val="00174FE7"/>
    <w:rsid w:val="00176252"/>
    <w:rsid w:val="00176723"/>
    <w:rsid w:val="00176767"/>
    <w:rsid w:val="00176D5E"/>
    <w:rsid w:val="00176FAE"/>
    <w:rsid w:val="0017788E"/>
    <w:rsid w:val="0018076A"/>
    <w:rsid w:val="0018109D"/>
    <w:rsid w:val="00181141"/>
    <w:rsid w:val="0018232A"/>
    <w:rsid w:val="001826D5"/>
    <w:rsid w:val="00183095"/>
    <w:rsid w:val="00184576"/>
    <w:rsid w:val="00185BB4"/>
    <w:rsid w:val="0018607C"/>
    <w:rsid w:val="00191134"/>
    <w:rsid w:val="001924E4"/>
    <w:rsid w:val="00192938"/>
    <w:rsid w:val="0019326B"/>
    <w:rsid w:val="00193A1B"/>
    <w:rsid w:val="00193AE3"/>
    <w:rsid w:val="00193BBD"/>
    <w:rsid w:val="00194271"/>
    <w:rsid w:val="00194475"/>
    <w:rsid w:val="0019453C"/>
    <w:rsid w:val="00195CDC"/>
    <w:rsid w:val="001967C5"/>
    <w:rsid w:val="00197185"/>
    <w:rsid w:val="001978FA"/>
    <w:rsid w:val="001A0A6A"/>
    <w:rsid w:val="001A17E2"/>
    <w:rsid w:val="001A21D1"/>
    <w:rsid w:val="001A26E3"/>
    <w:rsid w:val="001A4491"/>
    <w:rsid w:val="001A6223"/>
    <w:rsid w:val="001A6A24"/>
    <w:rsid w:val="001A6A9E"/>
    <w:rsid w:val="001B32D6"/>
    <w:rsid w:val="001B3DED"/>
    <w:rsid w:val="001B4AE3"/>
    <w:rsid w:val="001B543C"/>
    <w:rsid w:val="001B5600"/>
    <w:rsid w:val="001B5824"/>
    <w:rsid w:val="001B5F18"/>
    <w:rsid w:val="001C0F31"/>
    <w:rsid w:val="001C2A8F"/>
    <w:rsid w:val="001C3801"/>
    <w:rsid w:val="001C3BCD"/>
    <w:rsid w:val="001C502B"/>
    <w:rsid w:val="001C5122"/>
    <w:rsid w:val="001C540D"/>
    <w:rsid w:val="001C55F4"/>
    <w:rsid w:val="001C5679"/>
    <w:rsid w:val="001C5CCE"/>
    <w:rsid w:val="001C6477"/>
    <w:rsid w:val="001C6DA3"/>
    <w:rsid w:val="001C7645"/>
    <w:rsid w:val="001D0832"/>
    <w:rsid w:val="001D1193"/>
    <w:rsid w:val="001D249D"/>
    <w:rsid w:val="001D2E86"/>
    <w:rsid w:val="001D400E"/>
    <w:rsid w:val="001D405E"/>
    <w:rsid w:val="001D4BE5"/>
    <w:rsid w:val="001D56CA"/>
    <w:rsid w:val="001D5CFD"/>
    <w:rsid w:val="001D611A"/>
    <w:rsid w:val="001D65E0"/>
    <w:rsid w:val="001D7E8E"/>
    <w:rsid w:val="001E0102"/>
    <w:rsid w:val="001E083B"/>
    <w:rsid w:val="001E0DC4"/>
    <w:rsid w:val="001E1730"/>
    <w:rsid w:val="001E20B2"/>
    <w:rsid w:val="001E38F1"/>
    <w:rsid w:val="001E3B6E"/>
    <w:rsid w:val="001E4207"/>
    <w:rsid w:val="001E55C4"/>
    <w:rsid w:val="001E6566"/>
    <w:rsid w:val="001E6C7E"/>
    <w:rsid w:val="001E6F66"/>
    <w:rsid w:val="001E7422"/>
    <w:rsid w:val="001E76F7"/>
    <w:rsid w:val="001E787E"/>
    <w:rsid w:val="001F14C8"/>
    <w:rsid w:val="001F2506"/>
    <w:rsid w:val="001F2530"/>
    <w:rsid w:val="001F2A39"/>
    <w:rsid w:val="001F418D"/>
    <w:rsid w:val="001F53D9"/>
    <w:rsid w:val="001F6385"/>
    <w:rsid w:val="001F75EE"/>
    <w:rsid w:val="001F771F"/>
    <w:rsid w:val="001F7EF0"/>
    <w:rsid w:val="00200845"/>
    <w:rsid w:val="00201181"/>
    <w:rsid w:val="00201F3B"/>
    <w:rsid w:val="0020303E"/>
    <w:rsid w:val="00204573"/>
    <w:rsid w:val="0020554B"/>
    <w:rsid w:val="00205F43"/>
    <w:rsid w:val="002066AE"/>
    <w:rsid w:val="00206876"/>
    <w:rsid w:val="002074E6"/>
    <w:rsid w:val="002119D6"/>
    <w:rsid w:val="00211B58"/>
    <w:rsid w:val="00211F00"/>
    <w:rsid w:val="00212196"/>
    <w:rsid w:val="00213145"/>
    <w:rsid w:val="00214689"/>
    <w:rsid w:val="00214AE3"/>
    <w:rsid w:val="00214BAA"/>
    <w:rsid w:val="00214CEC"/>
    <w:rsid w:val="00214E29"/>
    <w:rsid w:val="002156E1"/>
    <w:rsid w:val="00215866"/>
    <w:rsid w:val="00215E7B"/>
    <w:rsid w:val="00215E9A"/>
    <w:rsid w:val="002160D3"/>
    <w:rsid w:val="0021657F"/>
    <w:rsid w:val="00217759"/>
    <w:rsid w:val="002215A7"/>
    <w:rsid w:val="00221614"/>
    <w:rsid w:val="00221E7C"/>
    <w:rsid w:val="002227E5"/>
    <w:rsid w:val="00222ACC"/>
    <w:rsid w:val="002231D7"/>
    <w:rsid w:val="002237DE"/>
    <w:rsid w:val="00224178"/>
    <w:rsid w:val="0022423B"/>
    <w:rsid w:val="00224470"/>
    <w:rsid w:val="00224F45"/>
    <w:rsid w:val="002253DB"/>
    <w:rsid w:val="00225C46"/>
    <w:rsid w:val="00227304"/>
    <w:rsid w:val="00227E34"/>
    <w:rsid w:val="00230881"/>
    <w:rsid w:val="0023134E"/>
    <w:rsid w:val="0023332E"/>
    <w:rsid w:val="00233745"/>
    <w:rsid w:val="00233C9B"/>
    <w:rsid w:val="00233CFB"/>
    <w:rsid w:val="00233EE9"/>
    <w:rsid w:val="00234305"/>
    <w:rsid w:val="00235BFE"/>
    <w:rsid w:val="0023635C"/>
    <w:rsid w:val="00237BCD"/>
    <w:rsid w:val="00237C3E"/>
    <w:rsid w:val="002416F8"/>
    <w:rsid w:val="00241F60"/>
    <w:rsid w:val="00242502"/>
    <w:rsid w:val="0024328A"/>
    <w:rsid w:val="00243A13"/>
    <w:rsid w:val="00245E7B"/>
    <w:rsid w:val="00247D0E"/>
    <w:rsid w:val="002509F6"/>
    <w:rsid w:val="00250CF4"/>
    <w:rsid w:val="00251253"/>
    <w:rsid w:val="00251FA4"/>
    <w:rsid w:val="002525F6"/>
    <w:rsid w:val="00253988"/>
    <w:rsid w:val="00254A3A"/>
    <w:rsid w:val="00256938"/>
    <w:rsid w:val="002572D2"/>
    <w:rsid w:val="00260615"/>
    <w:rsid w:val="0026136A"/>
    <w:rsid w:val="002625CB"/>
    <w:rsid w:val="00262D32"/>
    <w:rsid w:val="00263A5F"/>
    <w:rsid w:val="00264C13"/>
    <w:rsid w:val="002662B5"/>
    <w:rsid w:val="00267E75"/>
    <w:rsid w:val="0027032C"/>
    <w:rsid w:val="0027112B"/>
    <w:rsid w:val="00271EF6"/>
    <w:rsid w:val="00272AA0"/>
    <w:rsid w:val="00272C9D"/>
    <w:rsid w:val="002736CD"/>
    <w:rsid w:val="002741A9"/>
    <w:rsid w:val="0027524C"/>
    <w:rsid w:val="0027592C"/>
    <w:rsid w:val="00276009"/>
    <w:rsid w:val="00276BAB"/>
    <w:rsid w:val="0028063B"/>
    <w:rsid w:val="00280AB2"/>
    <w:rsid w:val="00280BAD"/>
    <w:rsid w:val="00281324"/>
    <w:rsid w:val="00281781"/>
    <w:rsid w:val="00282B0B"/>
    <w:rsid w:val="002831D1"/>
    <w:rsid w:val="002836C8"/>
    <w:rsid w:val="0028480E"/>
    <w:rsid w:val="00285357"/>
    <w:rsid w:val="00285A3D"/>
    <w:rsid w:val="00285AB7"/>
    <w:rsid w:val="00287D8B"/>
    <w:rsid w:val="00292B4B"/>
    <w:rsid w:val="00293A6B"/>
    <w:rsid w:val="00294850"/>
    <w:rsid w:val="00295B48"/>
    <w:rsid w:val="0029631E"/>
    <w:rsid w:val="00296536"/>
    <w:rsid w:val="0029769E"/>
    <w:rsid w:val="00297909"/>
    <w:rsid w:val="00297D59"/>
    <w:rsid w:val="002A0189"/>
    <w:rsid w:val="002A12C0"/>
    <w:rsid w:val="002A527F"/>
    <w:rsid w:val="002A5646"/>
    <w:rsid w:val="002A5977"/>
    <w:rsid w:val="002A6BB8"/>
    <w:rsid w:val="002B12E3"/>
    <w:rsid w:val="002B1452"/>
    <w:rsid w:val="002B18E7"/>
    <w:rsid w:val="002B1B5D"/>
    <w:rsid w:val="002B1F13"/>
    <w:rsid w:val="002B26EF"/>
    <w:rsid w:val="002B33A5"/>
    <w:rsid w:val="002B365A"/>
    <w:rsid w:val="002B69DD"/>
    <w:rsid w:val="002C0CB8"/>
    <w:rsid w:val="002C113C"/>
    <w:rsid w:val="002C1805"/>
    <w:rsid w:val="002C198B"/>
    <w:rsid w:val="002C40D8"/>
    <w:rsid w:val="002C4174"/>
    <w:rsid w:val="002C4456"/>
    <w:rsid w:val="002C4757"/>
    <w:rsid w:val="002C58AB"/>
    <w:rsid w:val="002C636D"/>
    <w:rsid w:val="002C6642"/>
    <w:rsid w:val="002C69F7"/>
    <w:rsid w:val="002C6DA3"/>
    <w:rsid w:val="002C6F8C"/>
    <w:rsid w:val="002C78AC"/>
    <w:rsid w:val="002D1093"/>
    <w:rsid w:val="002D1250"/>
    <w:rsid w:val="002D20E9"/>
    <w:rsid w:val="002D426D"/>
    <w:rsid w:val="002D447A"/>
    <w:rsid w:val="002D4DA9"/>
    <w:rsid w:val="002D4E00"/>
    <w:rsid w:val="002D5289"/>
    <w:rsid w:val="002D54D9"/>
    <w:rsid w:val="002D5747"/>
    <w:rsid w:val="002D5A19"/>
    <w:rsid w:val="002D7D10"/>
    <w:rsid w:val="002E1013"/>
    <w:rsid w:val="002E115F"/>
    <w:rsid w:val="002E2AA2"/>
    <w:rsid w:val="002E4156"/>
    <w:rsid w:val="002E573B"/>
    <w:rsid w:val="002E5C0E"/>
    <w:rsid w:val="002E63D0"/>
    <w:rsid w:val="002F0959"/>
    <w:rsid w:val="002F160A"/>
    <w:rsid w:val="002F1F81"/>
    <w:rsid w:val="002F3A41"/>
    <w:rsid w:val="002F434B"/>
    <w:rsid w:val="002F4872"/>
    <w:rsid w:val="002F713F"/>
    <w:rsid w:val="00300BD5"/>
    <w:rsid w:val="0030143A"/>
    <w:rsid w:val="003018A5"/>
    <w:rsid w:val="00301E08"/>
    <w:rsid w:val="00302937"/>
    <w:rsid w:val="0030327A"/>
    <w:rsid w:val="00303EC9"/>
    <w:rsid w:val="00304874"/>
    <w:rsid w:val="00305124"/>
    <w:rsid w:val="003065A5"/>
    <w:rsid w:val="00306B9E"/>
    <w:rsid w:val="00306BEA"/>
    <w:rsid w:val="00306C3D"/>
    <w:rsid w:val="00306C4E"/>
    <w:rsid w:val="003108DB"/>
    <w:rsid w:val="00312442"/>
    <w:rsid w:val="00313957"/>
    <w:rsid w:val="0031463F"/>
    <w:rsid w:val="00314C64"/>
    <w:rsid w:val="00314D52"/>
    <w:rsid w:val="003150E3"/>
    <w:rsid w:val="0031526D"/>
    <w:rsid w:val="00316811"/>
    <w:rsid w:val="00317636"/>
    <w:rsid w:val="00317E46"/>
    <w:rsid w:val="00320462"/>
    <w:rsid w:val="003208CB"/>
    <w:rsid w:val="00321DAE"/>
    <w:rsid w:val="003223DA"/>
    <w:rsid w:val="00322436"/>
    <w:rsid w:val="0032454C"/>
    <w:rsid w:val="00324E3C"/>
    <w:rsid w:val="0032673B"/>
    <w:rsid w:val="003269D6"/>
    <w:rsid w:val="00326F1C"/>
    <w:rsid w:val="0033035A"/>
    <w:rsid w:val="003306BE"/>
    <w:rsid w:val="0033522D"/>
    <w:rsid w:val="00335E3A"/>
    <w:rsid w:val="003361A4"/>
    <w:rsid w:val="00340216"/>
    <w:rsid w:val="00342F8B"/>
    <w:rsid w:val="003440C4"/>
    <w:rsid w:val="003442B0"/>
    <w:rsid w:val="00344337"/>
    <w:rsid w:val="00345B1E"/>
    <w:rsid w:val="00347C8C"/>
    <w:rsid w:val="0035126F"/>
    <w:rsid w:val="003512F2"/>
    <w:rsid w:val="0035134F"/>
    <w:rsid w:val="00352FD6"/>
    <w:rsid w:val="003539CB"/>
    <w:rsid w:val="0035782C"/>
    <w:rsid w:val="00357839"/>
    <w:rsid w:val="00357D6E"/>
    <w:rsid w:val="003611AA"/>
    <w:rsid w:val="00361285"/>
    <w:rsid w:val="003621DD"/>
    <w:rsid w:val="00362F82"/>
    <w:rsid w:val="00363807"/>
    <w:rsid w:val="00363D36"/>
    <w:rsid w:val="00364F86"/>
    <w:rsid w:val="003651EC"/>
    <w:rsid w:val="00365973"/>
    <w:rsid w:val="003666F1"/>
    <w:rsid w:val="00366AB2"/>
    <w:rsid w:val="00366CD3"/>
    <w:rsid w:val="00366DD7"/>
    <w:rsid w:val="003678CE"/>
    <w:rsid w:val="003706C9"/>
    <w:rsid w:val="00370C6D"/>
    <w:rsid w:val="003715C3"/>
    <w:rsid w:val="0037204B"/>
    <w:rsid w:val="00373237"/>
    <w:rsid w:val="003738B0"/>
    <w:rsid w:val="003739E4"/>
    <w:rsid w:val="00374F5B"/>
    <w:rsid w:val="00377663"/>
    <w:rsid w:val="00377FEB"/>
    <w:rsid w:val="00380221"/>
    <w:rsid w:val="003803D7"/>
    <w:rsid w:val="00380BFE"/>
    <w:rsid w:val="00381037"/>
    <w:rsid w:val="00381EA4"/>
    <w:rsid w:val="00382449"/>
    <w:rsid w:val="00382DC5"/>
    <w:rsid w:val="00382ECA"/>
    <w:rsid w:val="003845D6"/>
    <w:rsid w:val="00384674"/>
    <w:rsid w:val="00384806"/>
    <w:rsid w:val="0038569C"/>
    <w:rsid w:val="00385F4C"/>
    <w:rsid w:val="00385F81"/>
    <w:rsid w:val="0038790C"/>
    <w:rsid w:val="0038796D"/>
    <w:rsid w:val="00387D56"/>
    <w:rsid w:val="00391E15"/>
    <w:rsid w:val="00391F37"/>
    <w:rsid w:val="003920CF"/>
    <w:rsid w:val="00393855"/>
    <w:rsid w:val="0039505B"/>
    <w:rsid w:val="00395768"/>
    <w:rsid w:val="00396E1B"/>
    <w:rsid w:val="00396F24"/>
    <w:rsid w:val="003A0810"/>
    <w:rsid w:val="003A0BDA"/>
    <w:rsid w:val="003A3026"/>
    <w:rsid w:val="003A319C"/>
    <w:rsid w:val="003A58BA"/>
    <w:rsid w:val="003A5E11"/>
    <w:rsid w:val="003A6D01"/>
    <w:rsid w:val="003B13A4"/>
    <w:rsid w:val="003B34C2"/>
    <w:rsid w:val="003B40F5"/>
    <w:rsid w:val="003B55C1"/>
    <w:rsid w:val="003B74B9"/>
    <w:rsid w:val="003B7B78"/>
    <w:rsid w:val="003B7BE9"/>
    <w:rsid w:val="003B7DC4"/>
    <w:rsid w:val="003C0F00"/>
    <w:rsid w:val="003C1151"/>
    <w:rsid w:val="003C16FA"/>
    <w:rsid w:val="003C227A"/>
    <w:rsid w:val="003C2AEF"/>
    <w:rsid w:val="003C543B"/>
    <w:rsid w:val="003C576A"/>
    <w:rsid w:val="003C5A80"/>
    <w:rsid w:val="003C70BB"/>
    <w:rsid w:val="003C7F2A"/>
    <w:rsid w:val="003D0221"/>
    <w:rsid w:val="003D073C"/>
    <w:rsid w:val="003D0CA2"/>
    <w:rsid w:val="003D1042"/>
    <w:rsid w:val="003D13FB"/>
    <w:rsid w:val="003D151A"/>
    <w:rsid w:val="003D3D1C"/>
    <w:rsid w:val="003D4148"/>
    <w:rsid w:val="003D476C"/>
    <w:rsid w:val="003D5327"/>
    <w:rsid w:val="003D5CC3"/>
    <w:rsid w:val="003D64F3"/>
    <w:rsid w:val="003D7567"/>
    <w:rsid w:val="003E1406"/>
    <w:rsid w:val="003E3B70"/>
    <w:rsid w:val="003E3DD0"/>
    <w:rsid w:val="003E506E"/>
    <w:rsid w:val="003E53EA"/>
    <w:rsid w:val="003E544F"/>
    <w:rsid w:val="003E6AB2"/>
    <w:rsid w:val="003F06F3"/>
    <w:rsid w:val="003F1A55"/>
    <w:rsid w:val="003F1BA8"/>
    <w:rsid w:val="003F1EC4"/>
    <w:rsid w:val="003F3BE1"/>
    <w:rsid w:val="003F4481"/>
    <w:rsid w:val="003F4AB8"/>
    <w:rsid w:val="003F59BF"/>
    <w:rsid w:val="003F77CC"/>
    <w:rsid w:val="003F7855"/>
    <w:rsid w:val="003F7AEE"/>
    <w:rsid w:val="00400A17"/>
    <w:rsid w:val="00401916"/>
    <w:rsid w:val="004035C6"/>
    <w:rsid w:val="00404505"/>
    <w:rsid w:val="00404F6D"/>
    <w:rsid w:val="00405277"/>
    <w:rsid w:val="00405BC6"/>
    <w:rsid w:val="00405C3C"/>
    <w:rsid w:val="0040625A"/>
    <w:rsid w:val="00407357"/>
    <w:rsid w:val="0040797F"/>
    <w:rsid w:val="00407D90"/>
    <w:rsid w:val="00410AED"/>
    <w:rsid w:val="00411C29"/>
    <w:rsid w:val="00412491"/>
    <w:rsid w:val="00414451"/>
    <w:rsid w:val="00415358"/>
    <w:rsid w:val="0041635F"/>
    <w:rsid w:val="00416670"/>
    <w:rsid w:val="00417111"/>
    <w:rsid w:val="00417C47"/>
    <w:rsid w:val="0042052E"/>
    <w:rsid w:val="00420598"/>
    <w:rsid w:val="00420EA3"/>
    <w:rsid w:val="00422FEA"/>
    <w:rsid w:val="00423A88"/>
    <w:rsid w:val="00423AFE"/>
    <w:rsid w:val="00424364"/>
    <w:rsid w:val="004249F7"/>
    <w:rsid w:val="00424C06"/>
    <w:rsid w:val="0042657E"/>
    <w:rsid w:val="00426E30"/>
    <w:rsid w:val="00426FFB"/>
    <w:rsid w:val="00427863"/>
    <w:rsid w:val="00427E1E"/>
    <w:rsid w:val="00431747"/>
    <w:rsid w:val="00431D3C"/>
    <w:rsid w:val="00433093"/>
    <w:rsid w:val="00433C64"/>
    <w:rsid w:val="00433CCA"/>
    <w:rsid w:val="00433E3D"/>
    <w:rsid w:val="004342FD"/>
    <w:rsid w:val="00435246"/>
    <w:rsid w:val="00435BC3"/>
    <w:rsid w:val="004367DF"/>
    <w:rsid w:val="00436EE9"/>
    <w:rsid w:val="004373BE"/>
    <w:rsid w:val="00440E92"/>
    <w:rsid w:val="00441DA4"/>
    <w:rsid w:val="00441FD0"/>
    <w:rsid w:val="00442AC4"/>
    <w:rsid w:val="00442EE1"/>
    <w:rsid w:val="00443900"/>
    <w:rsid w:val="00444962"/>
    <w:rsid w:val="00445083"/>
    <w:rsid w:val="00445635"/>
    <w:rsid w:val="0044579B"/>
    <w:rsid w:val="00445FD9"/>
    <w:rsid w:val="00446659"/>
    <w:rsid w:val="0044674F"/>
    <w:rsid w:val="0044799C"/>
    <w:rsid w:val="00450080"/>
    <w:rsid w:val="00450CA6"/>
    <w:rsid w:val="00450CE8"/>
    <w:rsid w:val="0045101B"/>
    <w:rsid w:val="00451183"/>
    <w:rsid w:val="00451F90"/>
    <w:rsid w:val="00452C85"/>
    <w:rsid w:val="00452E80"/>
    <w:rsid w:val="004532B3"/>
    <w:rsid w:val="004537F2"/>
    <w:rsid w:val="0045551E"/>
    <w:rsid w:val="00455D2E"/>
    <w:rsid w:val="0045743D"/>
    <w:rsid w:val="00457627"/>
    <w:rsid w:val="00460EF5"/>
    <w:rsid w:val="0046152F"/>
    <w:rsid w:val="00461797"/>
    <w:rsid w:val="004618D7"/>
    <w:rsid w:val="00462097"/>
    <w:rsid w:val="004622EB"/>
    <w:rsid w:val="00462F9B"/>
    <w:rsid w:val="00465040"/>
    <w:rsid w:val="00465D98"/>
    <w:rsid w:val="00465FB8"/>
    <w:rsid w:val="00465FDC"/>
    <w:rsid w:val="00466B53"/>
    <w:rsid w:val="004717D6"/>
    <w:rsid w:val="00472155"/>
    <w:rsid w:val="00474E10"/>
    <w:rsid w:val="00474FE3"/>
    <w:rsid w:val="004752E5"/>
    <w:rsid w:val="0047560C"/>
    <w:rsid w:val="004756FA"/>
    <w:rsid w:val="00475B2B"/>
    <w:rsid w:val="0047749F"/>
    <w:rsid w:val="0047788D"/>
    <w:rsid w:val="00477AC7"/>
    <w:rsid w:val="00477D44"/>
    <w:rsid w:val="00480236"/>
    <w:rsid w:val="00480A57"/>
    <w:rsid w:val="00481359"/>
    <w:rsid w:val="00481371"/>
    <w:rsid w:val="004828A9"/>
    <w:rsid w:val="00482BBE"/>
    <w:rsid w:val="00482FD9"/>
    <w:rsid w:val="0048336F"/>
    <w:rsid w:val="00483F4E"/>
    <w:rsid w:val="00484E9C"/>
    <w:rsid w:val="00485B84"/>
    <w:rsid w:val="00486E6E"/>
    <w:rsid w:val="004873C8"/>
    <w:rsid w:val="00490FF7"/>
    <w:rsid w:val="004915C1"/>
    <w:rsid w:val="0049366A"/>
    <w:rsid w:val="00493B4F"/>
    <w:rsid w:val="00493C7C"/>
    <w:rsid w:val="00494D49"/>
    <w:rsid w:val="00494FDA"/>
    <w:rsid w:val="00496251"/>
    <w:rsid w:val="004A0890"/>
    <w:rsid w:val="004A10D0"/>
    <w:rsid w:val="004A227B"/>
    <w:rsid w:val="004A23A6"/>
    <w:rsid w:val="004A23C0"/>
    <w:rsid w:val="004A3171"/>
    <w:rsid w:val="004A44EE"/>
    <w:rsid w:val="004A4919"/>
    <w:rsid w:val="004A59EE"/>
    <w:rsid w:val="004A5BAB"/>
    <w:rsid w:val="004A5E6D"/>
    <w:rsid w:val="004A718F"/>
    <w:rsid w:val="004A7634"/>
    <w:rsid w:val="004A7D20"/>
    <w:rsid w:val="004B0920"/>
    <w:rsid w:val="004B0CCB"/>
    <w:rsid w:val="004B1D5A"/>
    <w:rsid w:val="004B2331"/>
    <w:rsid w:val="004B243F"/>
    <w:rsid w:val="004B2EAA"/>
    <w:rsid w:val="004B3734"/>
    <w:rsid w:val="004B4C3A"/>
    <w:rsid w:val="004B4E10"/>
    <w:rsid w:val="004B61E5"/>
    <w:rsid w:val="004B65EF"/>
    <w:rsid w:val="004B6800"/>
    <w:rsid w:val="004B6CA0"/>
    <w:rsid w:val="004B6D65"/>
    <w:rsid w:val="004B78A0"/>
    <w:rsid w:val="004C0C1A"/>
    <w:rsid w:val="004C3058"/>
    <w:rsid w:val="004C501E"/>
    <w:rsid w:val="004C552A"/>
    <w:rsid w:val="004C5ACC"/>
    <w:rsid w:val="004C6649"/>
    <w:rsid w:val="004C668B"/>
    <w:rsid w:val="004C76A8"/>
    <w:rsid w:val="004D247D"/>
    <w:rsid w:val="004D2DC9"/>
    <w:rsid w:val="004D2F68"/>
    <w:rsid w:val="004D382C"/>
    <w:rsid w:val="004D3B58"/>
    <w:rsid w:val="004D45D2"/>
    <w:rsid w:val="004D5355"/>
    <w:rsid w:val="004D70BC"/>
    <w:rsid w:val="004D7B82"/>
    <w:rsid w:val="004D7D88"/>
    <w:rsid w:val="004D7E4E"/>
    <w:rsid w:val="004E07CE"/>
    <w:rsid w:val="004E0F82"/>
    <w:rsid w:val="004E1C0C"/>
    <w:rsid w:val="004E3481"/>
    <w:rsid w:val="004E378A"/>
    <w:rsid w:val="004E5C3C"/>
    <w:rsid w:val="004E6110"/>
    <w:rsid w:val="004E6503"/>
    <w:rsid w:val="004E783B"/>
    <w:rsid w:val="004F2860"/>
    <w:rsid w:val="004F6360"/>
    <w:rsid w:val="004F6674"/>
    <w:rsid w:val="004F6E40"/>
    <w:rsid w:val="004F7739"/>
    <w:rsid w:val="004F7DD1"/>
    <w:rsid w:val="005015AE"/>
    <w:rsid w:val="00501B65"/>
    <w:rsid w:val="00501F8C"/>
    <w:rsid w:val="00502464"/>
    <w:rsid w:val="00503479"/>
    <w:rsid w:val="005038B6"/>
    <w:rsid w:val="005046EA"/>
    <w:rsid w:val="00504953"/>
    <w:rsid w:val="00504A46"/>
    <w:rsid w:val="00511080"/>
    <w:rsid w:val="005117D0"/>
    <w:rsid w:val="00511F58"/>
    <w:rsid w:val="00511FDA"/>
    <w:rsid w:val="00512A47"/>
    <w:rsid w:val="00512B9C"/>
    <w:rsid w:val="00514081"/>
    <w:rsid w:val="00514822"/>
    <w:rsid w:val="00514CF6"/>
    <w:rsid w:val="005154B5"/>
    <w:rsid w:val="00516363"/>
    <w:rsid w:val="00520556"/>
    <w:rsid w:val="00520E06"/>
    <w:rsid w:val="0052152A"/>
    <w:rsid w:val="00521FB8"/>
    <w:rsid w:val="00522BB0"/>
    <w:rsid w:val="0052325E"/>
    <w:rsid w:val="00523336"/>
    <w:rsid w:val="0052375F"/>
    <w:rsid w:val="00523C2F"/>
    <w:rsid w:val="0052530D"/>
    <w:rsid w:val="00526123"/>
    <w:rsid w:val="00526C1F"/>
    <w:rsid w:val="00526C9A"/>
    <w:rsid w:val="005300E5"/>
    <w:rsid w:val="0053045D"/>
    <w:rsid w:val="005331A8"/>
    <w:rsid w:val="005331E1"/>
    <w:rsid w:val="005335B4"/>
    <w:rsid w:val="0053385A"/>
    <w:rsid w:val="00533E98"/>
    <w:rsid w:val="0053442C"/>
    <w:rsid w:val="00534C0E"/>
    <w:rsid w:val="00534E1B"/>
    <w:rsid w:val="00534FDF"/>
    <w:rsid w:val="00536162"/>
    <w:rsid w:val="00536960"/>
    <w:rsid w:val="00537776"/>
    <w:rsid w:val="00537938"/>
    <w:rsid w:val="005401E7"/>
    <w:rsid w:val="00540341"/>
    <w:rsid w:val="00540B7F"/>
    <w:rsid w:val="005411C9"/>
    <w:rsid w:val="00543714"/>
    <w:rsid w:val="005439AB"/>
    <w:rsid w:val="00543D16"/>
    <w:rsid w:val="00543F05"/>
    <w:rsid w:val="0054512C"/>
    <w:rsid w:val="005463B2"/>
    <w:rsid w:val="00546743"/>
    <w:rsid w:val="00546D51"/>
    <w:rsid w:val="00547310"/>
    <w:rsid w:val="00547A3C"/>
    <w:rsid w:val="005505C6"/>
    <w:rsid w:val="00550A56"/>
    <w:rsid w:val="00552058"/>
    <w:rsid w:val="00552ABD"/>
    <w:rsid w:val="00553A0D"/>
    <w:rsid w:val="00553B4A"/>
    <w:rsid w:val="005546E1"/>
    <w:rsid w:val="00554BBF"/>
    <w:rsid w:val="00554E11"/>
    <w:rsid w:val="00555924"/>
    <w:rsid w:val="00556F79"/>
    <w:rsid w:val="00557C21"/>
    <w:rsid w:val="005606C9"/>
    <w:rsid w:val="0056130A"/>
    <w:rsid w:val="00561514"/>
    <w:rsid w:val="00562171"/>
    <w:rsid w:val="005622EF"/>
    <w:rsid w:val="005631DD"/>
    <w:rsid w:val="005637AC"/>
    <w:rsid w:val="00563D75"/>
    <w:rsid w:val="00563DBC"/>
    <w:rsid w:val="00564E17"/>
    <w:rsid w:val="00566686"/>
    <w:rsid w:val="00567897"/>
    <w:rsid w:val="0057100C"/>
    <w:rsid w:val="005723CB"/>
    <w:rsid w:val="00573437"/>
    <w:rsid w:val="005741FB"/>
    <w:rsid w:val="00575086"/>
    <w:rsid w:val="0057565A"/>
    <w:rsid w:val="005759F5"/>
    <w:rsid w:val="005761ED"/>
    <w:rsid w:val="00576429"/>
    <w:rsid w:val="0057709F"/>
    <w:rsid w:val="00580FFF"/>
    <w:rsid w:val="005816DD"/>
    <w:rsid w:val="00581830"/>
    <w:rsid w:val="00581B9F"/>
    <w:rsid w:val="00581D56"/>
    <w:rsid w:val="005828CF"/>
    <w:rsid w:val="00583FC3"/>
    <w:rsid w:val="00585C1A"/>
    <w:rsid w:val="005877C2"/>
    <w:rsid w:val="00590F81"/>
    <w:rsid w:val="00591C88"/>
    <w:rsid w:val="00591D27"/>
    <w:rsid w:val="00591DE0"/>
    <w:rsid w:val="00592319"/>
    <w:rsid w:val="005930FC"/>
    <w:rsid w:val="00593893"/>
    <w:rsid w:val="00595A23"/>
    <w:rsid w:val="00595D70"/>
    <w:rsid w:val="00595EE3"/>
    <w:rsid w:val="005A0839"/>
    <w:rsid w:val="005A09B9"/>
    <w:rsid w:val="005A10B5"/>
    <w:rsid w:val="005A1D55"/>
    <w:rsid w:val="005A1E6F"/>
    <w:rsid w:val="005A1EEC"/>
    <w:rsid w:val="005A269B"/>
    <w:rsid w:val="005A52CC"/>
    <w:rsid w:val="005A5F1A"/>
    <w:rsid w:val="005A5F9F"/>
    <w:rsid w:val="005A65D1"/>
    <w:rsid w:val="005A78B0"/>
    <w:rsid w:val="005B03BB"/>
    <w:rsid w:val="005B0611"/>
    <w:rsid w:val="005B1833"/>
    <w:rsid w:val="005B432B"/>
    <w:rsid w:val="005B6A6B"/>
    <w:rsid w:val="005B6CD3"/>
    <w:rsid w:val="005B77F5"/>
    <w:rsid w:val="005B7E50"/>
    <w:rsid w:val="005B7E68"/>
    <w:rsid w:val="005B7E8F"/>
    <w:rsid w:val="005B7F41"/>
    <w:rsid w:val="005C08D4"/>
    <w:rsid w:val="005C0B81"/>
    <w:rsid w:val="005C0F22"/>
    <w:rsid w:val="005C1316"/>
    <w:rsid w:val="005C200C"/>
    <w:rsid w:val="005C2831"/>
    <w:rsid w:val="005C29EB"/>
    <w:rsid w:val="005C348F"/>
    <w:rsid w:val="005C4808"/>
    <w:rsid w:val="005C4A1F"/>
    <w:rsid w:val="005C6B34"/>
    <w:rsid w:val="005C737D"/>
    <w:rsid w:val="005C7DC6"/>
    <w:rsid w:val="005D047C"/>
    <w:rsid w:val="005D05BE"/>
    <w:rsid w:val="005D05F8"/>
    <w:rsid w:val="005D0800"/>
    <w:rsid w:val="005D099A"/>
    <w:rsid w:val="005D15E4"/>
    <w:rsid w:val="005D1EC7"/>
    <w:rsid w:val="005D1F4E"/>
    <w:rsid w:val="005D20A2"/>
    <w:rsid w:val="005D29C9"/>
    <w:rsid w:val="005D2A69"/>
    <w:rsid w:val="005D34F0"/>
    <w:rsid w:val="005D4361"/>
    <w:rsid w:val="005D4757"/>
    <w:rsid w:val="005D4882"/>
    <w:rsid w:val="005D4ECA"/>
    <w:rsid w:val="005D722A"/>
    <w:rsid w:val="005D740A"/>
    <w:rsid w:val="005E0C26"/>
    <w:rsid w:val="005E1056"/>
    <w:rsid w:val="005E133A"/>
    <w:rsid w:val="005E1A53"/>
    <w:rsid w:val="005E2BFE"/>
    <w:rsid w:val="005E3F05"/>
    <w:rsid w:val="005E54AE"/>
    <w:rsid w:val="005E6515"/>
    <w:rsid w:val="005F00BB"/>
    <w:rsid w:val="005F08EA"/>
    <w:rsid w:val="005F1451"/>
    <w:rsid w:val="005F311E"/>
    <w:rsid w:val="005F5661"/>
    <w:rsid w:val="005F5D25"/>
    <w:rsid w:val="005F72C2"/>
    <w:rsid w:val="005F7F42"/>
    <w:rsid w:val="006007AE"/>
    <w:rsid w:val="00600FDC"/>
    <w:rsid w:val="00601691"/>
    <w:rsid w:val="00602E1B"/>
    <w:rsid w:val="00602EAC"/>
    <w:rsid w:val="0060333D"/>
    <w:rsid w:val="00603DE1"/>
    <w:rsid w:val="006040AA"/>
    <w:rsid w:val="00604A74"/>
    <w:rsid w:val="0060606B"/>
    <w:rsid w:val="00607F00"/>
    <w:rsid w:val="006105C4"/>
    <w:rsid w:val="0061341B"/>
    <w:rsid w:val="0061366C"/>
    <w:rsid w:val="00614134"/>
    <w:rsid w:val="006143AB"/>
    <w:rsid w:val="00614E8D"/>
    <w:rsid w:val="00614ED4"/>
    <w:rsid w:val="00615625"/>
    <w:rsid w:val="00616B31"/>
    <w:rsid w:val="00616FEA"/>
    <w:rsid w:val="006202B5"/>
    <w:rsid w:val="006242E0"/>
    <w:rsid w:val="00624BF1"/>
    <w:rsid w:val="0062557A"/>
    <w:rsid w:val="00630C2A"/>
    <w:rsid w:val="00631124"/>
    <w:rsid w:val="0063179C"/>
    <w:rsid w:val="00632FE8"/>
    <w:rsid w:val="00633694"/>
    <w:rsid w:val="00633934"/>
    <w:rsid w:val="006350E9"/>
    <w:rsid w:val="00635D3F"/>
    <w:rsid w:val="00635EC3"/>
    <w:rsid w:val="00636318"/>
    <w:rsid w:val="006369D6"/>
    <w:rsid w:val="00636B8F"/>
    <w:rsid w:val="006376F1"/>
    <w:rsid w:val="00637A00"/>
    <w:rsid w:val="00640290"/>
    <w:rsid w:val="00640A44"/>
    <w:rsid w:val="006410C2"/>
    <w:rsid w:val="00641393"/>
    <w:rsid w:val="0064258B"/>
    <w:rsid w:val="00642823"/>
    <w:rsid w:val="006437C5"/>
    <w:rsid w:val="0064469E"/>
    <w:rsid w:val="00644754"/>
    <w:rsid w:val="00646F59"/>
    <w:rsid w:val="006478AD"/>
    <w:rsid w:val="00647AC1"/>
    <w:rsid w:val="00650982"/>
    <w:rsid w:val="00650E02"/>
    <w:rsid w:val="0065101C"/>
    <w:rsid w:val="006524A1"/>
    <w:rsid w:val="006526CB"/>
    <w:rsid w:val="00653D06"/>
    <w:rsid w:val="0065443A"/>
    <w:rsid w:val="006550C7"/>
    <w:rsid w:val="0065576C"/>
    <w:rsid w:val="00655794"/>
    <w:rsid w:val="0065611F"/>
    <w:rsid w:val="006565FE"/>
    <w:rsid w:val="006568E2"/>
    <w:rsid w:val="00660986"/>
    <w:rsid w:val="00660A79"/>
    <w:rsid w:val="00660B54"/>
    <w:rsid w:val="00660E59"/>
    <w:rsid w:val="00660EA9"/>
    <w:rsid w:val="006617E5"/>
    <w:rsid w:val="00663328"/>
    <w:rsid w:val="006639F7"/>
    <w:rsid w:val="0066404F"/>
    <w:rsid w:val="00664DF0"/>
    <w:rsid w:val="00665341"/>
    <w:rsid w:val="00665418"/>
    <w:rsid w:val="00665BB1"/>
    <w:rsid w:val="00665CCD"/>
    <w:rsid w:val="00666000"/>
    <w:rsid w:val="00666415"/>
    <w:rsid w:val="006665C5"/>
    <w:rsid w:val="00666614"/>
    <w:rsid w:val="00667D03"/>
    <w:rsid w:val="0067287C"/>
    <w:rsid w:val="00673E99"/>
    <w:rsid w:val="00674219"/>
    <w:rsid w:val="0067429D"/>
    <w:rsid w:val="00675530"/>
    <w:rsid w:val="00675608"/>
    <w:rsid w:val="006757E8"/>
    <w:rsid w:val="00676275"/>
    <w:rsid w:val="00676A6E"/>
    <w:rsid w:val="00680210"/>
    <w:rsid w:val="006805DF"/>
    <w:rsid w:val="00680678"/>
    <w:rsid w:val="00680C46"/>
    <w:rsid w:val="00680E4E"/>
    <w:rsid w:val="006814C6"/>
    <w:rsid w:val="00681737"/>
    <w:rsid w:val="00681B5F"/>
    <w:rsid w:val="00682278"/>
    <w:rsid w:val="0068283B"/>
    <w:rsid w:val="00683463"/>
    <w:rsid w:val="006835C5"/>
    <w:rsid w:val="00683667"/>
    <w:rsid w:val="0068392A"/>
    <w:rsid w:val="00683A02"/>
    <w:rsid w:val="0068420C"/>
    <w:rsid w:val="0068473C"/>
    <w:rsid w:val="00685DBC"/>
    <w:rsid w:val="006871A2"/>
    <w:rsid w:val="00687B43"/>
    <w:rsid w:val="00687FD5"/>
    <w:rsid w:val="00690C4A"/>
    <w:rsid w:val="00690D38"/>
    <w:rsid w:val="006918D8"/>
    <w:rsid w:val="0069228D"/>
    <w:rsid w:val="006922A4"/>
    <w:rsid w:val="00694112"/>
    <w:rsid w:val="006945B1"/>
    <w:rsid w:val="00694804"/>
    <w:rsid w:val="00695D74"/>
    <w:rsid w:val="00696D08"/>
    <w:rsid w:val="00696DED"/>
    <w:rsid w:val="006976E7"/>
    <w:rsid w:val="00697B06"/>
    <w:rsid w:val="006A31A9"/>
    <w:rsid w:val="006A3DE9"/>
    <w:rsid w:val="006A3DF3"/>
    <w:rsid w:val="006A6751"/>
    <w:rsid w:val="006A6795"/>
    <w:rsid w:val="006A735B"/>
    <w:rsid w:val="006A7782"/>
    <w:rsid w:val="006B0D83"/>
    <w:rsid w:val="006B12E0"/>
    <w:rsid w:val="006B16EA"/>
    <w:rsid w:val="006B16F5"/>
    <w:rsid w:val="006B257C"/>
    <w:rsid w:val="006B3908"/>
    <w:rsid w:val="006B5A84"/>
    <w:rsid w:val="006B5E3D"/>
    <w:rsid w:val="006C1085"/>
    <w:rsid w:val="006C3874"/>
    <w:rsid w:val="006C3988"/>
    <w:rsid w:val="006C3AC8"/>
    <w:rsid w:val="006C478C"/>
    <w:rsid w:val="006C4D5E"/>
    <w:rsid w:val="006C65BA"/>
    <w:rsid w:val="006C745F"/>
    <w:rsid w:val="006C7FE1"/>
    <w:rsid w:val="006D0FED"/>
    <w:rsid w:val="006D10FF"/>
    <w:rsid w:val="006D1368"/>
    <w:rsid w:val="006D25E0"/>
    <w:rsid w:val="006D377F"/>
    <w:rsid w:val="006D3CCA"/>
    <w:rsid w:val="006D415D"/>
    <w:rsid w:val="006D7115"/>
    <w:rsid w:val="006D7D89"/>
    <w:rsid w:val="006E0282"/>
    <w:rsid w:val="006E0B22"/>
    <w:rsid w:val="006E29C9"/>
    <w:rsid w:val="006E4712"/>
    <w:rsid w:val="006E483B"/>
    <w:rsid w:val="006E61FE"/>
    <w:rsid w:val="006E7361"/>
    <w:rsid w:val="006F04A7"/>
    <w:rsid w:val="006F2E5B"/>
    <w:rsid w:val="006F319E"/>
    <w:rsid w:val="006F3507"/>
    <w:rsid w:val="006F3A5B"/>
    <w:rsid w:val="006F40ED"/>
    <w:rsid w:val="006F47AB"/>
    <w:rsid w:val="006F6E81"/>
    <w:rsid w:val="006F72E7"/>
    <w:rsid w:val="006F7A89"/>
    <w:rsid w:val="0070000B"/>
    <w:rsid w:val="00700889"/>
    <w:rsid w:val="00701361"/>
    <w:rsid w:val="00701930"/>
    <w:rsid w:val="00701D7F"/>
    <w:rsid w:val="007027CE"/>
    <w:rsid w:val="00702AAD"/>
    <w:rsid w:val="00702D23"/>
    <w:rsid w:val="00703CFB"/>
    <w:rsid w:val="00704907"/>
    <w:rsid w:val="00704C0B"/>
    <w:rsid w:val="00711316"/>
    <w:rsid w:val="00711541"/>
    <w:rsid w:val="00711BB4"/>
    <w:rsid w:val="00711C71"/>
    <w:rsid w:val="00712190"/>
    <w:rsid w:val="007127B3"/>
    <w:rsid w:val="00713029"/>
    <w:rsid w:val="007141C7"/>
    <w:rsid w:val="00714727"/>
    <w:rsid w:val="00714CDC"/>
    <w:rsid w:val="00715F58"/>
    <w:rsid w:val="00715FE5"/>
    <w:rsid w:val="007161C0"/>
    <w:rsid w:val="00716913"/>
    <w:rsid w:val="00717B99"/>
    <w:rsid w:val="00717F69"/>
    <w:rsid w:val="007212B6"/>
    <w:rsid w:val="0072231F"/>
    <w:rsid w:val="0072303C"/>
    <w:rsid w:val="00723559"/>
    <w:rsid w:val="0072436F"/>
    <w:rsid w:val="0072450F"/>
    <w:rsid w:val="00724560"/>
    <w:rsid w:val="00725947"/>
    <w:rsid w:val="00726903"/>
    <w:rsid w:val="00726ADD"/>
    <w:rsid w:val="00733184"/>
    <w:rsid w:val="00734E6D"/>
    <w:rsid w:val="00735641"/>
    <w:rsid w:val="0073584A"/>
    <w:rsid w:val="007365DE"/>
    <w:rsid w:val="00736C8E"/>
    <w:rsid w:val="00737582"/>
    <w:rsid w:val="00737EEA"/>
    <w:rsid w:val="0074087F"/>
    <w:rsid w:val="00740B39"/>
    <w:rsid w:val="0074314C"/>
    <w:rsid w:val="00743F4A"/>
    <w:rsid w:val="0074405F"/>
    <w:rsid w:val="007446BE"/>
    <w:rsid w:val="0074492C"/>
    <w:rsid w:val="00744B41"/>
    <w:rsid w:val="007452DD"/>
    <w:rsid w:val="007473E1"/>
    <w:rsid w:val="007476A2"/>
    <w:rsid w:val="00747DF7"/>
    <w:rsid w:val="007520AF"/>
    <w:rsid w:val="00752EB4"/>
    <w:rsid w:val="007534C7"/>
    <w:rsid w:val="0075673F"/>
    <w:rsid w:val="007579D1"/>
    <w:rsid w:val="007604A0"/>
    <w:rsid w:val="00760ADF"/>
    <w:rsid w:val="007614CB"/>
    <w:rsid w:val="0076296E"/>
    <w:rsid w:val="007629A7"/>
    <w:rsid w:val="00762E9E"/>
    <w:rsid w:val="0076367A"/>
    <w:rsid w:val="00763992"/>
    <w:rsid w:val="00763CC1"/>
    <w:rsid w:val="00765667"/>
    <w:rsid w:val="0076647D"/>
    <w:rsid w:val="0076722E"/>
    <w:rsid w:val="007674E0"/>
    <w:rsid w:val="00767722"/>
    <w:rsid w:val="0077030E"/>
    <w:rsid w:val="00770344"/>
    <w:rsid w:val="007704ED"/>
    <w:rsid w:val="007706E5"/>
    <w:rsid w:val="00770951"/>
    <w:rsid w:val="00770ABA"/>
    <w:rsid w:val="00771081"/>
    <w:rsid w:val="00773838"/>
    <w:rsid w:val="00774074"/>
    <w:rsid w:val="007747A8"/>
    <w:rsid w:val="00774CF8"/>
    <w:rsid w:val="0077754F"/>
    <w:rsid w:val="00777E7B"/>
    <w:rsid w:val="00780006"/>
    <w:rsid w:val="0078005B"/>
    <w:rsid w:val="0078022D"/>
    <w:rsid w:val="007808D8"/>
    <w:rsid w:val="00781CE0"/>
    <w:rsid w:val="00782E09"/>
    <w:rsid w:val="00783698"/>
    <w:rsid w:val="00783BFA"/>
    <w:rsid w:val="00786B65"/>
    <w:rsid w:val="0078748C"/>
    <w:rsid w:val="007907F9"/>
    <w:rsid w:val="00791BCC"/>
    <w:rsid w:val="00792E33"/>
    <w:rsid w:val="00793BFA"/>
    <w:rsid w:val="00795BC4"/>
    <w:rsid w:val="007A165B"/>
    <w:rsid w:val="007A168E"/>
    <w:rsid w:val="007A3BA5"/>
    <w:rsid w:val="007A3C86"/>
    <w:rsid w:val="007A49FF"/>
    <w:rsid w:val="007A4B8E"/>
    <w:rsid w:val="007A7838"/>
    <w:rsid w:val="007A7A69"/>
    <w:rsid w:val="007A9D2D"/>
    <w:rsid w:val="007B0A29"/>
    <w:rsid w:val="007B264F"/>
    <w:rsid w:val="007B2C87"/>
    <w:rsid w:val="007B3DE0"/>
    <w:rsid w:val="007B52A9"/>
    <w:rsid w:val="007B6B41"/>
    <w:rsid w:val="007B7C6A"/>
    <w:rsid w:val="007B8248"/>
    <w:rsid w:val="007C14A4"/>
    <w:rsid w:val="007C6832"/>
    <w:rsid w:val="007C6B09"/>
    <w:rsid w:val="007C6C59"/>
    <w:rsid w:val="007C7E5C"/>
    <w:rsid w:val="007D081E"/>
    <w:rsid w:val="007D34DE"/>
    <w:rsid w:val="007D3D01"/>
    <w:rsid w:val="007D409D"/>
    <w:rsid w:val="007D50C8"/>
    <w:rsid w:val="007D6F0B"/>
    <w:rsid w:val="007D7387"/>
    <w:rsid w:val="007E0825"/>
    <w:rsid w:val="007E0FCB"/>
    <w:rsid w:val="007E16A4"/>
    <w:rsid w:val="007E1735"/>
    <w:rsid w:val="007E191E"/>
    <w:rsid w:val="007E1FF2"/>
    <w:rsid w:val="007E3B16"/>
    <w:rsid w:val="007E3BE0"/>
    <w:rsid w:val="007E4337"/>
    <w:rsid w:val="007E4F70"/>
    <w:rsid w:val="007E57B1"/>
    <w:rsid w:val="007F0699"/>
    <w:rsid w:val="007F224F"/>
    <w:rsid w:val="007F22D9"/>
    <w:rsid w:val="007F2397"/>
    <w:rsid w:val="007F489B"/>
    <w:rsid w:val="007F4C6C"/>
    <w:rsid w:val="007F63D9"/>
    <w:rsid w:val="007F6B22"/>
    <w:rsid w:val="007F7149"/>
    <w:rsid w:val="007F72AE"/>
    <w:rsid w:val="007F74BB"/>
    <w:rsid w:val="00800C3F"/>
    <w:rsid w:val="00801029"/>
    <w:rsid w:val="00801B04"/>
    <w:rsid w:val="00801E82"/>
    <w:rsid w:val="00802F80"/>
    <w:rsid w:val="0080338C"/>
    <w:rsid w:val="00803845"/>
    <w:rsid w:val="008043C1"/>
    <w:rsid w:val="00804753"/>
    <w:rsid w:val="008048C2"/>
    <w:rsid w:val="00804E27"/>
    <w:rsid w:val="008059A2"/>
    <w:rsid w:val="00806390"/>
    <w:rsid w:val="00810C83"/>
    <w:rsid w:val="00812641"/>
    <w:rsid w:val="00812AE8"/>
    <w:rsid w:val="00814632"/>
    <w:rsid w:val="0081469A"/>
    <w:rsid w:val="0081716A"/>
    <w:rsid w:val="00817D88"/>
    <w:rsid w:val="00817F87"/>
    <w:rsid w:val="008200DA"/>
    <w:rsid w:val="00821212"/>
    <w:rsid w:val="00821540"/>
    <w:rsid w:val="008221D2"/>
    <w:rsid w:val="00822CCA"/>
    <w:rsid w:val="00823450"/>
    <w:rsid w:val="0082367A"/>
    <w:rsid w:val="00823B00"/>
    <w:rsid w:val="00823DE8"/>
    <w:rsid w:val="00823E1B"/>
    <w:rsid w:val="00824C69"/>
    <w:rsid w:val="008268FD"/>
    <w:rsid w:val="00826D88"/>
    <w:rsid w:val="00827367"/>
    <w:rsid w:val="00827BE6"/>
    <w:rsid w:val="00830534"/>
    <w:rsid w:val="00830DB3"/>
    <w:rsid w:val="00831920"/>
    <w:rsid w:val="0083229F"/>
    <w:rsid w:val="008326DA"/>
    <w:rsid w:val="00832B94"/>
    <w:rsid w:val="00832F50"/>
    <w:rsid w:val="008330AB"/>
    <w:rsid w:val="00833133"/>
    <w:rsid w:val="0083441B"/>
    <w:rsid w:val="00834725"/>
    <w:rsid w:val="00834C89"/>
    <w:rsid w:val="00835D5E"/>
    <w:rsid w:val="00836E80"/>
    <w:rsid w:val="00837CEE"/>
    <w:rsid w:val="00837D3D"/>
    <w:rsid w:val="008407C1"/>
    <w:rsid w:val="00840BC7"/>
    <w:rsid w:val="008410CE"/>
    <w:rsid w:val="00841857"/>
    <w:rsid w:val="008439ED"/>
    <w:rsid w:val="00843DDE"/>
    <w:rsid w:val="008443CD"/>
    <w:rsid w:val="00845D14"/>
    <w:rsid w:val="00846C9E"/>
    <w:rsid w:val="00847133"/>
    <w:rsid w:val="008472FD"/>
    <w:rsid w:val="00851963"/>
    <w:rsid w:val="00851C5D"/>
    <w:rsid w:val="00852B66"/>
    <w:rsid w:val="00852F3C"/>
    <w:rsid w:val="00853574"/>
    <w:rsid w:val="00853E31"/>
    <w:rsid w:val="008540E8"/>
    <w:rsid w:val="00855FBB"/>
    <w:rsid w:val="00857883"/>
    <w:rsid w:val="00857EF9"/>
    <w:rsid w:val="0086121D"/>
    <w:rsid w:val="008614D7"/>
    <w:rsid w:val="008627A5"/>
    <w:rsid w:val="008627EB"/>
    <w:rsid w:val="00862994"/>
    <w:rsid w:val="00862D2E"/>
    <w:rsid w:val="00863D17"/>
    <w:rsid w:val="00863F2D"/>
    <w:rsid w:val="00864034"/>
    <w:rsid w:val="008643EF"/>
    <w:rsid w:val="0086703B"/>
    <w:rsid w:val="00867230"/>
    <w:rsid w:val="0087022B"/>
    <w:rsid w:val="00870C28"/>
    <w:rsid w:val="0087113A"/>
    <w:rsid w:val="008712EC"/>
    <w:rsid w:val="008714B8"/>
    <w:rsid w:val="008730C6"/>
    <w:rsid w:val="00874817"/>
    <w:rsid w:val="00874991"/>
    <w:rsid w:val="00874A8F"/>
    <w:rsid w:val="00876319"/>
    <w:rsid w:val="00876A42"/>
    <w:rsid w:val="0087744D"/>
    <w:rsid w:val="0087760B"/>
    <w:rsid w:val="008777D5"/>
    <w:rsid w:val="008809A3"/>
    <w:rsid w:val="008816C2"/>
    <w:rsid w:val="00882412"/>
    <w:rsid w:val="008824C3"/>
    <w:rsid w:val="00882D39"/>
    <w:rsid w:val="00883515"/>
    <w:rsid w:val="00884173"/>
    <w:rsid w:val="008852EC"/>
    <w:rsid w:val="00885E0C"/>
    <w:rsid w:val="00887E57"/>
    <w:rsid w:val="00890B8A"/>
    <w:rsid w:val="00890DA9"/>
    <w:rsid w:val="00890EF8"/>
    <w:rsid w:val="00891C18"/>
    <w:rsid w:val="00893CFC"/>
    <w:rsid w:val="00894FE2"/>
    <w:rsid w:val="00895C46"/>
    <w:rsid w:val="008969C9"/>
    <w:rsid w:val="00896DE0"/>
    <w:rsid w:val="00897908"/>
    <w:rsid w:val="008A0724"/>
    <w:rsid w:val="008A0E3F"/>
    <w:rsid w:val="008A177D"/>
    <w:rsid w:val="008A1D91"/>
    <w:rsid w:val="008A2D9C"/>
    <w:rsid w:val="008A2FF6"/>
    <w:rsid w:val="008A3775"/>
    <w:rsid w:val="008A54B8"/>
    <w:rsid w:val="008A5A64"/>
    <w:rsid w:val="008A5EA3"/>
    <w:rsid w:val="008A6912"/>
    <w:rsid w:val="008A69C6"/>
    <w:rsid w:val="008A77B6"/>
    <w:rsid w:val="008B0A17"/>
    <w:rsid w:val="008B1F68"/>
    <w:rsid w:val="008B24D2"/>
    <w:rsid w:val="008B2D38"/>
    <w:rsid w:val="008B2EB5"/>
    <w:rsid w:val="008B373E"/>
    <w:rsid w:val="008B4841"/>
    <w:rsid w:val="008B7E8E"/>
    <w:rsid w:val="008C0B93"/>
    <w:rsid w:val="008C0D0A"/>
    <w:rsid w:val="008C0D8B"/>
    <w:rsid w:val="008C32B3"/>
    <w:rsid w:val="008C3FA0"/>
    <w:rsid w:val="008C4F0E"/>
    <w:rsid w:val="008C537D"/>
    <w:rsid w:val="008C5C94"/>
    <w:rsid w:val="008C5EE5"/>
    <w:rsid w:val="008C7636"/>
    <w:rsid w:val="008C76B1"/>
    <w:rsid w:val="008C7A48"/>
    <w:rsid w:val="008D27C8"/>
    <w:rsid w:val="008D3875"/>
    <w:rsid w:val="008D3DA8"/>
    <w:rsid w:val="008D40BB"/>
    <w:rsid w:val="008D573A"/>
    <w:rsid w:val="008D64E9"/>
    <w:rsid w:val="008D7E9D"/>
    <w:rsid w:val="008E140B"/>
    <w:rsid w:val="008E5D93"/>
    <w:rsid w:val="008E5ED2"/>
    <w:rsid w:val="008E67E0"/>
    <w:rsid w:val="008E76D1"/>
    <w:rsid w:val="008F14E3"/>
    <w:rsid w:val="008F1F41"/>
    <w:rsid w:val="008F2C29"/>
    <w:rsid w:val="008F37C2"/>
    <w:rsid w:val="008F4394"/>
    <w:rsid w:val="008F534D"/>
    <w:rsid w:val="008F6CEE"/>
    <w:rsid w:val="00901CC0"/>
    <w:rsid w:val="00902667"/>
    <w:rsid w:val="00902A70"/>
    <w:rsid w:val="009037E2"/>
    <w:rsid w:val="00904E84"/>
    <w:rsid w:val="00905727"/>
    <w:rsid w:val="00905865"/>
    <w:rsid w:val="00907FBF"/>
    <w:rsid w:val="0091031E"/>
    <w:rsid w:val="00911C7B"/>
    <w:rsid w:val="00913352"/>
    <w:rsid w:val="00913500"/>
    <w:rsid w:val="00913B28"/>
    <w:rsid w:val="009146CC"/>
    <w:rsid w:val="00915409"/>
    <w:rsid w:val="00915A90"/>
    <w:rsid w:val="00915F5F"/>
    <w:rsid w:val="00916052"/>
    <w:rsid w:val="00916905"/>
    <w:rsid w:val="009174BE"/>
    <w:rsid w:val="0091798E"/>
    <w:rsid w:val="00917FF3"/>
    <w:rsid w:val="009216D8"/>
    <w:rsid w:val="009238F3"/>
    <w:rsid w:val="00923D25"/>
    <w:rsid w:val="009240E5"/>
    <w:rsid w:val="009241D5"/>
    <w:rsid w:val="00925907"/>
    <w:rsid w:val="00926701"/>
    <w:rsid w:val="00926B24"/>
    <w:rsid w:val="00926BBC"/>
    <w:rsid w:val="0093016A"/>
    <w:rsid w:val="00931415"/>
    <w:rsid w:val="009334EA"/>
    <w:rsid w:val="009353BB"/>
    <w:rsid w:val="00936977"/>
    <w:rsid w:val="009370D7"/>
    <w:rsid w:val="009372BB"/>
    <w:rsid w:val="00937696"/>
    <w:rsid w:val="00937D2A"/>
    <w:rsid w:val="009400B0"/>
    <w:rsid w:val="009405F8"/>
    <w:rsid w:val="00940AE5"/>
    <w:rsid w:val="00941222"/>
    <w:rsid w:val="0094230B"/>
    <w:rsid w:val="00942EF1"/>
    <w:rsid w:val="00943884"/>
    <w:rsid w:val="00943DF0"/>
    <w:rsid w:val="00943EDC"/>
    <w:rsid w:val="009443FE"/>
    <w:rsid w:val="00944E46"/>
    <w:rsid w:val="0094629B"/>
    <w:rsid w:val="00946569"/>
    <w:rsid w:val="00947700"/>
    <w:rsid w:val="0095116A"/>
    <w:rsid w:val="00951ECC"/>
    <w:rsid w:val="009527E5"/>
    <w:rsid w:val="009533DB"/>
    <w:rsid w:val="0095346A"/>
    <w:rsid w:val="00953A4A"/>
    <w:rsid w:val="00953EAC"/>
    <w:rsid w:val="00954592"/>
    <w:rsid w:val="0095598B"/>
    <w:rsid w:val="00957116"/>
    <w:rsid w:val="009574BB"/>
    <w:rsid w:val="009576B5"/>
    <w:rsid w:val="00957B7E"/>
    <w:rsid w:val="00961280"/>
    <w:rsid w:val="0096152A"/>
    <w:rsid w:val="00961965"/>
    <w:rsid w:val="009625AB"/>
    <w:rsid w:val="00962A6C"/>
    <w:rsid w:val="00964CD2"/>
    <w:rsid w:val="0096500A"/>
    <w:rsid w:val="00971C7A"/>
    <w:rsid w:val="009728C1"/>
    <w:rsid w:val="00972AC2"/>
    <w:rsid w:val="0097309B"/>
    <w:rsid w:val="00973657"/>
    <w:rsid w:val="0097535A"/>
    <w:rsid w:val="00976527"/>
    <w:rsid w:val="00976722"/>
    <w:rsid w:val="00976F39"/>
    <w:rsid w:val="00980AE9"/>
    <w:rsid w:val="00981381"/>
    <w:rsid w:val="009836C3"/>
    <w:rsid w:val="00983970"/>
    <w:rsid w:val="0098437D"/>
    <w:rsid w:val="0098450B"/>
    <w:rsid w:val="00984C37"/>
    <w:rsid w:val="009852A3"/>
    <w:rsid w:val="00985352"/>
    <w:rsid w:val="00990564"/>
    <w:rsid w:val="009926FD"/>
    <w:rsid w:val="00993EAC"/>
    <w:rsid w:val="0099514A"/>
    <w:rsid w:val="00996337"/>
    <w:rsid w:val="00996500"/>
    <w:rsid w:val="009973F1"/>
    <w:rsid w:val="009A1092"/>
    <w:rsid w:val="009A159F"/>
    <w:rsid w:val="009A1780"/>
    <w:rsid w:val="009A1BBE"/>
    <w:rsid w:val="009A25E8"/>
    <w:rsid w:val="009A35B5"/>
    <w:rsid w:val="009A4162"/>
    <w:rsid w:val="009A4267"/>
    <w:rsid w:val="009A429E"/>
    <w:rsid w:val="009A5244"/>
    <w:rsid w:val="009A5C2B"/>
    <w:rsid w:val="009A74D5"/>
    <w:rsid w:val="009A7812"/>
    <w:rsid w:val="009A7B4F"/>
    <w:rsid w:val="009B05FB"/>
    <w:rsid w:val="009B0A47"/>
    <w:rsid w:val="009B240A"/>
    <w:rsid w:val="009B28AA"/>
    <w:rsid w:val="009B3AEB"/>
    <w:rsid w:val="009B410D"/>
    <w:rsid w:val="009B46AB"/>
    <w:rsid w:val="009B634E"/>
    <w:rsid w:val="009C0875"/>
    <w:rsid w:val="009C1A48"/>
    <w:rsid w:val="009C2547"/>
    <w:rsid w:val="009C27EE"/>
    <w:rsid w:val="009C2DA8"/>
    <w:rsid w:val="009C31DB"/>
    <w:rsid w:val="009C37F3"/>
    <w:rsid w:val="009C4362"/>
    <w:rsid w:val="009C445F"/>
    <w:rsid w:val="009C4FD6"/>
    <w:rsid w:val="009C6773"/>
    <w:rsid w:val="009C7C1E"/>
    <w:rsid w:val="009D0515"/>
    <w:rsid w:val="009D1437"/>
    <w:rsid w:val="009D221B"/>
    <w:rsid w:val="009D278F"/>
    <w:rsid w:val="009D32D2"/>
    <w:rsid w:val="009D33A0"/>
    <w:rsid w:val="009D3A83"/>
    <w:rsid w:val="009D3AFA"/>
    <w:rsid w:val="009D4765"/>
    <w:rsid w:val="009D5F2A"/>
    <w:rsid w:val="009D7925"/>
    <w:rsid w:val="009E0DD0"/>
    <w:rsid w:val="009E1801"/>
    <w:rsid w:val="009E1FAB"/>
    <w:rsid w:val="009E25D1"/>
    <w:rsid w:val="009E2874"/>
    <w:rsid w:val="009E305D"/>
    <w:rsid w:val="009E3A30"/>
    <w:rsid w:val="009E4963"/>
    <w:rsid w:val="009E4B1E"/>
    <w:rsid w:val="009E5707"/>
    <w:rsid w:val="009E65CD"/>
    <w:rsid w:val="009E72C6"/>
    <w:rsid w:val="009E73A1"/>
    <w:rsid w:val="009E7D0B"/>
    <w:rsid w:val="009F03BF"/>
    <w:rsid w:val="009F048E"/>
    <w:rsid w:val="009F101F"/>
    <w:rsid w:val="009F13BB"/>
    <w:rsid w:val="009F233A"/>
    <w:rsid w:val="009F56CC"/>
    <w:rsid w:val="009F56D7"/>
    <w:rsid w:val="009F6140"/>
    <w:rsid w:val="009F748D"/>
    <w:rsid w:val="009F7BBA"/>
    <w:rsid w:val="00A000D8"/>
    <w:rsid w:val="00A01828"/>
    <w:rsid w:val="00A04344"/>
    <w:rsid w:val="00A04F79"/>
    <w:rsid w:val="00A06B58"/>
    <w:rsid w:val="00A07348"/>
    <w:rsid w:val="00A07A33"/>
    <w:rsid w:val="00A07ECB"/>
    <w:rsid w:val="00A1003B"/>
    <w:rsid w:val="00A10EF8"/>
    <w:rsid w:val="00A11596"/>
    <w:rsid w:val="00A11EAF"/>
    <w:rsid w:val="00A12557"/>
    <w:rsid w:val="00A12D5E"/>
    <w:rsid w:val="00A13421"/>
    <w:rsid w:val="00A13D5E"/>
    <w:rsid w:val="00A154BA"/>
    <w:rsid w:val="00A20363"/>
    <w:rsid w:val="00A221AA"/>
    <w:rsid w:val="00A22634"/>
    <w:rsid w:val="00A237A5"/>
    <w:rsid w:val="00A237F7"/>
    <w:rsid w:val="00A247C7"/>
    <w:rsid w:val="00A24F53"/>
    <w:rsid w:val="00A26132"/>
    <w:rsid w:val="00A266F7"/>
    <w:rsid w:val="00A26BE8"/>
    <w:rsid w:val="00A26F2B"/>
    <w:rsid w:val="00A270ED"/>
    <w:rsid w:val="00A30473"/>
    <w:rsid w:val="00A3113D"/>
    <w:rsid w:val="00A31752"/>
    <w:rsid w:val="00A31A69"/>
    <w:rsid w:val="00A3205B"/>
    <w:rsid w:val="00A320DA"/>
    <w:rsid w:val="00A32B4F"/>
    <w:rsid w:val="00A32DE3"/>
    <w:rsid w:val="00A336AA"/>
    <w:rsid w:val="00A35069"/>
    <w:rsid w:val="00A35A1B"/>
    <w:rsid w:val="00A364ED"/>
    <w:rsid w:val="00A36769"/>
    <w:rsid w:val="00A369E7"/>
    <w:rsid w:val="00A373F1"/>
    <w:rsid w:val="00A4021C"/>
    <w:rsid w:val="00A4027A"/>
    <w:rsid w:val="00A41116"/>
    <w:rsid w:val="00A43274"/>
    <w:rsid w:val="00A43C77"/>
    <w:rsid w:val="00A44918"/>
    <w:rsid w:val="00A44D96"/>
    <w:rsid w:val="00A4589F"/>
    <w:rsid w:val="00A46040"/>
    <w:rsid w:val="00A465D8"/>
    <w:rsid w:val="00A46724"/>
    <w:rsid w:val="00A468E0"/>
    <w:rsid w:val="00A47D75"/>
    <w:rsid w:val="00A512A7"/>
    <w:rsid w:val="00A53CDF"/>
    <w:rsid w:val="00A55A3F"/>
    <w:rsid w:val="00A564A9"/>
    <w:rsid w:val="00A565FD"/>
    <w:rsid w:val="00A56C7D"/>
    <w:rsid w:val="00A57672"/>
    <w:rsid w:val="00A576D5"/>
    <w:rsid w:val="00A624C0"/>
    <w:rsid w:val="00A63081"/>
    <w:rsid w:val="00A6662B"/>
    <w:rsid w:val="00A7058F"/>
    <w:rsid w:val="00A70FD3"/>
    <w:rsid w:val="00A7104A"/>
    <w:rsid w:val="00A72091"/>
    <w:rsid w:val="00A7229C"/>
    <w:rsid w:val="00A75121"/>
    <w:rsid w:val="00A76ACB"/>
    <w:rsid w:val="00A80348"/>
    <w:rsid w:val="00A81429"/>
    <w:rsid w:val="00A81C9B"/>
    <w:rsid w:val="00A83E31"/>
    <w:rsid w:val="00A83F74"/>
    <w:rsid w:val="00A842DB"/>
    <w:rsid w:val="00A85046"/>
    <w:rsid w:val="00A85798"/>
    <w:rsid w:val="00A85953"/>
    <w:rsid w:val="00A879C8"/>
    <w:rsid w:val="00A90447"/>
    <w:rsid w:val="00A91A4A"/>
    <w:rsid w:val="00A92636"/>
    <w:rsid w:val="00A932BE"/>
    <w:rsid w:val="00A9597B"/>
    <w:rsid w:val="00A96110"/>
    <w:rsid w:val="00A961E5"/>
    <w:rsid w:val="00A96742"/>
    <w:rsid w:val="00A96971"/>
    <w:rsid w:val="00A97887"/>
    <w:rsid w:val="00A97F6B"/>
    <w:rsid w:val="00AA0658"/>
    <w:rsid w:val="00AA0A68"/>
    <w:rsid w:val="00AA2EFB"/>
    <w:rsid w:val="00AA739A"/>
    <w:rsid w:val="00AA74E4"/>
    <w:rsid w:val="00AA7784"/>
    <w:rsid w:val="00AB0451"/>
    <w:rsid w:val="00AB0B17"/>
    <w:rsid w:val="00AB22DF"/>
    <w:rsid w:val="00AB3504"/>
    <w:rsid w:val="00AB3F17"/>
    <w:rsid w:val="00AB4AD5"/>
    <w:rsid w:val="00AC0745"/>
    <w:rsid w:val="00AC1A11"/>
    <w:rsid w:val="00AC1BC1"/>
    <w:rsid w:val="00AC2EE9"/>
    <w:rsid w:val="00AC4696"/>
    <w:rsid w:val="00AC55C9"/>
    <w:rsid w:val="00AC685A"/>
    <w:rsid w:val="00AC6D63"/>
    <w:rsid w:val="00AD0768"/>
    <w:rsid w:val="00AD13DE"/>
    <w:rsid w:val="00AD1C36"/>
    <w:rsid w:val="00AD2C9D"/>
    <w:rsid w:val="00AD3B68"/>
    <w:rsid w:val="00AD65FD"/>
    <w:rsid w:val="00AD7422"/>
    <w:rsid w:val="00AD7467"/>
    <w:rsid w:val="00AE003B"/>
    <w:rsid w:val="00AE080F"/>
    <w:rsid w:val="00AE0B37"/>
    <w:rsid w:val="00AE0F8B"/>
    <w:rsid w:val="00AE100B"/>
    <w:rsid w:val="00AE46E4"/>
    <w:rsid w:val="00AE4D79"/>
    <w:rsid w:val="00AE7644"/>
    <w:rsid w:val="00AE77F1"/>
    <w:rsid w:val="00AE7FED"/>
    <w:rsid w:val="00AF0513"/>
    <w:rsid w:val="00AF211B"/>
    <w:rsid w:val="00AF23D7"/>
    <w:rsid w:val="00AF5142"/>
    <w:rsid w:val="00AF5B52"/>
    <w:rsid w:val="00AF708D"/>
    <w:rsid w:val="00B00A99"/>
    <w:rsid w:val="00B00E31"/>
    <w:rsid w:val="00B00F29"/>
    <w:rsid w:val="00B010AE"/>
    <w:rsid w:val="00B03333"/>
    <w:rsid w:val="00B06823"/>
    <w:rsid w:val="00B06B05"/>
    <w:rsid w:val="00B07AF0"/>
    <w:rsid w:val="00B07C0F"/>
    <w:rsid w:val="00B07FE3"/>
    <w:rsid w:val="00B10315"/>
    <w:rsid w:val="00B10C55"/>
    <w:rsid w:val="00B10F76"/>
    <w:rsid w:val="00B1185A"/>
    <w:rsid w:val="00B11DDE"/>
    <w:rsid w:val="00B12419"/>
    <w:rsid w:val="00B12445"/>
    <w:rsid w:val="00B124A4"/>
    <w:rsid w:val="00B12659"/>
    <w:rsid w:val="00B129FF"/>
    <w:rsid w:val="00B12A8D"/>
    <w:rsid w:val="00B13894"/>
    <w:rsid w:val="00B13986"/>
    <w:rsid w:val="00B145E2"/>
    <w:rsid w:val="00B14E90"/>
    <w:rsid w:val="00B16240"/>
    <w:rsid w:val="00B1667C"/>
    <w:rsid w:val="00B16B6E"/>
    <w:rsid w:val="00B16C48"/>
    <w:rsid w:val="00B171CE"/>
    <w:rsid w:val="00B175DD"/>
    <w:rsid w:val="00B177F7"/>
    <w:rsid w:val="00B17C53"/>
    <w:rsid w:val="00B20653"/>
    <w:rsid w:val="00B20A17"/>
    <w:rsid w:val="00B20C75"/>
    <w:rsid w:val="00B21A7B"/>
    <w:rsid w:val="00B23DDC"/>
    <w:rsid w:val="00B241FB"/>
    <w:rsid w:val="00B24941"/>
    <w:rsid w:val="00B24AC0"/>
    <w:rsid w:val="00B25178"/>
    <w:rsid w:val="00B308EC"/>
    <w:rsid w:val="00B310CA"/>
    <w:rsid w:val="00B3294C"/>
    <w:rsid w:val="00B34546"/>
    <w:rsid w:val="00B3605C"/>
    <w:rsid w:val="00B3622F"/>
    <w:rsid w:val="00B3676D"/>
    <w:rsid w:val="00B36E2E"/>
    <w:rsid w:val="00B378A5"/>
    <w:rsid w:val="00B3797A"/>
    <w:rsid w:val="00B404C1"/>
    <w:rsid w:val="00B40C0F"/>
    <w:rsid w:val="00B41356"/>
    <w:rsid w:val="00B413B1"/>
    <w:rsid w:val="00B42046"/>
    <w:rsid w:val="00B420C1"/>
    <w:rsid w:val="00B427CD"/>
    <w:rsid w:val="00B42DC4"/>
    <w:rsid w:val="00B43388"/>
    <w:rsid w:val="00B43D2D"/>
    <w:rsid w:val="00B447E8"/>
    <w:rsid w:val="00B461FC"/>
    <w:rsid w:val="00B5078A"/>
    <w:rsid w:val="00B50A2E"/>
    <w:rsid w:val="00B50E33"/>
    <w:rsid w:val="00B5108E"/>
    <w:rsid w:val="00B53131"/>
    <w:rsid w:val="00B5361F"/>
    <w:rsid w:val="00B53965"/>
    <w:rsid w:val="00B53E65"/>
    <w:rsid w:val="00B53EA3"/>
    <w:rsid w:val="00B53EC5"/>
    <w:rsid w:val="00B53FC5"/>
    <w:rsid w:val="00B54A9B"/>
    <w:rsid w:val="00B54B28"/>
    <w:rsid w:val="00B54B9F"/>
    <w:rsid w:val="00B55F2A"/>
    <w:rsid w:val="00B566D7"/>
    <w:rsid w:val="00B5676A"/>
    <w:rsid w:val="00B56C47"/>
    <w:rsid w:val="00B57443"/>
    <w:rsid w:val="00B607CF"/>
    <w:rsid w:val="00B6134E"/>
    <w:rsid w:val="00B621F9"/>
    <w:rsid w:val="00B64BFF"/>
    <w:rsid w:val="00B65139"/>
    <w:rsid w:val="00B654BB"/>
    <w:rsid w:val="00B65D1E"/>
    <w:rsid w:val="00B66798"/>
    <w:rsid w:val="00B70003"/>
    <w:rsid w:val="00B71925"/>
    <w:rsid w:val="00B72BB0"/>
    <w:rsid w:val="00B72FDB"/>
    <w:rsid w:val="00B74044"/>
    <w:rsid w:val="00B7462E"/>
    <w:rsid w:val="00B74EDE"/>
    <w:rsid w:val="00B75786"/>
    <w:rsid w:val="00B757CA"/>
    <w:rsid w:val="00B80444"/>
    <w:rsid w:val="00B80C17"/>
    <w:rsid w:val="00B825FF"/>
    <w:rsid w:val="00B83711"/>
    <w:rsid w:val="00B8406C"/>
    <w:rsid w:val="00B84180"/>
    <w:rsid w:val="00B85EFD"/>
    <w:rsid w:val="00B869CC"/>
    <w:rsid w:val="00B86AE4"/>
    <w:rsid w:val="00B86B03"/>
    <w:rsid w:val="00B86C1D"/>
    <w:rsid w:val="00B86EF2"/>
    <w:rsid w:val="00B901F9"/>
    <w:rsid w:val="00B90926"/>
    <w:rsid w:val="00B91A98"/>
    <w:rsid w:val="00B92AB8"/>
    <w:rsid w:val="00B93DAD"/>
    <w:rsid w:val="00B943B6"/>
    <w:rsid w:val="00B95628"/>
    <w:rsid w:val="00B9692E"/>
    <w:rsid w:val="00B97404"/>
    <w:rsid w:val="00B9740B"/>
    <w:rsid w:val="00BA0ABC"/>
    <w:rsid w:val="00BA0E16"/>
    <w:rsid w:val="00BA1108"/>
    <w:rsid w:val="00BA23EE"/>
    <w:rsid w:val="00BA2A84"/>
    <w:rsid w:val="00BA7847"/>
    <w:rsid w:val="00BA784D"/>
    <w:rsid w:val="00BA7BBB"/>
    <w:rsid w:val="00BA7D4A"/>
    <w:rsid w:val="00BB22A2"/>
    <w:rsid w:val="00BB29EC"/>
    <w:rsid w:val="00BB4B6B"/>
    <w:rsid w:val="00BB5F6F"/>
    <w:rsid w:val="00BB73C3"/>
    <w:rsid w:val="00BB777A"/>
    <w:rsid w:val="00BB7CFF"/>
    <w:rsid w:val="00BC1388"/>
    <w:rsid w:val="00BC56FD"/>
    <w:rsid w:val="00BC5D09"/>
    <w:rsid w:val="00BD0687"/>
    <w:rsid w:val="00BD0BF4"/>
    <w:rsid w:val="00BD1C66"/>
    <w:rsid w:val="00BD30B4"/>
    <w:rsid w:val="00BD3C4A"/>
    <w:rsid w:val="00BD404E"/>
    <w:rsid w:val="00BD41F6"/>
    <w:rsid w:val="00BD4C15"/>
    <w:rsid w:val="00BD61EA"/>
    <w:rsid w:val="00BD69C9"/>
    <w:rsid w:val="00BE0B20"/>
    <w:rsid w:val="00BE0D73"/>
    <w:rsid w:val="00BE0DED"/>
    <w:rsid w:val="00BE0F7B"/>
    <w:rsid w:val="00BE13D0"/>
    <w:rsid w:val="00BE198E"/>
    <w:rsid w:val="00BE1C41"/>
    <w:rsid w:val="00BE223A"/>
    <w:rsid w:val="00BE2FD5"/>
    <w:rsid w:val="00BE475D"/>
    <w:rsid w:val="00BE5BC2"/>
    <w:rsid w:val="00BE61D3"/>
    <w:rsid w:val="00BE6BEC"/>
    <w:rsid w:val="00BE7B4B"/>
    <w:rsid w:val="00BE7CB5"/>
    <w:rsid w:val="00BF030A"/>
    <w:rsid w:val="00BF094B"/>
    <w:rsid w:val="00BF0AC6"/>
    <w:rsid w:val="00BF11E7"/>
    <w:rsid w:val="00BF177B"/>
    <w:rsid w:val="00BF20B0"/>
    <w:rsid w:val="00BF21F5"/>
    <w:rsid w:val="00BF3467"/>
    <w:rsid w:val="00BF41B4"/>
    <w:rsid w:val="00BF5C2E"/>
    <w:rsid w:val="00BF5E9A"/>
    <w:rsid w:val="00BF655D"/>
    <w:rsid w:val="00BF6661"/>
    <w:rsid w:val="00BF696B"/>
    <w:rsid w:val="00BF6FDA"/>
    <w:rsid w:val="00BF7490"/>
    <w:rsid w:val="00C00C67"/>
    <w:rsid w:val="00C01752"/>
    <w:rsid w:val="00C024ED"/>
    <w:rsid w:val="00C04D17"/>
    <w:rsid w:val="00C0549F"/>
    <w:rsid w:val="00C05F6A"/>
    <w:rsid w:val="00C0781B"/>
    <w:rsid w:val="00C07965"/>
    <w:rsid w:val="00C07C50"/>
    <w:rsid w:val="00C10509"/>
    <w:rsid w:val="00C1054F"/>
    <w:rsid w:val="00C10875"/>
    <w:rsid w:val="00C11E86"/>
    <w:rsid w:val="00C13E3A"/>
    <w:rsid w:val="00C161EA"/>
    <w:rsid w:val="00C161FE"/>
    <w:rsid w:val="00C169F0"/>
    <w:rsid w:val="00C17224"/>
    <w:rsid w:val="00C17F43"/>
    <w:rsid w:val="00C2013B"/>
    <w:rsid w:val="00C20E2C"/>
    <w:rsid w:val="00C20E5D"/>
    <w:rsid w:val="00C21168"/>
    <w:rsid w:val="00C21FD5"/>
    <w:rsid w:val="00C224FA"/>
    <w:rsid w:val="00C24D77"/>
    <w:rsid w:val="00C26DB1"/>
    <w:rsid w:val="00C34541"/>
    <w:rsid w:val="00C345E8"/>
    <w:rsid w:val="00C3473C"/>
    <w:rsid w:val="00C36FBB"/>
    <w:rsid w:val="00C37357"/>
    <w:rsid w:val="00C42D5F"/>
    <w:rsid w:val="00C44BF4"/>
    <w:rsid w:val="00C44E98"/>
    <w:rsid w:val="00C44ECC"/>
    <w:rsid w:val="00C461BE"/>
    <w:rsid w:val="00C464A8"/>
    <w:rsid w:val="00C46555"/>
    <w:rsid w:val="00C47C0D"/>
    <w:rsid w:val="00C51799"/>
    <w:rsid w:val="00C51AD3"/>
    <w:rsid w:val="00C5247A"/>
    <w:rsid w:val="00C52DA2"/>
    <w:rsid w:val="00C53643"/>
    <w:rsid w:val="00C537E1"/>
    <w:rsid w:val="00C53DF4"/>
    <w:rsid w:val="00C54914"/>
    <w:rsid w:val="00C54DD1"/>
    <w:rsid w:val="00C55B10"/>
    <w:rsid w:val="00C57AB0"/>
    <w:rsid w:val="00C57F97"/>
    <w:rsid w:val="00C602D2"/>
    <w:rsid w:val="00C61384"/>
    <w:rsid w:val="00C62149"/>
    <w:rsid w:val="00C630AD"/>
    <w:rsid w:val="00C636A3"/>
    <w:rsid w:val="00C644A4"/>
    <w:rsid w:val="00C64771"/>
    <w:rsid w:val="00C64993"/>
    <w:rsid w:val="00C65C6C"/>
    <w:rsid w:val="00C662C3"/>
    <w:rsid w:val="00C679F0"/>
    <w:rsid w:val="00C7230A"/>
    <w:rsid w:val="00C726EA"/>
    <w:rsid w:val="00C730E2"/>
    <w:rsid w:val="00C734E5"/>
    <w:rsid w:val="00C73820"/>
    <w:rsid w:val="00C746FF"/>
    <w:rsid w:val="00C74D8B"/>
    <w:rsid w:val="00C74F00"/>
    <w:rsid w:val="00C75C21"/>
    <w:rsid w:val="00C768E4"/>
    <w:rsid w:val="00C76AEE"/>
    <w:rsid w:val="00C76B4E"/>
    <w:rsid w:val="00C7720F"/>
    <w:rsid w:val="00C80B6A"/>
    <w:rsid w:val="00C80C86"/>
    <w:rsid w:val="00C8245F"/>
    <w:rsid w:val="00C830A2"/>
    <w:rsid w:val="00C8445D"/>
    <w:rsid w:val="00C84E18"/>
    <w:rsid w:val="00C85557"/>
    <w:rsid w:val="00C856DD"/>
    <w:rsid w:val="00C8666C"/>
    <w:rsid w:val="00C87A2E"/>
    <w:rsid w:val="00C87A8A"/>
    <w:rsid w:val="00C87AFA"/>
    <w:rsid w:val="00C917D6"/>
    <w:rsid w:val="00C91FCE"/>
    <w:rsid w:val="00C92AB5"/>
    <w:rsid w:val="00C92DDB"/>
    <w:rsid w:val="00C93734"/>
    <w:rsid w:val="00C93800"/>
    <w:rsid w:val="00C94D3F"/>
    <w:rsid w:val="00C95B73"/>
    <w:rsid w:val="00C97265"/>
    <w:rsid w:val="00C97E6F"/>
    <w:rsid w:val="00CA0AB3"/>
    <w:rsid w:val="00CA138D"/>
    <w:rsid w:val="00CA23FE"/>
    <w:rsid w:val="00CA2730"/>
    <w:rsid w:val="00CA334D"/>
    <w:rsid w:val="00CA56B8"/>
    <w:rsid w:val="00CA685A"/>
    <w:rsid w:val="00CA6F96"/>
    <w:rsid w:val="00CA7C36"/>
    <w:rsid w:val="00CB0A0D"/>
    <w:rsid w:val="00CB13B2"/>
    <w:rsid w:val="00CB2E09"/>
    <w:rsid w:val="00CB35B6"/>
    <w:rsid w:val="00CB3D54"/>
    <w:rsid w:val="00CB40E5"/>
    <w:rsid w:val="00CB6406"/>
    <w:rsid w:val="00CB67A7"/>
    <w:rsid w:val="00CB6C42"/>
    <w:rsid w:val="00CB7336"/>
    <w:rsid w:val="00CB73E6"/>
    <w:rsid w:val="00CB7A68"/>
    <w:rsid w:val="00CB7AB3"/>
    <w:rsid w:val="00CC0DD2"/>
    <w:rsid w:val="00CC13FC"/>
    <w:rsid w:val="00CC1544"/>
    <w:rsid w:val="00CC1CC9"/>
    <w:rsid w:val="00CC3A77"/>
    <w:rsid w:val="00CC3D32"/>
    <w:rsid w:val="00CC4437"/>
    <w:rsid w:val="00CC4742"/>
    <w:rsid w:val="00CC5A5E"/>
    <w:rsid w:val="00CC6A01"/>
    <w:rsid w:val="00CC6D62"/>
    <w:rsid w:val="00CC6DD1"/>
    <w:rsid w:val="00CC78C3"/>
    <w:rsid w:val="00CD09D4"/>
    <w:rsid w:val="00CD0BBA"/>
    <w:rsid w:val="00CD1761"/>
    <w:rsid w:val="00CD1DF9"/>
    <w:rsid w:val="00CD1F23"/>
    <w:rsid w:val="00CD271D"/>
    <w:rsid w:val="00CD276F"/>
    <w:rsid w:val="00CD362C"/>
    <w:rsid w:val="00CD4236"/>
    <w:rsid w:val="00CD5167"/>
    <w:rsid w:val="00CE1CD3"/>
    <w:rsid w:val="00CE20AF"/>
    <w:rsid w:val="00CE2884"/>
    <w:rsid w:val="00CE2961"/>
    <w:rsid w:val="00CE2A83"/>
    <w:rsid w:val="00CE3DB1"/>
    <w:rsid w:val="00CE3DCC"/>
    <w:rsid w:val="00CE59F2"/>
    <w:rsid w:val="00CE5A70"/>
    <w:rsid w:val="00CE5A88"/>
    <w:rsid w:val="00CE6101"/>
    <w:rsid w:val="00CE6F98"/>
    <w:rsid w:val="00CE7A04"/>
    <w:rsid w:val="00CE7AEA"/>
    <w:rsid w:val="00CF1C89"/>
    <w:rsid w:val="00CF1FAE"/>
    <w:rsid w:val="00CF2235"/>
    <w:rsid w:val="00CF262C"/>
    <w:rsid w:val="00CF2DCA"/>
    <w:rsid w:val="00CF482A"/>
    <w:rsid w:val="00CF502A"/>
    <w:rsid w:val="00CF6539"/>
    <w:rsid w:val="00CF6DE0"/>
    <w:rsid w:val="00CF70A2"/>
    <w:rsid w:val="00CF7CBB"/>
    <w:rsid w:val="00CF7FFB"/>
    <w:rsid w:val="00D0030F"/>
    <w:rsid w:val="00D00964"/>
    <w:rsid w:val="00D00E9E"/>
    <w:rsid w:val="00D0112C"/>
    <w:rsid w:val="00D015BB"/>
    <w:rsid w:val="00D019E2"/>
    <w:rsid w:val="00D01AA2"/>
    <w:rsid w:val="00D023C7"/>
    <w:rsid w:val="00D02405"/>
    <w:rsid w:val="00D024EB"/>
    <w:rsid w:val="00D027E4"/>
    <w:rsid w:val="00D02FEA"/>
    <w:rsid w:val="00D03CA0"/>
    <w:rsid w:val="00D043CC"/>
    <w:rsid w:val="00D046A0"/>
    <w:rsid w:val="00D04A5E"/>
    <w:rsid w:val="00D04FF4"/>
    <w:rsid w:val="00D05497"/>
    <w:rsid w:val="00D0655B"/>
    <w:rsid w:val="00D073D3"/>
    <w:rsid w:val="00D07DB9"/>
    <w:rsid w:val="00D136C7"/>
    <w:rsid w:val="00D175B1"/>
    <w:rsid w:val="00D205F7"/>
    <w:rsid w:val="00D20CB1"/>
    <w:rsid w:val="00D20ED7"/>
    <w:rsid w:val="00D2133A"/>
    <w:rsid w:val="00D21390"/>
    <w:rsid w:val="00D21B31"/>
    <w:rsid w:val="00D22DD0"/>
    <w:rsid w:val="00D23056"/>
    <w:rsid w:val="00D24603"/>
    <w:rsid w:val="00D24CA2"/>
    <w:rsid w:val="00D24CBC"/>
    <w:rsid w:val="00D25928"/>
    <w:rsid w:val="00D25DEF"/>
    <w:rsid w:val="00D25EE6"/>
    <w:rsid w:val="00D268F0"/>
    <w:rsid w:val="00D26920"/>
    <w:rsid w:val="00D269F8"/>
    <w:rsid w:val="00D2774A"/>
    <w:rsid w:val="00D306A7"/>
    <w:rsid w:val="00D316AA"/>
    <w:rsid w:val="00D31D25"/>
    <w:rsid w:val="00D32852"/>
    <w:rsid w:val="00D32EAC"/>
    <w:rsid w:val="00D33BB3"/>
    <w:rsid w:val="00D3462E"/>
    <w:rsid w:val="00D346C9"/>
    <w:rsid w:val="00D3557E"/>
    <w:rsid w:val="00D35A4F"/>
    <w:rsid w:val="00D3608C"/>
    <w:rsid w:val="00D368FD"/>
    <w:rsid w:val="00D404D4"/>
    <w:rsid w:val="00D41896"/>
    <w:rsid w:val="00D41FD5"/>
    <w:rsid w:val="00D42909"/>
    <w:rsid w:val="00D460E3"/>
    <w:rsid w:val="00D46937"/>
    <w:rsid w:val="00D46FD7"/>
    <w:rsid w:val="00D47578"/>
    <w:rsid w:val="00D47D23"/>
    <w:rsid w:val="00D509C7"/>
    <w:rsid w:val="00D5141F"/>
    <w:rsid w:val="00D520E8"/>
    <w:rsid w:val="00D53206"/>
    <w:rsid w:val="00D53235"/>
    <w:rsid w:val="00D5384D"/>
    <w:rsid w:val="00D53997"/>
    <w:rsid w:val="00D54097"/>
    <w:rsid w:val="00D547B9"/>
    <w:rsid w:val="00D54919"/>
    <w:rsid w:val="00D556E5"/>
    <w:rsid w:val="00D565B0"/>
    <w:rsid w:val="00D56BCB"/>
    <w:rsid w:val="00D57EFE"/>
    <w:rsid w:val="00D61A91"/>
    <w:rsid w:val="00D61E40"/>
    <w:rsid w:val="00D62754"/>
    <w:rsid w:val="00D62C59"/>
    <w:rsid w:val="00D63A40"/>
    <w:rsid w:val="00D63A47"/>
    <w:rsid w:val="00D641B9"/>
    <w:rsid w:val="00D648CC"/>
    <w:rsid w:val="00D66AFF"/>
    <w:rsid w:val="00D66B4A"/>
    <w:rsid w:val="00D66D4B"/>
    <w:rsid w:val="00D67C88"/>
    <w:rsid w:val="00D67DC3"/>
    <w:rsid w:val="00D70100"/>
    <w:rsid w:val="00D70C63"/>
    <w:rsid w:val="00D71EA3"/>
    <w:rsid w:val="00D72600"/>
    <w:rsid w:val="00D726D1"/>
    <w:rsid w:val="00D72967"/>
    <w:rsid w:val="00D72A7C"/>
    <w:rsid w:val="00D72D12"/>
    <w:rsid w:val="00D73542"/>
    <w:rsid w:val="00D736B5"/>
    <w:rsid w:val="00D73727"/>
    <w:rsid w:val="00D7407C"/>
    <w:rsid w:val="00D7435D"/>
    <w:rsid w:val="00D7445E"/>
    <w:rsid w:val="00D74F9B"/>
    <w:rsid w:val="00D754DC"/>
    <w:rsid w:val="00D755DD"/>
    <w:rsid w:val="00D75CDC"/>
    <w:rsid w:val="00D769AB"/>
    <w:rsid w:val="00D76BB7"/>
    <w:rsid w:val="00D7712F"/>
    <w:rsid w:val="00D77778"/>
    <w:rsid w:val="00D80353"/>
    <w:rsid w:val="00D8055B"/>
    <w:rsid w:val="00D817D5"/>
    <w:rsid w:val="00D82F25"/>
    <w:rsid w:val="00D838FF"/>
    <w:rsid w:val="00D85593"/>
    <w:rsid w:val="00D85908"/>
    <w:rsid w:val="00D86C8D"/>
    <w:rsid w:val="00D87FD6"/>
    <w:rsid w:val="00D92176"/>
    <w:rsid w:val="00D92745"/>
    <w:rsid w:val="00D92F60"/>
    <w:rsid w:val="00D93FE8"/>
    <w:rsid w:val="00D95BC8"/>
    <w:rsid w:val="00D9695D"/>
    <w:rsid w:val="00D97B42"/>
    <w:rsid w:val="00D97C6C"/>
    <w:rsid w:val="00DA0B3F"/>
    <w:rsid w:val="00DA0B7A"/>
    <w:rsid w:val="00DA0BA6"/>
    <w:rsid w:val="00DA11F3"/>
    <w:rsid w:val="00DA1E3D"/>
    <w:rsid w:val="00DA2B43"/>
    <w:rsid w:val="00DA2FB7"/>
    <w:rsid w:val="00DA3460"/>
    <w:rsid w:val="00DA36EE"/>
    <w:rsid w:val="00DA62B8"/>
    <w:rsid w:val="00DA6951"/>
    <w:rsid w:val="00DA7201"/>
    <w:rsid w:val="00DA77E8"/>
    <w:rsid w:val="00DA7F3F"/>
    <w:rsid w:val="00DB05B5"/>
    <w:rsid w:val="00DB1901"/>
    <w:rsid w:val="00DB19CF"/>
    <w:rsid w:val="00DB1B4C"/>
    <w:rsid w:val="00DB1F13"/>
    <w:rsid w:val="00DB265D"/>
    <w:rsid w:val="00DB393E"/>
    <w:rsid w:val="00DB3FDE"/>
    <w:rsid w:val="00DB547F"/>
    <w:rsid w:val="00DB6048"/>
    <w:rsid w:val="00DB6E92"/>
    <w:rsid w:val="00DC1135"/>
    <w:rsid w:val="00DC245A"/>
    <w:rsid w:val="00DC2892"/>
    <w:rsid w:val="00DC2E7D"/>
    <w:rsid w:val="00DC2FBF"/>
    <w:rsid w:val="00DC4985"/>
    <w:rsid w:val="00DC4FD5"/>
    <w:rsid w:val="00DC535F"/>
    <w:rsid w:val="00DC58C2"/>
    <w:rsid w:val="00DC6CD3"/>
    <w:rsid w:val="00DC7708"/>
    <w:rsid w:val="00DC7964"/>
    <w:rsid w:val="00DD0B07"/>
    <w:rsid w:val="00DD1AF6"/>
    <w:rsid w:val="00DD2F5E"/>
    <w:rsid w:val="00DD5D87"/>
    <w:rsid w:val="00DD6C17"/>
    <w:rsid w:val="00DD6C64"/>
    <w:rsid w:val="00DE1513"/>
    <w:rsid w:val="00DE17DA"/>
    <w:rsid w:val="00DE1F90"/>
    <w:rsid w:val="00DE2BE3"/>
    <w:rsid w:val="00DE2E91"/>
    <w:rsid w:val="00DE3F8F"/>
    <w:rsid w:val="00DE4138"/>
    <w:rsid w:val="00DE432C"/>
    <w:rsid w:val="00DE5A14"/>
    <w:rsid w:val="00DE6890"/>
    <w:rsid w:val="00DE76E9"/>
    <w:rsid w:val="00DE7D52"/>
    <w:rsid w:val="00DF09A7"/>
    <w:rsid w:val="00DF1F96"/>
    <w:rsid w:val="00DF2067"/>
    <w:rsid w:val="00DF4582"/>
    <w:rsid w:val="00DF6E24"/>
    <w:rsid w:val="00DF74A9"/>
    <w:rsid w:val="00DF7A94"/>
    <w:rsid w:val="00DF7B3D"/>
    <w:rsid w:val="00E00CD7"/>
    <w:rsid w:val="00E00F79"/>
    <w:rsid w:val="00E011B5"/>
    <w:rsid w:val="00E01296"/>
    <w:rsid w:val="00E014F1"/>
    <w:rsid w:val="00E02173"/>
    <w:rsid w:val="00E03713"/>
    <w:rsid w:val="00E03EF6"/>
    <w:rsid w:val="00E03F27"/>
    <w:rsid w:val="00E043B2"/>
    <w:rsid w:val="00E049F8"/>
    <w:rsid w:val="00E04F39"/>
    <w:rsid w:val="00E050DA"/>
    <w:rsid w:val="00E06472"/>
    <w:rsid w:val="00E06CF9"/>
    <w:rsid w:val="00E100CB"/>
    <w:rsid w:val="00E1065F"/>
    <w:rsid w:val="00E11203"/>
    <w:rsid w:val="00E11AF0"/>
    <w:rsid w:val="00E12740"/>
    <w:rsid w:val="00E12B73"/>
    <w:rsid w:val="00E12BDC"/>
    <w:rsid w:val="00E132F3"/>
    <w:rsid w:val="00E13D61"/>
    <w:rsid w:val="00E13FBC"/>
    <w:rsid w:val="00E141A0"/>
    <w:rsid w:val="00E15F65"/>
    <w:rsid w:val="00E161F2"/>
    <w:rsid w:val="00E16E5E"/>
    <w:rsid w:val="00E176F8"/>
    <w:rsid w:val="00E17DB0"/>
    <w:rsid w:val="00E20222"/>
    <w:rsid w:val="00E210F0"/>
    <w:rsid w:val="00E21175"/>
    <w:rsid w:val="00E2159F"/>
    <w:rsid w:val="00E21E6B"/>
    <w:rsid w:val="00E220C7"/>
    <w:rsid w:val="00E224ED"/>
    <w:rsid w:val="00E235D1"/>
    <w:rsid w:val="00E23D5B"/>
    <w:rsid w:val="00E24253"/>
    <w:rsid w:val="00E2472B"/>
    <w:rsid w:val="00E2486F"/>
    <w:rsid w:val="00E24BF0"/>
    <w:rsid w:val="00E26ECF"/>
    <w:rsid w:val="00E26F61"/>
    <w:rsid w:val="00E27153"/>
    <w:rsid w:val="00E30546"/>
    <w:rsid w:val="00E30BEF"/>
    <w:rsid w:val="00E32E63"/>
    <w:rsid w:val="00E33368"/>
    <w:rsid w:val="00E33C28"/>
    <w:rsid w:val="00E34B42"/>
    <w:rsid w:val="00E3582D"/>
    <w:rsid w:val="00E37037"/>
    <w:rsid w:val="00E40255"/>
    <w:rsid w:val="00E4049F"/>
    <w:rsid w:val="00E43D6A"/>
    <w:rsid w:val="00E440F7"/>
    <w:rsid w:val="00E46672"/>
    <w:rsid w:val="00E5098B"/>
    <w:rsid w:val="00E509DA"/>
    <w:rsid w:val="00E515AB"/>
    <w:rsid w:val="00E5214C"/>
    <w:rsid w:val="00E52361"/>
    <w:rsid w:val="00E542E0"/>
    <w:rsid w:val="00E547E7"/>
    <w:rsid w:val="00E5513D"/>
    <w:rsid w:val="00E55A4C"/>
    <w:rsid w:val="00E55BAF"/>
    <w:rsid w:val="00E56271"/>
    <w:rsid w:val="00E60337"/>
    <w:rsid w:val="00E61C89"/>
    <w:rsid w:val="00E62099"/>
    <w:rsid w:val="00E62509"/>
    <w:rsid w:val="00E62734"/>
    <w:rsid w:val="00E6380C"/>
    <w:rsid w:val="00E64F8D"/>
    <w:rsid w:val="00E65321"/>
    <w:rsid w:val="00E6653F"/>
    <w:rsid w:val="00E66C58"/>
    <w:rsid w:val="00E674BB"/>
    <w:rsid w:val="00E67A3D"/>
    <w:rsid w:val="00E67FE5"/>
    <w:rsid w:val="00E725FD"/>
    <w:rsid w:val="00E727A3"/>
    <w:rsid w:val="00E75F9C"/>
    <w:rsid w:val="00E80717"/>
    <w:rsid w:val="00E80CF4"/>
    <w:rsid w:val="00E81A55"/>
    <w:rsid w:val="00E82375"/>
    <w:rsid w:val="00E8346E"/>
    <w:rsid w:val="00E84E98"/>
    <w:rsid w:val="00E855F7"/>
    <w:rsid w:val="00E876CE"/>
    <w:rsid w:val="00E908EF"/>
    <w:rsid w:val="00E90F7F"/>
    <w:rsid w:val="00E91D6F"/>
    <w:rsid w:val="00E940F9"/>
    <w:rsid w:val="00E95EE4"/>
    <w:rsid w:val="00E95F5C"/>
    <w:rsid w:val="00E96E4B"/>
    <w:rsid w:val="00E975E8"/>
    <w:rsid w:val="00E97951"/>
    <w:rsid w:val="00EA0849"/>
    <w:rsid w:val="00EA20B3"/>
    <w:rsid w:val="00EA223A"/>
    <w:rsid w:val="00EA23A0"/>
    <w:rsid w:val="00EA3A92"/>
    <w:rsid w:val="00EA3CC4"/>
    <w:rsid w:val="00EA5C44"/>
    <w:rsid w:val="00EB098F"/>
    <w:rsid w:val="00EB1673"/>
    <w:rsid w:val="00EB1C20"/>
    <w:rsid w:val="00EB24BA"/>
    <w:rsid w:val="00EB3E1D"/>
    <w:rsid w:val="00EB45A9"/>
    <w:rsid w:val="00EB5D0E"/>
    <w:rsid w:val="00EB63B5"/>
    <w:rsid w:val="00EB6E5C"/>
    <w:rsid w:val="00EB730E"/>
    <w:rsid w:val="00EC12F7"/>
    <w:rsid w:val="00EC1D37"/>
    <w:rsid w:val="00EC2155"/>
    <w:rsid w:val="00EC28A1"/>
    <w:rsid w:val="00EC4C1F"/>
    <w:rsid w:val="00EC6AFA"/>
    <w:rsid w:val="00EC6D59"/>
    <w:rsid w:val="00EC7DF1"/>
    <w:rsid w:val="00ED06B1"/>
    <w:rsid w:val="00ED0960"/>
    <w:rsid w:val="00ED1CA6"/>
    <w:rsid w:val="00ED25D5"/>
    <w:rsid w:val="00ED2B73"/>
    <w:rsid w:val="00ED36DD"/>
    <w:rsid w:val="00ED5CF6"/>
    <w:rsid w:val="00ED601F"/>
    <w:rsid w:val="00ED63C7"/>
    <w:rsid w:val="00ED68C1"/>
    <w:rsid w:val="00ED6DB1"/>
    <w:rsid w:val="00EE0291"/>
    <w:rsid w:val="00EE098D"/>
    <w:rsid w:val="00EE0B4C"/>
    <w:rsid w:val="00EE163B"/>
    <w:rsid w:val="00EE16D6"/>
    <w:rsid w:val="00EE2037"/>
    <w:rsid w:val="00EE2988"/>
    <w:rsid w:val="00EE32F3"/>
    <w:rsid w:val="00EE3ABA"/>
    <w:rsid w:val="00EE44DB"/>
    <w:rsid w:val="00EE5114"/>
    <w:rsid w:val="00EE6B60"/>
    <w:rsid w:val="00EE711E"/>
    <w:rsid w:val="00EE7E1A"/>
    <w:rsid w:val="00EF023A"/>
    <w:rsid w:val="00EF0B74"/>
    <w:rsid w:val="00EF14F0"/>
    <w:rsid w:val="00EF1CFA"/>
    <w:rsid w:val="00EF1D06"/>
    <w:rsid w:val="00EF2BC2"/>
    <w:rsid w:val="00EF2F0A"/>
    <w:rsid w:val="00EF43C8"/>
    <w:rsid w:val="00EF4B8D"/>
    <w:rsid w:val="00EF52E8"/>
    <w:rsid w:val="00EF5D12"/>
    <w:rsid w:val="00EF5EEF"/>
    <w:rsid w:val="00EF65D4"/>
    <w:rsid w:val="00EF6795"/>
    <w:rsid w:val="00EF6ADE"/>
    <w:rsid w:val="00EF6F83"/>
    <w:rsid w:val="00F008EB"/>
    <w:rsid w:val="00F01007"/>
    <w:rsid w:val="00F019F8"/>
    <w:rsid w:val="00F02AE1"/>
    <w:rsid w:val="00F0377C"/>
    <w:rsid w:val="00F03E93"/>
    <w:rsid w:val="00F05D54"/>
    <w:rsid w:val="00F06CD9"/>
    <w:rsid w:val="00F07186"/>
    <w:rsid w:val="00F07F72"/>
    <w:rsid w:val="00F10190"/>
    <w:rsid w:val="00F1370D"/>
    <w:rsid w:val="00F14B3A"/>
    <w:rsid w:val="00F1514F"/>
    <w:rsid w:val="00F17774"/>
    <w:rsid w:val="00F207A2"/>
    <w:rsid w:val="00F21A71"/>
    <w:rsid w:val="00F230CC"/>
    <w:rsid w:val="00F237DD"/>
    <w:rsid w:val="00F253C8"/>
    <w:rsid w:val="00F258E3"/>
    <w:rsid w:val="00F25A3C"/>
    <w:rsid w:val="00F263FB"/>
    <w:rsid w:val="00F26A51"/>
    <w:rsid w:val="00F26D4F"/>
    <w:rsid w:val="00F27137"/>
    <w:rsid w:val="00F27EE5"/>
    <w:rsid w:val="00F30E0B"/>
    <w:rsid w:val="00F31496"/>
    <w:rsid w:val="00F3185A"/>
    <w:rsid w:val="00F31937"/>
    <w:rsid w:val="00F32B3D"/>
    <w:rsid w:val="00F33E8C"/>
    <w:rsid w:val="00F340E1"/>
    <w:rsid w:val="00F34DB5"/>
    <w:rsid w:val="00F36400"/>
    <w:rsid w:val="00F367B4"/>
    <w:rsid w:val="00F40BCE"/>
    <w:rsid w:val="00F417E6"/>
    <w:rsid w:val="00F41BA3"/>
    <w:rsid w:val="00F4335C"/>
    <w:rsid w:val="00F445FD"/>
    <w:rsid w:val="00F45BC8"/>
    <w:rsid w:val="00F50C98"/>
    <w:rsid w:val="00F51521"/>
    <w:rsid w:val="00F51A19"/>
    <w:rsid w:val="00F520DE"/>
    <w:rsid w:val="00F52283"/>
    <w:rsid w:val="00F53590"/>
    <w:rsid w:val="00F535D0"/>
    <w:rsid w:val="00F53DDE"/>
    <w:rsid w:val="00F54097"/>
    <w:rsid w:val="00F54473"/>
    <w:rsid w:val="00F574E5"/>
    <w:rsid w:val="00F57BAA"/>
    <w:rsid w:val="00F61340"/>
    <w:rsid w:val="00F61535"/>
    <w:rsid w:val="00F63FC2"/>
    <w:rsid w:val="00F64074"/>
    <w:rsid w:val="00F65B1E"/>
    <w:rsid w:val="00F65EE7"/>
    <w:rsid w:val="00F70C13"/>
    <w:rsid w:val="00F7195D"/>
    <w:rsid w:val="00F7262D"/>
    <w:rsid w:val="00F72D45"/>
    <w:rsid w:val="00F72DB5"/>
    <w:rsid w:val="00F73328"/>
    <w:rsid w:val="00F738BB"/>
    <w:rsid w:val="00F75A22"/>
    <w:rsid w:val="00F769AB"/>
    <w:rsid w:val="00F77939"/>
    <w:rsid w:val="00F80187"/>
    <w:rsid w:val="00F80217"/>
    <w:rsid w:val="00F81286"/>
    <w:rsid w:val="00F814C9"/>
    <w:rsid w:val="00F82634"/>
    <w:rsid w:val="00F828F6"/>
    <w:rsid w:val="00F833B2"/>
    <w:rsid w:val="00F83857"/>
    <w:rsid w:val="00F84DF0"/>
    <w:rsid w:val="00F84EE0"/>
    <w:rsid w:val="00F87BC3"/>
    <w:rsid w:val="00F87E58"/>
    <w:rsid w:val="00F9161C"/>
    <w:rsid w:val="00F92471"/>
    <w:rsid w:val="00F92A8A"/>
    <w:rsid w:val="00F92B80"/>
    <w:rsid w:val="00F939CA"/>
    <w:rsid w:val="00F93EA7"/>
    <w:rsid w:val="00F949EA"/>
    <w:rsid w:val="00F955B9"/>
    <w:rsid w:val="00F969C6"/>
    <w:rsid w:val="00F975AF"/>
    <w:rsid w:val="00FA0246"/>
    <w:rsid w:val="00FA13A5"/>
    <w:rsid w:val="00FA1B5D"/>
    <w:rsid w:val="00FA1C83"/>
    <w:rsid w:val="00FA1F10"/>
    <w:rsid w:val="00FA2074"/>
    <w:rsid w:val="00FA293D"/>
    <w:rsid w:val="00FA29A4"/>
    <w:rsid w:val="00FA3210"/>
    <w:rsid w:val="00FA3CFD"/>
    <w:rsid w:val="00FA4633"/>
    <w:rsid w:val="00FA4C7E"/>
    <w:rsid w:val="00FA5BD0"/>
    <w:rsid w:val="00FA5E47"/>
    <w:rsid w:val="00FA5F0E"/>
    <w:rsid w:val="00FA6633"/>
    <w:rsid w:val="00FB05B3"/>
    <w:rsid w:val="00FB0AD3"/>
    <w:rsid w:val="00FB17A4"/>
    <w:rsid w:val="00FB1B73"/>
    <w:rsid w:val="00FB2F53"/>
    <w:rsid w:val="00FB448E"/>
    <w:rsid w:val="00FB4E95"/>
    <w:rsid w:val="00FB5DA0"/>
    <w:rsid w:val="00FB67F3"/>
    <w:rsid w:val="00FB79A5"/>
    <w:rsid w:val="00FB7F36"/>
    <w:rsid w:val="00FC044B"/>
    <w:rsid w:val="00FC230D"/>
    <w:rsid w:val="00FC3AB7"/>
    <w:rsid w:val="00FC3EAF"/>
    <w:rsid w:val="00FC48AD"/>
    <w:rsid w:val="00FC4911"/>
    <w:rsid w:val="00FC5052"/>
    <w:rsid w:val="00FC6704"/>
    <w:rsid w:val="00FD151F"/>
    <w:rsid w:val="00FD2CD0"/>
    <w:rsid w:val="00FD30E1"/>
    <w:rsid w:val="00FD4631"/>
    <w:rsid w:val="00FD5BF4"/>
    <w:rsid w:val="00FD5E95"/>
    <w:rsid w:val="00FD68DE"/>
    <w:rsid w:val="00FD7707"/>
    <w:rsid w:val="00FE06EA"/>
    <w:rsid w:val="00FE0A51"/>
    <w:rsid w:val="00FE1FDC"/>
    <w:rsid w:val="00FE1FE0"/>
    <w:rsid w:val="00FE3E35"/>
    <w:rsid w:val="00FE3F0B"/>
    <w:rsid w:val="00FE3FFC"/>
    <w:rsid w:val="00FE562B"/>
    <w:rsid w:val="00FE5905"/>
    <w:rsid w:val="00FE65CC"/>
    <w:rsid w:val="00FE74C1"/>
    <w:rsid w:val="00FF0413"/>
    <w:rsid w:val="00FF04ED"/>
    <w:rsid w:val="00FF0E3A"/>
    <w:rsid w:val="00FF1508"/>
    <w:rsid w:val="00FF1616"/>
    <w:rsid w:val="00FF163E"/>
    <w:rsid w:val="00FF2170"/>
    <w:rsid w:val="00FF2510"/>
    <w:rsid w:val="00FF3709"/>
    <w:rsid w:val="00FF42F9"/>
    <w:rsid w:val="00FF4875"/>
    <w:rsid w:val="00FF521C"/>
    <w:rsid w:val="00FF5C13"/>
    <w:rsid w:val="00FF63E9"/>
    <w:rsid w:val="00FF6D1A"/>
    <w:rsid w:val="00FF724F"/>
    <w:rsid w:val="012DD4BE"/>
    <w:rsid w:val="01E9E7B0"/>
    <w:rsid w:val="033B1DA5"/>
    <w:rsid w:val="03D8C857"/>
    <w:rsid w:val="04AA396C"/>
    <w:rsid w:val="0614A7EE"/>
    <w:rsid w:val="064D83F2"/>
    <w:rsid w:val="069B130E"/>
    <w:rsid w:val="084C98C6"/>
    <w:rsid w:val="086611C0"/>
    <w:rsid w:val="0978ACF6"/>
    <w:rsid w:val="0988AC10"/>
    <w:rsid w:val="09979B2B"/>
    <w:rsid w:val="09AA851F"/>
    <w:rsid w:val="0CE39655"/>
    <w:rsid w:val="0D393736"/>
    <w:rsid w:val="0DB931D6"/>
    <w:rsid w:val="0E3D661B"/>
    <w:rsid w:val="1015731F"/>
    <w:rsid w:val="12C3C893"/>
    <w:rsid w:val="13F2225E"/>
    <w:rsid w:val="142C11C3"/>
    <w:rsid w:val="14ABE481"/>
    <w:rsid w:val="14DB0663"/>
    <w:rsid w:val="15D70399"/>
    <w:rsid w:val="16B2C7F5"/>
    <w:rsid w:val="177B8CB2"/>
    <w:rsid w:val="1789DF1A"/>
    <w:rsid w:val="1955981B"/>
    <w:rsid w:val="19D28FDB"/>
    <w:rsid w:val="1AA1511F"/>
    <w:rsid w:val="1AE769F7"/>
    <w:rsid w:val="1AE859CD"/>
    <w:rsid w:val="1AFDB96E"/>
    <w:rsid w:val="1BA25B7E"/>
    <w:rsid w:val="1D383103"/>
    <w:rsid w:val="1EAA3F63"/>
    <w:rsid w:val="1F0EC4D9"/>
    <w:rsid w:val="202781C1"/>
    <w:rsid w:val="21892580"/>
    <w:rsid w:val="21CC30AE"/>
    <w:rsid w:val="2259D3E2"/>
    <w:rsid w:val="22B9FF6A"/>
    <w:rsid w:val="22CA315E"/>
    <w:rsid w:val="230A8136"/>
    <w:rsid w:val="233E5EE5"/>
    <w:rsid w:val="237E1D71"/>
    <w:rsid w:val="23D39B7C"/>
    <w:rsid w:val="247D8779"/>
    <w:rsid w:val="254B9069"/>
    <w:rsid w:val="269675FA"/>
    <w:rsid w:val="2724D6AB"/>
    <w:rsid w:val="2845C2E1"/>
    <w:rsid w:val="2943A7C3"/>
    <w:rsid w:val="29F8EA0D"/>
    <w:rsid w:val="2A58DFFB"/>
    <w:rsid w:val="2A9E1F3B"/>
    <w:rsid w:val="2BBE9959"/>
    <w:rsid w:val="2C417458"/>
    <w:rsid w:val="2C959EE1"/>
    <w:rsid w:val="2D8C442A"/>
    <w:rsid w:val="2E1957D9"/>
    <w:rsid w:val="2F0E7324"/>
    <w:rsid w:val="2F53D4D5"/>
    <w:rsid w:val="30C91270"/>
    <w:rsid w:val="3106FE87"/>
    <w:rsid w:val="32BF336A"/>
    <w:rsid w:val="33952F67"/>
    <w:rsid w:val="3473A3CE"/>
    <w:rsid w:val="34FBBA19"/>
    <w:rsid w:val="362FA90F"/>
    <w:rsid w:val="3656152E"/>
    <w:rsid w:val="37DCA1C1"/>
    <w:rsid w:val="387D3F37"/>
    <w:rsid w:val="394BC7CD"/>
    <w:rsid w:val="3AAB884C"/>
    <w:rsid w:val="3B1F03CE"/>
    <w:rsid w:val="3B31F5CD"/>
    <w:rsid w:val="3BE093F1"/>
    <w:rsid w:val="3C54B6FE"/>
    <w:rsid w:val="3C75844D"/>
    <w:rsid w:val="3F322455"/>
    <w:rsid w:val="3F8232DF"/>
    <w:rsid w:val="3F89C519"/>
    <w:rsid w:val="3FF9E4AC"/>
    <w:rsid w:val="4016E8CF"/>
    <w:rsid w:val="40359010"/>
    <w:rsid w:val="40648FD8"/>
    <w:rsid w:val="4231BF55"/>
    <w:rsid w:val="425BC4C1"/>
    <w:rsid w:val="42F05441"/>
    <w:rsid w:val="4338FF9A"/>
    <w:rsid w:val="442B7D96"/>
    <w:rsid w:val="44D80353"/>
    <w:rsid w:val="44E6E23C"/>
    <w:rsid w:val="45E6725D"/>
    <w:rsid w:val="47466F20"/>
    <w:rsid w:val="47D30E7B"/>
    <w:rsid w:val="4841D56C"/>
    <w:rsid w:val="48517E2F"/>
    <w:rsid w:val="48A02964"/>
    <w:rsid w:val="48B61D6A"/>
    <w:rsid w:val="4976DE85"/>
    <w:rsid w:val="4A7BD9EE"/>
    <w:rsid w:val="4AFFC3B8"/>
    <w:rsid w:val="4B4E16B6"/>
    <w:rsid w:val="4B6295A8"/>
    <w:rsid w:val="4B7B1DD0"/>
    <w:rsid w:val="4C676EFE"/>
    <w:rsid w:val="4C76DCFB"/>
    <w:rsid w:val="4D0945A0"/>
    <w:rsid w:val="4D41758A"/>
    <w:rsid w:val="4DAEE192"/>
    <w:rsid w:val="4EAC5F20"/>
    <w:rsid w:val="4EB65FF0"/>
    <w:rsid w:val="4EEE0B4F"/>
    <w:rsid w:val="4F24C103"/>
    <w:rsid w:val="4FD54BB5"/>
    <w:rsid w:val="4FEE8468"/>
    <w:rsid w:val="4FF75D05"/>
    <w:rsid w:val="5001D9F1"/>
    <w:rsid w:val="51C955AE"/>
    <w:rsid w:val="52873D24"/>
    <w:rsid w:val="530CB056"/>
    <w:rsid w:val="53263091"/>
    <w:rsid w:val="5384C1EB"/>
    <w:rsid w:val="540CAA92"/>
    <w:rsid w:val="5490BDF1"/>
    <w:rsid w:val="54E8BC66"/>
    <w:rsid w:val="5565403A"/>
    <w:rsid w:val="57E3174D"/>
    <w:rsid w:val="5865FF10"/>
    <w:rsid w:val="588ADB5B"/>
    <w:rsid w:val="59C3DF61"/>
    <w:rsid w:val="5AFDE754"/>
    <w:rsid w:val="5C1DAAF6"/>
    <w:rsid w:val="5C8D6A9E"/>
    <w:rsid w:val="5DDDA932"/>
    <w:rsid w:val="5E1AF818"/>
    <w:rsid w:val="5E649F77"/>
    <w:rsid w:val="5F6C378A"/>
    <w:rsid w:val="5FABE3A5"/>
    <w:rsid w:val="5FC27A41"/>
    <w:rsid w:val="5FC3E1CA"/>
    <w:rsid w:val="6071C8BD"/>
    <w:rsid w:val="6457BD98"/>
    <w:rsid w:val="65493AA0"/>
    <w:rsid w:val="65648D30"/>
    <w:rsid w:val="659CFD7A"/>
    <w:rsid w:val="662A1D55"/>
    <w:rsid w:val="66640E17"/>
    <w:rsid w:val="67217327"/>
    <w:rsid w:val="67A24E5F"/>
    <w:rsid w:val="67DBA417"/>
    <w:rsid w:val="6902F1CA"/>
    <w:rsid w:val="69DFDEF3"/>
    <w:rsid w:val="6A5A8B61"/>
    <w:rsid w:val="6AFE605C"/>
    <w:rsid w:val="6C0EC759"/>
    <w:rsid w:val="6F6D33A3"/>
    <w:rsid w:val="6F7E71AD"/>
    <w:rsid w:val="6FD244DC"/>
    <w:rsid w:val="6FE84627"/>
    <w:rsid w:val="706269A2"/>
    <w:rsid w:val="707FB69F"/>
    <w:rsid w:val="70AA129D"/>
    <w:rsid w:val="7108EA7C"/>
    <w:rsid w:val="7337CCE1"/>
    <w:rsid w:val="734DA9D3"/>
    <w:rsid w:val="73BE4D84"/>
    <w:rsid w:val="7438C943"/>
    <w:rsid w:val="74B7E607"/>
    <w:rsid w:val="74D6D575"/>
    <w:rsid w:val="75644F39"/>
    <w:rsid w:val="757DF662"/>
    <w:rsid w:val="759E2CAC"/>
    <w:rsid w:val="75D0F036"/>
    <w:rsid w:val="7611F24C"/>
    <w:rsid w:val="77C00030"/>
    <w:rsid w:val="780399E3"/>
    <w:rsid w:val="7899C73B"/>
    <w:rsid w:val="789FF489"/>
    <w:rsid w:val="7938608C"/>
    <w:rsid w:val="7B90FA91"/>
    <w:rsid w:val="7BD9A93F"/>
    <w:rsid w:val="7C10EA8D"/>
    <w:rsid w:val="7D96F68C"/>
    <w:rsid w:val="7E32462D"/>
    <w:rsid w:val="7E823A94"/>
    <w:rsid w:val="7ECCB604"/>
    <w:rsid w:val="7FDEE2D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092111"/>
  <w15:docId w15:val="{377DB706-2A3A-408E-BB02-8CD89ADC0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41116"/>
    <w:rPr>
      <w:rFonts w:ascii="Arial" w:eastAsia="Arial" w:hAnsi="Arial" w:cs="Arial"/>
      <w:lang w:val="en-GB" w:eastAsia="en-GB" w:bidi="en-GB"/>
    </w:rPr>
  </w:style>
  <w:style w:type="paragraph" w:styleId="Heading1">
    <w:name w:val="heading 1"/>
    <w:basedOn w:val="Normal"/>
    <w:link w:val="Heading1Char"/>
    <w:uiPriority w:val="9"/>
    <w:qFormat/>
    <w:rsid w:val="007E191E"/>
    <w:pPr>
      <w:numPr>
        <w:numId w:val="1"/>
      </w:numPr>
      <w:tabs>
        <w:tab w:val="left" w:pos="833"/>
      </w:tabs>
      <w:spacing w:before="8"/>
      <w:outlineLvl w:val="0"/>
    </w:pPr>
    <w:rPr>
      <w:rFonts w:eastAsia="HelveticaNeueLTStd-Roman"/>
      <w:color w:val="4F5252"/>
      <w:spacing w:val="-9"/>
      <w:sz w:val="40"/>
      <w:szCs w:val="40"/>
    </w:rPr>
  </w:style>
  <w:style w:type="paragraph" w:styleId="Heading2">
    <w:name w:val="heading 2"/>
    <w:basedOn w:val="Normal"/>
    <w:link w:val="Heading2Char"/>
    <w:uiPriority w:val="1"/>
    <w:qFormat/>
    <w:rsid w:val="00D8055B"/>
    <w:pPr>
      <w:spacing w:before="92"/>
      <w:outlineLvl w:val="1"/>
    </w:pPr>
    <w:rPr>
      <w:b/>
      <w:bCs/>
      <w:sz w:val="24"/>
      <w:szCs w:val="24"/>
    </w:rPr>
  </w:style>
  <w:style w:type="paragraph" w:styleId="Heading3">
    <w:name w:val="heading 3"/>
    <w:basedOn w:val="Normal"/>
    <w:uiPriority w:val="1"/>
    <w:qFormat/>
    <w:pPr>
      <w:spacing w:line="300" w:lineRule="exact"/>
      <w:ind w:left="20"/>
      <w:outlineLvl w:val="2"/>
    </w:pPr>
    <w:rPr>
      <w:rFonts w:ascii="HelveticaNeueLTStd-Roman" w:eastAsia="HelveticaNeueLTStd-Roman" w:hAnsi="HelveticaNeueLTStd-Roman" w:cs="HelveticaNeueLTStd-Roman"/>
      <w:sz w:val="24"/>
      <w:szCs w:val="24"/>
    </w:rPr>
  </w:style>
  <w:style w:type="paragraph" w:styleId="Heading4">
    <w:name w:val="heading 4"/>
    <w:basedOn w:val="Normal"/>
    <w:uiPriority w:val="1"/>
    <w:qFormat/>
    <w:pPr>
      <w:ind w:left="567"/>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34"/>
    <w:qFormat/>
    <w:pPr>
      <w:ind w:left="1304" w:hanging="737"/>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81B9F"/>
    <w:pPr>
      <w:tabs>
        <w:tab w:val="center" w:pos="4513"/>
        <w:tab w:val="right" w:pos="9026"/>
      </w:tabs>
    </w:pPr>
  </w:style>
  <w:style w:type="character" w:customStyle="1" w:styleId="HeaderChar">
    <w:name w:val="Header Char"/>
    <w:basedOn w:val="DefaultParagraphFont"/>
    <w:link w:val="Header"/>
    <w:uiPriority w:val="99"/>
    <w:rsid w:val="00581B9F"/>
    <w:rPr>
      <w:rFonts w:ascii="Arial" w:eastAsia="Arial" w:hAnsi="Arial" w:cs="Arial"/>
      <w:lang w:val="en-GB" w:eastAsia="en-GB" w:bidi="en-GB"/>
    </w:rPr>
  </w:style>
  <w:style w:type="paragraph" w:styleId="Footer">
    <w:name w:val="footer"/>
    <w:basedOn w:val="Normal"/>
    <w:link w:val="FooterChar"/>
    <w:uiPriority w:val="99"/>
    <w:unhideWhenUsed/>
    <w:rsid w:val="00581B9F"/>
    <w:pPr>
      <w:tabs>
        <w:tab w:val="center" w:pos="4513"/>
        <w:tab w:val="right" w:pos="9026"/>
      </w:tabs>
    </w:pPr>
  </w:style>
  <w:style w:type="character" w:customStyle="1" w:styleId="FooterChar">
    <w:name w:val="Footer Char"/>
    <w:basedOn w:val="DefaultParagraphFont"/>
    <w:link w:val="Footer"/>
    <w:uiPriority w:val="99"/>
    <w:rsid w:val="00581B9F"/>
    <w:rPr>
      <w:rFonts w:ascii="Arial" w:eastAsia="Arial" w:hAnsi="Arial" w:cs="Arial"/>
      <w:lang w:val="en-GB" w:eastAsia="en-GB" w:bidi="en-GB"/>
    </w:rPr>
  </w:style>
  <w:style w:type="paragraph" w:customStyle="1" w:styleId="Table">
    <w:name w:val="Table"/>
    <w:basedOn w:val="Normal"/>
    <w:qFormat/>
    <w:rsid w:val="00CF70A2"/>
    <w:pPr>
      <w:widowControl/>
      <w:autoSpaceDE/>
      <w:autoSpaceDN/>
    </w:pPr>
    <w:rPr>
      <w:rFonts w:eastAsia="Calibri" w:cs="Times New Roman"/>
      <w:sz w:val="20"/>
      <w:lang w:eastAsia="en-US" w:bidi="ar-SA"/>
    </w:rPr>
  </w:style>
  <w:style w:type="paragraph" w:styleId="FootnoteText">
    <w:name w:val="footnote text"/>
    <w:aliases w:val="Page numbering"/>
    <w:basedOn w:val="Normal"/>
    <w:link w:val="FootnoteTextChar"/>
    <w:uiPriority w:val="99"/>
    <w:semiHidden/>
    <w:rsid w:val="00CF70A2"/>
    <w:pPr>
      <w:widowControl/>
      <w:autoSpaceDE/>
      <w:autoSpaceDN/>
      <w:spacing w:after="120"/>
    </w:pPr>
    <w:rPr>
      <w:rFonts w:eastAsia="Times New Roman" w:cs="Times New Roman"/>
      <w:sz w:val="20"/>
      <w:szCs w:val="20"/>
      <w:lang w:val="x-none" w:eastAsia="en-US" w:bidi="ar-SA"/>
    </w:rPr>
  </w:style>
  <w:style w:type="character" w:customStyle="1" w:styleId="FootnoteTextChar">
    <w:name w:val="Footnote Text Char"/>
    <w:aliases w:val="Page numbering Char"/>
    <w:basedOn w:val="DefaultParagraphFont"/>
    <w:link w:val="FootnoteText"/>
    <w:uiPriority w:val="99"/>
    <w:rsid w:val="00CF70A2"/>
    <w:rPr>
      <w:rFonts w:ascii="Arial" w:eastAsia="Times New Roman" w:hAnsi="Arial" w:cs="Times New Roman"/>
      <w:sz w:val="20"/>
      <w:szCs w:val="20"/>
      <w:lang w:val="x-none"/>
    </w:rPr>
  </w:style>
  <w:style w:type="character" w:styleId="Hyperlink">
    <w:name w:val="Hyperlink"/>
    <w:basedOn w:val="DefaultParagraphFont"/>
    <w:uiPriority w:val="99"/>
    <w:unhideWhenUsed/>
    <w:rsid w:val="00B43388"/>
    <w:rPr>
      <w:color w:val="0000FF"/>
      <w:u w:val="single"/>
    </w:rPr>
  </w:style>
  <w:style w:type="character" w:styleId="FootnoteReference">
    <w:name w:val="footnote reference"/>
    <w:basedOn w:val="DefaultParagraphFont"/>
    <w:uiPriority w:val="99"/>
    <w:semiHidden/>
    <w:unhideWhenUsed/>
    <w:rsid w:val="00B43388"/>
    <w:rPr>
      <w:vertAlign w:val="superscript"/>
    </w:rPr>
  </w:style>
  <w:style w:type="table" w:styleId="TableGrid">
    <w:name w:val="Table Grid"/>
    <w:basedOn w:val="TableNormal"/>
    <w:uiPriority w:val="39"/>
    <w:rsid w:val="00B43388"/>
    <w:pPr>
      <w:widowControl/>
      <w:autoSpaceDE/>
      <w:autoSpaceDN/>
    </w:pPr>
    <w:rPr>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D7E9D"/>
    <w:pPr>
      <w:keepNext/>
      <w:keepLines/>
      <w:widowControl/>
      <w:numPr>
        <w:numId w:val="0"/>
      </w:numPr>
      <w:tabs>
        <w:tab w:val="clear" w:pos="833"/>
      </w:tabs>
      <w:autoSpaceDE/>
      <w:autoSpaceDN/>
      <w:spacing w:before="240" w:line="259" w:lineRule="auto"/>
      <w:outlineLvl w:val="9"/>
    </w:pPr>
    <w:rPr>
      <w:rFonts w:asciiTheme="majorHAnsi" w:eastAsiaTheme="majorEastAsia" w:hAnsiTheme="majorHAnsi" w:cstheme="majorBidi"/>
      <w:color w:val="365F91" w:themeColor="accent1" w:themeShade="BF"/>
      <w:spacing w:val="0"/>
      <w:sz w:val="32"/>
      <w:szCs w:val="32"/>
      <w:lang w:val="en-US" w:eastAsia="en-US" w:bidi="ar-SA"/>
    </w:rPr>
  </w:style>
  <w:style w:type="paragraph" w:styleId="TOC2">
    <w:name w:val="toc 2"/>
    <w:basedOn w:val="Normal"/>
    <w:next w:val="Normal"/>
    <w:autoRedefine/>
    <w:uiPriority w:val="39"/>
    <w:unhideWhenUsed/>
    <w:rsid w:val="00BC1388"/>
    <w:pPr>
      <w:spacing w:after="100"/>
      <w:ind w:left="720"/>
    </w:pPr>
  </w:style>
  <w:style w:type="paragraph" w:styleId="TOC1">
    <w:name w:val="toc 1"/>
    <w:basedOn w:val="Normal"/>
    <w:next w:val="Normal"/>
    <w:autoRedefine/>
    <w:uiPriority w:val="39"/>
    <w:unhideWhenUsed/>
    <w:rsid w:val="00BC1388"/>
    <w:pPr>
      <w:spacing w:after="100"/>
    </w:pPr>
    <w:rPr>
      <w:b/>
      <w:sz w:val="24"/>
    </w:rPr>
  </w:style>
  <w:style w:type="paragraph" w:customStyle="1" w:styleId="Level3Policy">
    <w:name w:val="Level 3: Policy"/>
    <w:basedOn w:val="Normal"/>
    <w:link w:val="Level3PolicyChar"/>
    <w:qFormat/>
    <w:rsid w:val="00DB19CF"/>
    <w:pPr>
      <w:tabs>
        <w:tab w:val="left" w:pos="2280"/>
      </w:tabs>
      <w:autoSpaceDE/>
      <w:autoSpaceDN/>
      <w:spacing w:before="21" w:line="359" w:lineRule="exact"/>
      <w:ind w:left="127" w:right="-20"/>
    </w:pPr>
    <w:rPr>
      <w:b/>
      <w:bCs/>
      <w:color w:val="58595B"/>
      <w:spacing w:val="-8"/>
      <w:position w:val="-1"/>
      <w:sz w:val="32"/>
      <w:szCs w:val="32"/>
      <w:lang w:val="en-US" w:eastAsia="en-US" w:bidi="ar-SA"/>
    </w:rPr>
  </w:style>
  <w:style w:type="character" w:customStyle="1" w:styleId="Level3PolicyChar">
    <w:name w:val="Level 3: Policy Char"/>
    <w:basedOn w:val="DefaultParagraphFont"/>
    <w:link w:val="Level3Policy"/>
    <w:rsid w:val="00DB19CF"/>
    <w:rPr>
      <w:rFonts w:ascii="Arial" w:eastAsia="Arial" w:hAnsi="Arial" w:cs="Arial"/>
      <w:b/>
      <w:bCs/>
      <w:color w:val="58595B"/>
      <w:spacing w:val="-8"/>
      <w:position w:val="-1"/>
      <w:sz w:val="32"/>
      <w:szCs w:val="32"/>
    </w:rPr>
  </w:style>
  <w:style w:type="paragraph" w:styleId="Caption">
    <w:name w:val="caption"/>
    <w:basedOn w:val="Normal"/>
    <w:next w:val="Normal"/>
    <w:uiPriority w:val="35"/>
    <w:unhideWhenUsed/>
    <w:qFormat/>
    <w:rsid w:val="002160D3"/>
    <w:pPr>
      <w:spacing w:after="200"/>
    </w:pPr>
    <w:rPr>
      <w:i/>
      <w:iCs/>
      <w:color w:val="1F497D" w:themeColor="text2"/>
      <w:sz w:val="18"/>
      <w:szCs w:val="18"/>
    </w:rPr>
  </w:style>
  <w:style w:type="paragraph" w:customStyle="1" w:styleId="Default">
    <w:name w:val="Default"/>
    <w:rsid w:val="000F7C4A"/>
    <w:pPr>
      <w:widowControl/>
      <w:adjustRightInd w:val="0"/>
    </w:pPr>
    <w:rPr>
      <w:rFonts w:ascii="Arial" w:hAnsi="Arial" w:cs="Arial"/>
      <w:color w:val="000000"/>
      <w:sz w:val="24"/>
      <w:szCs w:val="24"/>
      <w:lang w:val="en-GB"/>
    </w:rPr>
  </w:style>
  <w:style w:type="character" w:styleId="CommentReference">
    <w:name w:val="annotation reference"/>
    <w:basedOn w:val="DefaultParagraphFont"/>
    <w:uiPriority w:val="99"/>
    <w:semiHidden/>
    <w:unhideWhenUsed/>
    <w:rsid w:val="00CA685A"/>
    <w:rPr>
      <w:sz w:val="16"/>
      <w:szCs w:val="16"/>
    </w:rPr>
  </w:style>
  <w:style w:type="paragraph" w:styleId="CommentText">
    <w:name w:val="annotation text"/>
    <w:basedOn w:val="Normal"/>
    <w:link w:val="CommentTextChar"/>
    <w:uiPriority w:val="99"/>
    <w:unhideWhenUsed/>
    <w:rsid w:val="00CA685A"/>
    <w:rPr>
      <w:sz w:val="20"/>
      <w:szCs w:val="20"/>
    </w:rPr>
  </w:style>
  <w:style w:type="character" w:customStyle="1" w:styleId="CommentTextChar">
    <w:name w:val="Comment Text Char"/>
    <w:basedOn w:val="DefaultParagraphFont"/>
    <w:link w:val="CommentText"/>
    <w:uiPriority w:val="99"/>
    <w:rsid w:val="00CA685A"/>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CA685A"/>
    <w:rPr>
      <w:b/>
      <w:bCs/>
    </w:rPr>
  </w:style>
  <w:style w:type="character" w:customStyle="1" w:styleId="CommentSubjectChar">
    <w:name w:val="Comment Subject Char"/>
    <w:basedOn w:val="CommentTextChar"/>
    <w:link w:val="CommentSubject"/>
    <w:uiPriority w:val="99"/>
    <w:semiHidden/>
    <w:rsid w:val="00CA685A"/>
    <w:rPr>
      <w:rFonts w:ascii="Arial" w:eastAsia="Arial" w:hAnsi="Arial" w:cs="Arial"/>
      <w:b/>
      <w:bCs/>
      <w:sz w:val="20"/>
      <w:szCs w:val="20"/>
      <w:lang w:val="en-GB" w:eastAsia="en-GB" w:bidi="en-GB"/>
    </w:rPr>
  </w:style>
  <w:style w:type="paragraph" w:styleId="BalloonText">
    <w:name w:val="Balloon Text"/>
    <w:basedOn w:val="Normal"/>
    <w:link w:val="BalloonTextChar"/>
    <w:uiPriority w:val="99"/>
    <w:semiHidden/>
    <w:unhideWhenUsed/>
    <w:rsid w:val="00CA685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685A"/>
    <w:rPr>
      <w:rFonts w:ascii="Segoe UI" w:eastAsia="Arial" w:hAnsi="Segoe UI" w:cs="Segoe UI"/>
      <w:sz w:val="18"/>
      <w:szCs w:val="18"/>
      <w:lang w:val="en-GB" w:eastAsia="en-GB" w:bidi="en-GB"/>
    </w:rPr>
  </w:style>
  <w:style w:type="paragraph" w:styleId="NormalWeb">
    <w:name w:val="Normal (Web)"/>
    <w:basedOn w:val="Normal"/>
    <w:uiPriority w:val="99"/>
    <w:semiHidden/>
    <w:unhideWhenUsed/>
    <w:rsid w:val="00C464A8"/>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styleId="UnresolvedMention">
    <w:name w:val="Unresolved Mention"/>
    <w:basedOn w:val="DefaultParagraphFont"/>
    <w:uiPriority w:val="99"/>
    <w:semiHidden/>
    <w:unhideWhenUsed/>
    <w:rsid w:val="00D7435D"/>
    <w:rPr>
      <w:color w:val="605E5C"/>
      <w:shd w:val="clear" w:color="auto" w:fill="E1DFDD"/>
    </w:rPr>
  </w:style>
  <w:style w:type="character" w:styleId="FollowedHyperlink">
    <w:name w:val="FollowedHyperlink"/>
    <w:basedOn w:val="DefaultParagraphFont"/>
    <w:uiPriority w:val="99"/>
    <w:semiHidden/>
    <w:unhideWhenUsed/>
    <w:rsid w:val="002741A9"/>
    <w:rPr>
      <w:color w:val="800080" w:themeColor="followedHyperlink"/>
      <w:u w:val="single"/>
    </w:rPr>
  </w:style>
  <w:style w:type="character" w:customStyle="1" w:styleId="BodyTextChar">
    <w:name w:val="Body Text Char"/>
    <w:basedOn w:val="DefaultParagraphFont"/>
    <w:link w:val="BodyText"/>
    <w:uiPriority w:val="1"/>
    <w:rsid w:val="00215E9A"/>
    <w:rPr>
      <w:rFonts w:ascii="Arial" w:eastAsia="Arial" w:hAnsi="Arial" w:cs="Arial"/>
      <w:lang w:val="en-GB" w:eastAsia="en-GB" w:bidi="en-GB"/>
    </w:rPr>
  </w:style>
  <w:style w:type="paragraph" w:styleId="Revision">
    <w:name w:val="Revision"/>
    <w:hidden/>
    <w:uiPriority w:val="99"/>
    <w:semiHidden/>
    <w:rsid w:val="00AF211B"/>
    <w:pPr>
      <w:widowControl/>
      <w:autoSpaceDE/>
      <w:autoSpaceDN/>
    </w:pPr>
    <w:rPr>
      <w:rFonts w:ascii="Arial" w:eastAsia="Arial" w:hAnsi="Arial" w:cs="Arial"/>
      <w:lang w:val="en-GB" w:eastAsia="en-GB" w:bidi="en-GB"/>
    </w:rPr>
  </w:style>
  <w:style w:type="character" w:customStyle="1" w:styleId="Heading2Char">
    <w:name w:val="Heading 2 Char"/>
    <w:basedOn w:val="DefaultParagraphFont"/>
    <w:link w:val="Heading2"/>
    <w:uiPriority w:val="1"/>
    <w:rsid w:val="00D8055B"/>
    <w:rPr>
      <w:rFonts w:ascii="Arial" w:eastAsia="Arial" w:hAnsi="Arial" w:cs="Arial"/>
      <w:b/>
      <w:bCs/>
      <w:sz w:val="24"/>
      <w:szCs w:val="24"/>
      <w:lang w:val="en-GB" w:eastAsia="en-GB" w:bidi="en-GB"/>
    </w:rPr>
  </w:style>
  <w:style w:type="character" w:styleId="Mention">
    <w:name w:val="Mention"/>
    <w:basedOn w:val="DefaultParagraphFont"/>
    <w:uiPriority w:val="99"/>
    <w:unhideWhenUsed/>
    <w:rsid w:val="00A13D5E"/>
    <w:rPr>
      <w:color w:val="2B579A"/>
      <w:shd w:val="clear" w:color="auto" w:fill="E1DFDD"/>
    </w:rPr>
  </w:style>
  <w:style w:type="character" w:customStyle="1" w:styleId="Heading1Char">
    <w:name w:val="Heading 1 Char"/>
    <w:basedOn w:val="DefaultParagraphFont"/>
    <w:link w:val="Heading1"/>
    <w:uiPriority w:val="9"/>
    <w:rsid w:val="00B55F2A"/>
    <w:rPr>
      <w:rFonts w:ascii="Arial" w:eastAsia="HelveticaNeueLTStd-Roman" w:hAnsi="Arial" w:cs="Arial"/>
      <w:color w:val="4F5252"/>
      <w:spacing w:val="-9"/>
      <w:sz w:val="40"/>
      <w:szCs w:val="40"/>
      <w:lang w:val="en-GB" w:eastAsia="en-GB" w:bidi="en-GB"/>
    </w:rPr>
  </w:style>
  <w:style w:type="paragraph" w:customStyle="1" w:styleId="ParagraphNormal">
    <w:name w:val="Paragraph Normal"/>
    <w:basedOn w:val="BodyText"/>
    <w:link w:val="ParagraphNormalChar"/>
    <w:uiPriority w:val="1"/>
    <w:qFormat/>
    <w:rsid w:val="00450CE8"/>
    <w:pPr>
      <w:spacing w:before="6"/>
      <w:ind w:left="567" w:hanging="567"/>
    </w:pPr>
    <w:rPr>
      <w:sz w:val="24"/>
      <w:szCs w:val="24"/>
    </w:rPr>
  </w:style>
  <w:style w:type="character" w:customStyle="1" w:styleId="ParagraphNormalChar">
    <w:name w:val="Paragraph Normal Char"/>
    <w:basedOn w:val="BodyTextChar"/>
    <w:link w:val="ParagraphNormal"/>
    <w:uiPriority w:val="1"/>
    <w:rsid w:val="00450CE8"/>
    <w:rPr>
      <w:rFonts w:ascii="Arial" w:eastAsia="Arial" w:hAnsi="Arial" w:cs="Arial"/>
      <w:sz w:val="24"/>
      <w:szCs w:val="24"/>
      <w:lang w:val="en-GB" w:eastAsia="en-GB" w:bidi="en-GB"/>
    </w:rPr>
  </w:style>
  <w:style w:type="paragraph" w:customStyle="1" w:styleId="NormP">
    <w:name w:val="NormP"/>
    <w:basedOn w:val="BodyText"/>
    <w:link w:val="NormPChar"/>
    <w:uiPriority w:val="1"/>
    <w:qFormat/>
    <w:rsid w:val="0047749F"/>
    <w:pPr>
      <w:numPr>
        <w:ilvl w:val="1"/>
        <w:numId w:val="1"/>
      </w:numPr>
      <w:spacing w:before="6"/>
    </w:pPr>
    <w:rPr>
      <w:sz w:val="24"/>
      <w:szCs w:val="24"/>
    </w:rPr>
  </w:style>
  <w:style w:type="character" w:customStyle="1" w:styleId="NormPChar">
    <w:name w:val="NormP Char"/>
    <w:basedOn w:val="BodyTextChar"/>
    <w:link w:val="NormP"/>
    <w:uiPriority w:val="1"/>
    <w:rsid w:val="0047749F"/>
    <w:rPr>
      <w:rFonts w:ascii="Arial" w:eastAsia="Arial" w:hAnsi="Arial" w:cs="Arial"/>
      <w:sz w:val="24"/>
      <w:szCs w:val="24"/>
      <w:lang w:val="en-GB" w:eastAsia="en-GB" w:bidi="en-GB"/>
    </w:rPr>
  </w:style>
  <w:style w:type="paragraph" w:customStyle="1" w:styleId="BodyNorm">
    <w:name w:val="BodyNorm"/>
    <w:basedOn w:val="Normal"/>
    <w:link w:val="BodyNormChar"/>
    <w:uiPriority w:val="1"/>
    <w:qFormat/>
    <w:rsid w:val="000417BD"/>
    <w:pPr>
      <w:spacing w:after="160" w:line="278" w:lineRule="auto"/>
    </w:pPr>
    <w:rPr>
      <w:sz w:val="24"/>
      <w:szCs w:val="24"/>
    </w:rPr>
  </w:style>
  <w:style w:type="character" w:customStyle="1" w:styleId="BodyNormChar">
    <w:name w:val="BodyNorm Char"/>
    <w:basedOn w:val="DefaultParagraphFont"/>
    <w:link w:val="BodyNorm"/>
    <w:uiPriority w:val="1"/>
    <w:rsid w:val="000417BD"/>
    <w:rPr>
      <w:rFonts w:ascii="Arial" w:eastAsia="Arial" w:hAnsi="Arial" w:cs="Arial"/>
      <w:sz w:val="24"/>
      <w:szCs w:val="24"/>
      <w:lang w:val="en-GB" w:eastAsia="en-GB" w:bidi="en-GB"/>
    </w:rPr>
  </w:style>
  <w:style w:type="paragraph" w:customStyle="1" w:styleId="NormalR">
    <w:name w:val="Normal R"/>
    <w:basedOn w:val="ListParagraph"/>
    <w:link w:val="NormalRChar"/>
    <w:qFormat/>
    <w:rsid w:val="0002776A"/>
    <w:pPr>
      <w:widowControl/>
      <w:numPr>
        <w:ilvl w:val="1"/>
        <w:numId w:val="16"/>
      </w:numPr>
      <w:autoSpaceDE/>
      <w:autoSpaceDN/>
      <w:spacing w:after="200" w:line="276" w:lineRule="auto"/>
      <w:jc w:val="left"/>
    </w:pPr>
    <w:rPr>
      <w:rFonts w:eastAsiaTheme="minorHAnsi"/>
      <w:sz w:val="24"/>
      <w:szCs w:val="24"/>
      <w:lang w:eastAsia="en-US" w:bidi="ar-SA"/>
    </w:rPr>
  </w:style>
  <w:style w:type="character" w:customStyle="1" w:styleId="NormalRChar">
    <w:name w:val="Normal R Char"/>
    <w:basedOn w:val="DefaultParagraphFont"/>
    <w:link w:val="NormalR"/>
    <w:rsid w:val="0002776A"/>
    <w:rPr>
      <w:rFonts w:ascii="Arial" w:hAnsi="Arial" w:cs="Arial"/>
      <w:sz w:val="24"/>
      <w:szCs w:val="24"/>
      <w:lang w:val="en-GB"/>
    </w:rPr>
  </w:style>
  <w:style w:type="paragraph" w:customStyle="1" w:styleId="HR">
    <w:name w:val="H R"/>
    <w:basedOn w:val="Heading1"/>
    <w:qFormat/>
    <w:rsid w:val="0002776A"/>
    <w:pPr>
      <w:widowControl/>
      <w:numPr>
        <w:numId w:val="16"/>
      </w:numPr>
      <w:tabs>
        <w:tab w:val="clear" w:pos="833"/>
      </w:tabs>
      <w:autoSpaceDE/>
      <w:autoSpaceDN/>
      <w:spacing w:before="0" w:after="200" w:line="276" w:lineRule="auto"/>
    </w:pPr>
    <w:rPr>
      <w:rFonts w:eastAsiaTheme="minorHAnsi"/>
      <w:b/>
      <w:bCs/>
      <w:color w:val="auto"/>
      <w:spacing w:val="0"/>
      <w:sz w:val="28"/>
      <w:szCs w:val="24"/>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086945">
      <w:bodyDiv w:val="1"/>
      <w:marLeft w:val="0"/>
      <w:marRight w:val="0"/>
      <w:marTop w:val="0"/>
      <w:marBottom w:val="0"/>
      <w:divBdr>
        <w:top w:val="none" w:sz="0" w:space="0" w:color="auto"/>
        <w:left w:val="none" w:sz="0" w:space="0" w:color="auto"/>
        <w:bottom w:val="none" w:sz="0" w:space="0" w:color="auto"/>
        <w:right w:val="none" w:sz="0" w:space="0" w:color="auto"/>
      </w:divBdr>
    </w:div>
    <w:div w:id="80763741">
      <w:bodyDiv w:val="1"/>
      <w:marLeft w:val="0"/>
      <w:marRight w:val="0"/>
      <w:marTop w:val="0"/>
      <w:marBottom w:val="0"/>
      <w:divBdr>
        <w:top w:val="none" w:sz="0" w:space="0" w:color="auto"/>
        <w:left w:val="none" w:sz="0" w:space="0" w:color="auto"/>
        <w:bottom w:val="none" w:sz="0" w:space="0" w:color="auto"/>
        <w:right w:val="none" w:sz="0" w:space="0" w:color="auto"/>
      </w:divBdr>
    </w:div>
    <w:div w:id="125898197">
      <w:bodyDiv w:val="1"/>
      <w:marLeft w:val="0"/>
      <w:marRight w:val="0"/>
      <w:marTop w:val="0"/>
      <w:marBottom w:val="0"/>
      <w:divBdr>
        <w:top w:val="none" w:sz="0" w:space="0" w:color="auto"/>
        <w:left w:val="none" w:sz="0" w:space="0" w:color="auto"/>
        <w:bottom w:val="none" w:sz="0" w:space="0" w:color="auto"/>
        <w:right w:val="none" w:sz="0" w:space="0" w:color="auto"/>
      </w:divBdr>
    </w:div>
    <w:div w:id="153879776">
      <w:bodyDiv w:val="1"/>
      <w:marLeft w:val="0"/>
      <w:marRight w:val="0"/>
      <w:marTop w:val="0"/>
      <w:marBottom w:val="0"/>
      <w:divBdr>
        <w:top w:val="none" w:sz="0" w:space="0" w:color="auto"/>
        <w:left w:val="none" w:sz="0" w:space="0" w:color="auto"/>
        <w:bottom w:val="none" w:sz="0" w:space="0" w:color="auto"/>
        <w:right w:val="none" w:sz="0" w:space="0" w:color="auto"/>
      </w:divBdr>
    </w:div>
    <w:div w:id="188641549">
      <w:bodyDiv w:val="1"/>
      <w:marLeft w:val="0"/>
      <w:marRight w:val="0"/>
      <w:marTop w:val="0"/>
      <w:marBottom w:val="0"/>
      <w:divBdr>
        <w:top w:val="none" w:sz="0" w:space="0" w:color="auto"/>
        <w:left w:val="none" w:sz="0" w:space="0" w:color="auto"/>
        <w:bottom w:val="none" w:sz="0" w:space="0" w:color="auto"/>
        <w:right w:val="none" w:sz="0" w:space="0" w:color="auto"/>
      </w:divBdr>
    </w:div>
    <w:div w:id="271253798">
      <w:bodyDiv w:val="1"/>
      <w:marLeft w:val="0"/>
      <w:marRight w:val="0"/>
      <w:marTop w:val="0"/>
      <w:marBottom w:val="0"/>
      <w:divBdr>
        <w:top w:val="none" w:sz="0" w:space="0" w:color="auto"/>
        <w:left w:val="none" w:sz="0" w:space="0" w:color="auto"/>
        <w:bottom w:val="none" w:sz="0" w:space="0" w:color="auto"/>
        <w:right w:val="none" w:sz="0" w:space="0" w:color="auto"/>
      </w:divBdr>
    </w:div>
    <w:div w:id="280766442">
      <w:bodyDiv w:val="1"/>
      <w:marLeft w:val="0"/>
      <w:marRight w:val="0"/>
      <w:marTop w:val="0"/>
      <w:marBottom w:val="0"/>
      <w:divBdr>
        <w:top w:val="none" w:sz="0" w:space="0" w:color="auto"/>
        <w:left w:val="none" w:sz="0" w:space="0" w:color="auto"/>
        <w:bottom w:val="none" w:sz="0" w:space="0" w:color="auto"/>
        <w:right w:val="none" w:sz="0" w:space="0" w:color="auto"/>
      </w:divBdr>
    </w:div>
    <w:div w:id="288627818">
      <w:bodyDiv w:val="1"/>
      <w:marLeft w:val="0"/>
      <w:marRight w:val="0"/>
      <w:marTop w:val="0"/>
      <w:marBottom w:val="0"/>
      <w:divBdr>
        <w:top w:val="none" w:sz="0" w:space="0" w:color="auto"/>
        <w:left w:val="none" w:sz="0" w:space="0" w:color="auto"/>
        <w:bottom w:val="none" w:sz="0" w:space="0" w:color="auto"/>
        <w:right w:val="none" w:sz="0" w:space="0" w:color="auto"/>
      </w:divBdr>
    </w:div>
    <w:div w:id="312569954">
      <w:bodyDiv w:val="1"/>
      <w:marLeft w:val="0"/>
      <w:marRight w:val="0"/>
      <w:marTop w:val="0"/>
      <w:marBottom w:val="0"/>
      <w:divBdr>
        <w:top w:val="none" w:sz="0" w:space="0" w:color="auto"/>
        <w:left w:val="none" w:sz="0" w:space="0" w:color="auto"/>
        <w:bottom w:val="none" w:sz="0" w:space="0" w:color="auto"/>
        <w:right w:val="none" w:sz="0" w:space="0" w:color="auto"/>
      </w:divBdr>
    </w:div>
    <w:div w:id="362025019">
      <w:bodyDiv w:val="1"/>
      <w:marLeft w:val="0"/>
      <w:marRight w:val="0"/>
      <w:marTop w:val="0"/>
      <w:marBottom w:val="0"/>
      <w:divBdr>
        <w:top w:val="none" w:sz="0" w:space="0" w:color="auto"/>
        <w:left w:val="none" w:sz="0" w:space="0" w:color="auto"/>
        <w:bottom w:val="none" w:sz="0" w:space="0" w:color="auto"/>
        <w:right w:val="none" w:sz="0" w:space="0" w:color="auto"/>
      </w:divBdr>
    </w:div>
    <w:div w:id="383142436">
      <w:bodyDiv w:val="1"/>
      <w:marLeft w:val="0"/>
      <w:marRight w:val="0"/>
      <w:marTop w:val="0"/>
      <w:marBottom w:val="0"/>
      <w:divBdr>
        <w:top w:val="none" w:sz="0" w:space="0" w:color="auto"/>
        <w:left w:val="none" w:sz="0" w:space="0" w:color="auto"/>
        <w:bottom w:val="none" w:sz="0" w:space="0" w:color="auto"/>
        <w:right w:val="none" w:sz="0" w:space="0" w:color="auto"/>
      </w:divBdr>
    </w:div>
    <w:div w:id="383145415">
      <w:bodyDiv w:val="1"/>
      <w:marLeft w:val="0"/>
      <w:marRight w:val="0"/>
      <w:marTop w:val="0"/>
      <w:marBottom w:val="0"/>
      <w:divBdr>
        <w:top w:val="none" w:sz="0" w:space="0" w:color="auto"/>
        <w:left w:val="none" w:sz="0" w:space="0" w:color="auto"/>
        <w:bottom w:val="none" w:sz="0" w:space="0" w:color="auto"/>
        <w:right w:val="none" w:sz="0" w:space="0" w:color="auto"/>
      </w:divBdr>
    </w:div>
    <w:div w:id="424350999">
      <w:bodyDiv w:val="1"/>
      <w:marLeft w:val="0"/>
      <w:marRight w:val="0"/>
      <w:marTop w:val="0"/>
      <w:marBottom w:val="0"/>
      <w:divBdr>
        <w:top w:val="none" w:sz="0" w:space="0" w:color="auto"/>
        <w:left w:val="none" w:sz="0" w:space="0" w:color="auto"/>
        <w:bottom w:val="none" w:sz="0" w:space="0" w:color="auto"/>
        <w:right w:val="none" w:sz="0" w:space="0" w:color="auto"/>
      </w:divBdr>
    </w:div>
    <w:div w:id="505680739">
      <w:bodyDiv w:val="1"/>
      <w:marLeft w:val="0"/>
      <w:marRight w:val="0"/>
      <w:marTop w:val="0"/>
      <w:marBottom w:val="0"/>
      <w:divBdr>
        <w:top w:val="none" w:sz="0" w:space="0" w:color="auto"/>
        <w:left w:val="none" w:sz="0" w:space="0" w:color="auto"/>
        <w:bottom w:val="none" w:sz="0" w:space="0" w:color="auto"/>
        <w:right w:val="none" w:sz="0" w:space="0" w:color="auto"/>
      </w:divBdr>
    </w:div>
    <w:div w:id="516624499">
      <w:bodyDiv w:val="1"/>
      <w:marLeft w:val="0"/>
      <w:marRight w:val="0"/>
      <w:marTop w:val="0"/>
      <w:marBottom w:val="0"/>
      <w:divBdr>
        <w:top w:val="none" w:sz="0" w:space="0" w:color="auto"/>
        <w:left w:val="none" w:sz="0" w:space="0" w:color="auto"/>
        <w:bottom w:val="none" w:sz="0" w:space="0" w:color="auto"/>
        <w:right w:val="none" w:sz="0" w:space="0" w:color="auto"/>
      </w:divBdr>
    </w:div>
    <w:div w:id="631058154">
      <w:bodyDiv w:val="1"/>
      <w:marLeft w:val="0"/>
      <w:marRight w:val="0"/>
      <w:marTop w:val="0"/>
      <w:marBottom w:val="0"/>
      <w:divBdr>
        <w:top w:val="none" w:sz="0" w:space="0" w:color="auto"/>
        <w:left w:val="none" w:sz="0" w:space="0" w:color="auto"/>
        <w:bottom w:val="none" w:sz="0" w:space="0" w:color="auto"/>
        <w:right w:val="none" w:sz="0" w:space="0" w:color="auto"/>
      </w:divBdr>
    </w:div>
    <w:div w:id="638728816">
      <w:bodyDiv w:val="1"/>
      <w:marLeft w:val="0"/>
      <w:marRight w:val="0"/>
      <w:marTop w:val="0"/>
      <w:marBottom w:val="0"/>
      <w:divBdr>
        <w:top w:val="none" w:sz="0" w:space="0" w:color="auto"/>
        <w:left w:val="none" w:sz="0" w:space="0" w:color="auto"/>
        <w:bottom w:val="none" w:sz="0" w:space="0" w:color="auto"/>
        <w:right w:val="none" w:sz="0" w:space="0" w:color="auto"/>
      </w:divBdr>
    </w:div>
    <w:div w:id="786661125">
      <w:bodyDiv w:val="1"/>
      <w:marLeft w:val="0"/>
      <w:marRight w:val="0"/>
      <w:marTop w:val="0"/>
      <w:marBottom w:val="0"/>
      <w:divBdr>
        <w:top w:val="none" w:sz="0" w:space="0" w:color="auto"/>
        <w:left w:val="none" w:sz="0" w:space="0" w:color="auto"/>
        <w:bottom w:val="none" w:sz="0" w:space="0" w:color="auto"/>
        <w:right w:val="none" w:sz="0" w:space="0" w:color="auto"/>
      </w:divBdr>
    </w:div>
    <w:div w:id="868953912">
      <w:bodyDiv w:val="1"/>
      <w:marLeft w:val="0"/>
      <w:marRight w:val="0"/>
      <w:marTop w:val="0"/>
      <w:marBottom w:val="0"/>
      <w:divBdr>
        <w:top w:val="none" w:sz="0" w:space="0" w:color="auto"/>
        <w:left w:val="none" w:sz="0" w:space="0" w:color="auto"/>
        <w:bottom w:val="none" w:sz="0" w:space="0" w:color="auto"/>
        <w:right w:val="none" w:sz="0" w:space="0" w:color="auto"/>
      </w:divBdr>
    </w:div>
    <w:div w:id="890845295">
      <w:bodyDiv w:val="1"/>
      <w:marLeft w:val="0"/>
      <w:marRight w:val="0"/>
      <w:marTop w:val="0"/>
      <w:marBottom w:val="0"/>
      <w:divBdr>
        <w:top w:val="none" w:sz="0" w:space="0" w:color="auto"/>
        <w:left w:val="none" w:sz="0" w:space="0" w:color="auto"/>
        <w:bottom w:val="none" w:sz="0" w:space="0" w:color="auto"/>
        <w:right w:val="none" w:sz="0" w:space="0" w:color="auto"/>
      </w:divBdr>
    </w:div>
    <w:div w:id="984745823">
      <w:bodyDiv w:val="1"/>
      <w:marLeft w:val="0"/>
      <w:marRight w:val="0"/>
      <w:marTop w:val="0"/>
      <w:marBottom w:val="0"/>
      <w:divBdr>
        <w:top w:val="none" w:sz="0" w:space="0" w:color="auto"/>
        <w:left w:val="none" w:sz="0" w:space="0" w:color="auto"/>
        <w:bottom w:val="none" w:sz="0" w:space="0" w:color="auto"/>
        <w:right w:val="none" w:sz="0" w:space="0" w:color="auto"/>
      </w:divBdr>
    </w:div>
    <w:div w:id="1111166101">
      <w:bodyDiv w:val="1"/>
      <w:marLeft w:val="0"/>
      <w:marRight w:val="0"/>
      <w:marTop w:val="0"/>
      <w:marBottom w:val="0"/>
      <w:divBdr>
        <w:top w:val="none" w:sz="0" w:space="0" w:color="auto"/>
        <w:left w:val="none" w:sz="0" w:space="0" w:color="auto"/>
        <w:bottom w:val="none" w:sz="0" w:space="0" w:color="auto"/>
        <w:right w:val="none" w:sz="0" w:space="0" w:color="auto"/>
      </w:divBdr>
    </w:div>
    <w:div w:id="1147237679">
      <w:bodyDiv w:val="1"/>
      <w:marLeft w:val="0"/>
      <w:marRight w:val="0"/>
      <w:marTop w:val="0"/>
      <w:marBottom w:val="0"/>
      <w:divBdr>
        <w:top w:val="none" w:sz="0" w:space="0" w:color="auto"/>
        <w:left w:val="none" w:sz="0" w:space="0" w:color="auto"/>
        <w:bottom w:val="none" w:sz="0" w:space="0" w:color="auto"/>
        <w:right w:val="none" w:sz="0" w:space="0" w:color="auto"/>
      </w:divBdr>
    </w:div>
    <w:div w:id="1169102068">
      <w:bodyDiv w:val="1"/>
      <w:marLeft w:val="0"/>
      <w:marRight w:val="0"/>
      <w:marTop w:val="0"/>
      <w:marBottom w:val="0"/>
      <w:divBdr>
        <w:top w:val="none" w:sz="0" w:space="0" w:color="auto"/>
        <w:left w:val="none" w:sz="0" w:space="0" w:color="auto"/>
        <w:bottom w:val="none" w:sz="0" w:space="0" w:color="auto"/>
        <w:right w:val="none" w:sz="0" w:space="0" w:color="auto"/>
      </w:divBdr>
    </w:div>
    <w:div w:id="1172262234">
      <w:bodyDiv w:val="1"/>
      <w:marLeft w:val="0"/>
      <w:marRight w:val="0"/>
      <w:marTop w:val="0"/>
      <w:marBottom w:val="0"/>
      <w:divBdr>
        <w:top w:val="none" w:sz="0" w:space="0" w:color="auto"/>
        <w:left w:val="none" w:sz="0" w:space="0" w:color="auto"/>
        <w:bottom w:val="none" w:sz="0" w:space="0" w:color="auto"/>
        <w:right w:val="none" w:sz="0" w:space="0" w:color="auto"/>
      </w:divBdr>
      <w:divsChild>
        <w:div w:id="796874780">
          <w:marLeft w:val="0"/>
          <w:marRight w:val="0"/>
          <w:marTop w:val="0"/>
          <w:marBottom w:val="0"/>
          <w:divBdr>
            <w:top w:val="none" w:sz="0" w:space="0" w:color="auto"/>
            <w:left w:val="none" w:sz="0" w:space="0" w:color="auto"/>
            <w:bottom w:val="none" w:sz="0" w:space="0" w:color="auto"/>
            <w:right w:val="none" w:sz="0" w:space="0" w:color="auto"/>
          </w:divBdr>
          <w:divsChild>
            <w:div w:id="347295661">
              <w:marLeft w:val="0"/>
              <w:marRight w:val="0"/>
              <w:marTop w:val="0"/>
              <w:marBottom w:val="0"/>
              <w:divBdr>
                <w:top w:val="none" w:sz="0" w:space="0" w:color="auto"/>
                <w:left w:val="none" w:sz="0" w:space="0" w:color="auto"/>
                <w:bottom w:val="none" w:sz="0" w:space="0" w:color="auto"/>
                <w:right w:val="none" w:sz="0" w:space="0" w:color="auto"/>
              </w:divBdr>
            </w:div>
            <w:div w:id="1202937518">
              <w:marLeft w:val="0"/>
              <w:marRight w:val="0"/>
              <w:marTop w:val="0"/>
              <w:marBottom w:val="0"/>
              <w:divBdr>
                <w:top w:val="none" w:sz="0" w:space="0" w:color="auto"/>
                <w:left w:val="none" w:sz="0" w:space="0" w:color="auto"/>
                <w:bottom w:val="none" w:sz="0" w:space="0" w:color="auto"/>
                <w:right w:val="none" w:sz="0" w:space="0" w:color="auto"/>
              </w:divBdr>
            </w:div>
            <w:div w:id="1792817587">
              <w:marLeft w:val="0"/>
              <w:marRight w:val="0"/>
              <w:marTop w:val="0"/>
              <w:marBottom w:val="0"/>
              <w:divBdr>
                <w:top w:val="none" w:sz="0" w:space="0" w:color="auto"/>
                <w:left w:val="none" w:sz="0" w:space="0" w:color="auto"/>
                <w:bottom w:val="none" w:sz="0" w:space="0" w:color="auto"/>
                <w:right w:val="none" w:sz="0" w:space="0" w:color="auto"/>
              </w:divBdr>
            </w:div>
            <w:div w:id="2144274612">
              <w:marLeft w:val="0"/>
              <w:marRight w:val="0"/>
              <w:marTop w:val="0"/>
              <w:marBottom w:val="0"/>
              <w:divBdr>
                <w:top w:val="none" w:sz="0" w:space="0" w:color="auto"/>
                <w:left w:val="none" w:sz="0" w:space="0" w:color="auto"/>
                <w:bottom w:val="none" w:sz="0" w:space="0" w:color="auto"/>
                <w:right w:val="none" w:sz="0" w:space="0" w:color="auto"/>
              </w:divBdr>
            </w:div>
          </w:divsChild>
        </w:div>
        <w:div w:id="952904714">
          <w:marLeft w:val="0"/>
          <w:marRight w:val="0"/>
          <w:marTop w:val="0"/>
          <w:marBottom w:val="0"/>
          <w:divBdr>
            <w:top w:val="none" w:sz="0" w:space="0" w:color="auto"/>
            <w:left w:val="none" w:sz="0" w:space="0" w:color="auto"/>
            <w:bottom w:val="none" w:sz="0" w:space="0" w:color="auto"/>
            <w:right w:val="none" w:sz="0" w:space="0" w:color="auto"/>
          </w:divBdr>
          <w:divsChild>
            <w:div w:id="338192369">
              <w:marLeft w:val="0"/>
              <w:marRight w:val="0"/>
              <w:marTop w:val="0"/>
              <w:marBottom w:val="0"/>
              <w:divBdr>
                <w:top w:val="none" w:sz="0" w:space="0" w:color="auto"/>
                <w:left w:val="none" w:sz="0" w:space="0" w:color="auto"/>
                <w:bottom w:val="none" w:sz="0" w:space="0" w:color="auto"/>
                <w:right w:val="none" w:sz="0" w:space="0" w:color="auto"/>
              </w:divBdr>
            </w:div>
            <w:div w:id="427115701">
              <w:marLeft w:val="0"/>
              <w:marRight w:val="0"/>
              <w:marTop w:val="0"/>
              <w:marBottom w:val="0"/>
              <w:divBdr>
                <w:top w:val="none" w:sz="0" w:space="0" w:color="auto"/>
                <w:left w:val="none" w:sz="0" w:space="0" w:color="auto"/>
                <w:bottom w:val="none" w:sz="0" w:space="0" w:color="auto"/>
                <w:right w:val="none" w:sz="0" w:space="0" w:color="auto"/>
              </w:divBdr>
            </w:div>
            <w:div w:id="435756228">
              <w:marLeft w:val="0"/>
              <w:marRight w:val="0"/>
              <w:marTop w:val="0"/>
              <w:marBottom w:val="0"/>
              <w:divBdr>
                <w:top w:val="none" w:sz="0" w:space="0" w:color="auto"/>
                <w:left w:val="none" w:sz="0" w:space="0" w:color="auto"/>
                <w:bottom w:val="none" w:sz="0" w:space="0" w:color="auto"/>
                <w:right w:val="none" w:sz="0" w:space="0" w:color="auto"/>
              </w:divBdr>
            </w:div>
            <w:div w:id="506678188">
              <w:marLeft w:val="0"/>
              <w:marRight w:val="0"/>
              <w:marTop w:val="0"/>
              <w:marBottom w:val="0"/>
              <w:divBdr>
                <w:top w:val="none" w:sz="0" w:space="0" w:color="auto"/>
                <w:left w:val="none" w:sz="0" w:space="0" w:color="auto"/>
                <w:bottom w:val="none" w:sz="0" w:space="0" w:color="auto"/>
                <w:right w:val="none" w:sz="0" w:space="0" w:color="auto"/>
              </w:divBdr>
            </w:div>
            <w:div w:id="533925589">
              <w:marLeft w:val="0"/>
              <w:marRight w:val="0"/>
              <w:marTop w:val="0"/>
              <w:marBottom w:val="0"/>
              <w:divBdr>
                <w:top w:val="none" w:sz="0" w:space="0" w:color="auto"/>
                <w:left w:val="none" w:sz="0" w:space="0" w:color="auto"/>
                <w:bottom w:val="none" w:sz="0" w:space="0" w:color="auto"/>
                <w:right w:val="none" w:sz="0" w:space="0" w:color="auto"/>
              </w:divBdr>
            </w:div>
            <w:div w:id="538667502">
              <w:marLeft w:val="0"/>
              <w:marRight w:val="0"/>
              <w:marTop w:val="0"/>
              <w:marBottom w:val="0"/>
              <w:divBdr>
                <w:top w:val="none" w:sz="0" w:space="0" w:color="auto"/>
                <w:left w:val="none" w:sz="0" w:space="0" w:color="auto"/>
                <w:bottom w:val="none" w:sz="0" w:space="0" w:color="auto"/>
                <w:right w:val="none" w:sz="0" w:space="0" w:color="auto"/>
              </w:divBdr>
            </w:div>
            <w:div w:id="695039126">
              <w:marLeft w:val="0"/>
              <w:marRight w:val="0"/>
              <w:marTop w:val="0"/>
              <w:marBottom w:val="0"/>
              <w:divBdr>
                <w:top w:val="none" w:sz="0" w:space="0" w:color="auto"/>
                <w:left w:val="none" w:sz="0" w:space="0" w:color="auto"/>
                <w:bottom w:val="none" w:sz="0" w:space="0" w:color="auto"/>
                <w:right w:val="none" w:sz="0" w:space="0" w:color="auto"/>
              </w:divBdr>
            </w:div>
            <w:div w:id="699551486">
              <w:marLeft w:val="0"/>
              <w:marRight w:val="0"/>
              <w:marTop w:val="0"/>
              <w:marBottom w:val="0"/>
              <w:divBdr>
                <w:top w:val="none" w:sz="0" w:space="0" w:color="auto"/>
                <w:left w:val="none" w:sz="0" w:space="0" w:color="auto"/>
                <w:bottom w:val="none" w:sz="0" w:space="0" w:color="auto"/>
                <w:right w:val="none" w:sz="0" w:space="0" w:color="auto"/>
              </w:divBdr>
            </w:div>
            <w:div w:id="733548874">
              <w:marLeft w:val="0"/>
              <w:marRight w:val="0"/>
              <w:marTop w:val="0"/>
              <w:marBottom w:val="0"/>
              <w:divBdr>
                <w:top w:val="none" w:sz="0" w:space="0" w:color="auto"/>
                <w:left w:val="none" w:sz="0" w:space="0" w:color="auto"/>
                <w:bottom w:val="none" w:sz="0" w:space="0" w:color="auto"/>
                <w:right w:val="none" w:sz="0" w:space="0" w:color="auto"/>
              </w:divBdr>
            </w:div>
            <w:div w:id="847797195">
              <w:marLeft w:val="0"/>
              <w:marRight w:val="0"/>
              <w:marTop w:val="0"/>
              <w:marBottom w:val="0"/>
              <w:divBdr>
                <w:top w:val="none" w:sz="0" w:space="0" w:color="auto"/>
                <w:left w:val="none" w:sz="0" w:space="0" w:color="auto"/>
                <w:bottom w:val="none" w:sz="0" w:space="0" w:color="auto"/>
                <w:right w:val="none" w:sz="0" w:space="0" w:color="auto"/>
              </w:divBdr>
            </w:div>
            <w:div w:id="1012994470">
              <w:marLeft w:val="0"/>
              <w:marRight w:val="0"/>
              <w:marTop w:val="0"/>
              <w:marBottom w:val="0"/>
              <w:divBdr>
                <w:top w:val="none" w:sz="0" w:space="0" w:color="auto"/>
                <w:left w:val="none" w:sz="0" w:space="0" w:color="auto"/>
                <w:bottom w:val="none" w:sz="0" w:space="0" w:color="auto"/>
                <w:right w:val="none" w:sz="0" w:space="0" w:color="auto"/>
              </w:divBdr>
            </w:div>
            <w:div w:id="1175420427">
              <w:marLeft w:val="0"/>
              <w:marRight w:val="0"/>
              <w:marTop w:val="0"/>
              <w:marBottom w:val="0"/>
              <w:divBdr>
                <w:top w:val="none" w:sz="0" w:space="0" w:color="auto"/>
                <w:left w:val="none" w:sz="0" w:space="0" w:color="auto"/>
                <w:bottom w:val="none" w:sz="0" w:space="0" w:color="auto"/>
                <w:right w:val="none" w:sz="0" w:space="0" w:color="auto"/>
              </w:divBdr>
            </w:div>
            <w:div w:id="1188180155">
              <w:marLeft w:val="0"/>
              <w:marRight w:val="0"/>
              <w:marTop w:val="0"/>
              <w:marBottom w:val="0"/>
              <w:divBdr>
                <w:top w:val="none" w:sz="0" w:space="0" w:color="auto"/>
                <w:left w:val="none" w:sz="0" w:space="0" w:color="auto"/>
                <w:bottom w:val="none" w:sz="0" w:space="0" w:color="auto"/>
                <w:right w:val="none" w:sz="0" w:space="0" w:color="auto"/>
              </w:divBdr>
            </w:div>
            <w:div w:id="1448501319">
              <w:marLeft w:val="0"/>
              <w:marRight w:val="0"/>
              <w:marTop w:val="0"/>
              <w:marBottom w:val="0"/>
              <w:divBdr>
                <w:top w:val="none" w:sz="0" w:space="0" w:color="auto"/>
                <w:left w:val="none" w:sz="0" w:space="0" w:color="auto"/>
                <w:bottom w:val="none" w:sz="0" w:space="0" w:color="auto"/>
                <w:right w:val="none" w:sz="0" w:space="0" w:color="auto"/>
              </w:divBdr>
            </w:div>
            <w:div w:id="1564440628">
              <w:marLeft w:val="0"/>
              <w:marRight w:val="0"/>
              <w:marTop w:val="0"/>
              <w:marBottom w:val="0"/>
              <w:divBdr>
                <w:top w:val="none" w:sz="0" w:space="0" w:color="auto"/>
                <w:left w:val="none" w:sz="0" w:space="0" w:color="auto"/>
                <w:bottom w:val="none" w:sz="0" w:space="0" w:color="auto"/>
                <w:right w:val="none" w:sz="0" w:space="0" w:color="auto"/>
              </w:divBdr>
            </w:div>
            <w:div w:id="1746485882">
              <w:marLeft w:val="0"/>
              <w:marRight w:val="0"/>
              <w:marTop w:val="0"/>
              <w:marBottom w:val="0"/>
              <w:divBdr>
                <w:top w:val="none" w:sz="0" w:space="0" w:color="auto"/>
                <w:left w:val="none" w:sz="0" w:space="0" w:color="auto"/>
                <w:bottom w:val="none" w:sz="0" w:space="0" w:color="auto"/>
                <w:right w:val="none" w:sz="0" w:space="0" w:color="auto"/>
              </w:divBdr>
            </w:div>
            <w:div w:id="2042170162">
              <w:marLeft w:val="0"/>
              <w:marRight w:val="0"/>
              <w:marTop w:val="0"/>
              <w:marBottom w:val="0"/>
              <w:divBdr>
                <w:top w:val="none" w:sz="0" w:space="0" w:color="auto"/>
                <w:left w:val="none" w:sz="0" w:space="0" w:color="auto"/>
                <w:bottom w:val="none" w:sz="0" w:space="0" w:color="auto"/>
                <w:right w:val="none" w:sz="0" w:space="0" w:color="auto"/>
              </w:divBdr>
            </w:div>
            <w:div w:id="207061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155545">
      <w:bodyDiv w:val="1"/>
      <w:marLeft w:val="0"/>
      <w:marRight w:val="0"/>
      <w:marTop w:val="0"/>
      <w:marBottom w:val="0"/>
      <w:divBdr>
        <w:top w:val="none" w:sz="0" w:space="0" w:color="auto"/>
        <w:left w:val="none" w:sz="0" w:space="0" w:color="auto"/>
        <w:bottom w:val="none" w:sz="0" w:space="0" w:color="auto"/>
        <w:right w:val="none" w:sz="0" w:space="0" w:color="auto"/>
      </w:divBdr>
    </w:div>
    <w:div w:id="1362903305">
      <w:bodyDiv w:val="1"/>
      <w:marLeft w:val="0"/>
      <w:marRight w:val="0"/>
      <w:marTop w:val="0"/>
      <w:marBottom w:val="0"/>
      <w:divBdr>
        <w:top w:val="none" w:sz="0" w:space="0" w:color="auto"/>
        <w:left w:val="none" w:sz="0" w:space="0" w:color="auto"/>
        <w:bottom w:val="none" w:sz="0" w:space="0" w:color="auto"/>
        <w:right w:val="none" w:sz="0" w:space="0" w:color="auto"/>
      </w:divBdr>
    </w:div>
    <w:div w:id="1498809668">
      <w:bodyDiv w:val="1"/>
      <w:marLeft w:val="0"/>
      <w:marRight w:val="0"/>
      <w:marTop w:val="0"/>
      <w:marBottom w:val="0"/>
      <w:divBdr>
        <w:top w:val="none" w:sz="0" w:space="0" w:color="auto"/>
        <w:left w:val="none" w:sz="0" w:space="0" w:color="auto"/>
        <w:bottom w:val="none" w:sz="0" w:space="0" w:color="auto"/>
        <w:right w:val="none" w:sz="0" w:space="0" w:color="auto"/>
      </w:divBdr>
    </w:div>
    <w:div w:id="1702971995">
      <w:bodyDiv w:val="1"/>
      <w:marLeft w:val="0"/>
      <w:marRight w:val="0"/>
      <w:marTop w:val="0"/>
      <w:marBottom w:val="0"/>
      <w:divBdr>
        <w:top w:val="none" w:sz="0" w:space="0" w:color="auto"/>
        <w:left w:val="none" w:sz="0" w:space="0" w:color="auto"/>
        <w:bottom w:val="none" w:sz="0" w:space="0" w:color="auto"/>
        <w:right w:val="none" w:sz="0" w:space="0" w:color="auto"/>
      </w:divBdr>
    </w:div>
    <w:div w:id="1717316960">
      <w:bodyDiv w:val="1"/>
      <w:marLeft w:val="0"/>
      <w:marRight w:val="0"/>
      <w:marTop w:val="0"/>
      <w:marBottom w:val="0"/>
      <w:divBdr>
        <w:top w:val="none" w:sz="0" w:space="0" w:color="auto"/>
        <w:left w:val="none" w:sz="0" w:space="0" w:color="auto"/>
        <w:bottom w:val="none" w:sz="0" w:space="0" w:color="auto"/>
        <w:right w:val="none" w:sz="0" w:space="0" w:color="auto"/>
      </w:divBdr>
      <w:divsChild>
        <w:div w:id="692268326">
          <w:marLeft w:val="0"/>
          <w:marRight w:val="0"/>
          <w:marTop w:val="0"/>
          <w:marBottom w:val="0"/>
          <w:divBdr>
            <w:top w:val="none" w:sz="0" w:space="0" w:color="auto"/>
            <w:left w:val="none" w:sz="0" w:space="0" w:color="auto"/>
            <w:bottom w:val="none" w:sz="0" w:space="0" w:color="auto"/>
            <w:right w:val="none" w:sz="0" w:space="0" w:color="auto"/>
          </w:divBdr>
          <w:divsChild>
            <w:div w:id="1442833">
              <w:marLeft w:val="0"/>
              <w:marRight w:val="0"/>
              <w:marTop w:val="0"/>
              <w:marBottom w:val="0"/>
              <w:divBdr>
                <w:top w:val="none" w:sz="0" w:space="0" w:color="auto"/>
                <w:left w:val="none" w:sz="0" w:space="0" w:color="auto"/>
                <w:bottom w:val="none" w:sz="0" w:space="0" w:color="auto"/>
                <w:right w:val="none" w:sz="0" w:space="0" w:color="auto"/>
              </w:divBdr>
            </w:div>
            <w:div w:id="24596932">
              <w:marLeft w:val="0"/>
              <w:marRight w:val="0"/>
              <w:marTop w:val="0"/>
              <w:marBottom w:val="0"/>
              <w:divBdr>
                <w:top w:val="none" w:sz="0" w:space="0" w:color="auto"/>
                <w:left w:val="none" w:sz="0" w:space="0" w:color="auto"/>
                <w:bottom w:val="none" w:sz="0" w:space="0" w:color="auto"/>
                <w:right w:val="none" w:sz="0" w:space="0" w:color="auto"/>
              </w:divBdr>
            </w:div>
            <w:div w:id="147291275">
              <w:marLeft w:val="0"/>
              <w:marRight w:val="0"/>
              <w:marTop w:val="0"/>
              <w:marBottom w:val="0"/>
              <w:divBdr>
                <w:top w:val="none" w:sz="0" w:space="0" w:color="auto"/>
                <w:left w:val="none" w:sz="0" w:space="0" w:color="auto"/>
                <w:bottom w:val="none" w:sz="0" w:space="0" w:color="auto"/>
                <w:right w:val="none" w:sz="0" w:space="0" w:color="auto"/>
              </w:divBdr>
            </w:div>
            <w:div w:id="278489671">
              <w:marLeft w:val="0"/>
              <w:marRight w:val="0"/>
              <w:marTop w:val="0"/>
              <w:marBottom w:val="0"/>
              <w:divBdr>
                <w:top w:val="none" w:sz="0" w:space="0" w:color="auto"/>
                <w:left w:val="none" w:sz="0" w:space="0" w:color="auto"/>
                <w:bottom w:val="none" w:sz="0" w:space="0" w:color="auto"/>
                <w:right w:val="none" w:sz="0" w:space="0" w:color="auto"/>
              </w:divBdr>
            </w:div>
            <w:div w:id="625476697">
              <w:marLeft w:val="0"/>
              <w:marRight w:val="0"/>
              <w:marTop w:val="0"/>
              <w:marBottom w:val="0"/>
              <w:divBdr>
                <w:top w:val="none" w:sz="0" w:space="0" w:color="auto"/>
                <w:left w:val="none" w:sz="0" w:space="0" w:color="auto"/>
                <w:bottom w:val="none" w:sz="0" w:space="0" w:color="auto"/>
                <w:right w:val="none" w:sz="0" w:space="0" w:color="auto"/>
              </w:divBdr>
            </w:div>
            <w:div w:id="922180784">
              <w:marLeft w:val="0"/>
              <w:marRight w:val="0"/>
              <w:marTop w:val="0"/>
              <w:marBottom w:val="0"/>
              <w:divBdr>
                <w:top w:val="none" w:sz="0" w:space="0" w:color="auto"/>
                <w:left w:val="none" w:sz="0" w:space="0" w:color="auto"/>
                <w:bottom w:val="none" w:sz="0" w:space="0" w:color="auto"/>
                <w:right w:val="none" w:sz="0" w:space="0" w:color="auto"/>
              </w:divBdr>
            </w:div>
            <w:div w:id="1097218310">
              <w:marLeft w:val="0"/>
              <w:marRight w:val="0"/>
              <w:marTop w:val="0"/>
              <w:marBottom w:val="0"/>
              <w:divBdr>
                <w:top w:val="none" w:sz="0" w:space="0" w:color="auto"/>
                <w:left w:val="none" w:sz="0" w:space="0" w:color="auto"/>
                <w:bottom w:val="none" w:sz="0" w:space="0" w:color="auto"/>
                <w:right w:val="none" w:sz="0" w:space="0" w:color="auto"/>
              </w:divBdr>
            </w:div>
            <w:div w:id="1156149494">
              <w:marLeft w:val="0"/>
              <w:marRight w:val="0"/>
              <w:marTop w:val="0"/>
              <w:marBottom w:val="0"/>
              <w:divBdr>
                <w:top w:val="none" w:sz="0" w:space="0" w:color="auto"/>
                <w:left w:val="none" w:sz="0" w:space="0" w:color="auto"/>
                <w:bottom w:val="none" w:sz="0" w:space="0" w:color="auto"/>
                <w:right w:val="none" w:sz="0" w:space="0" w:color="auto"/>
              </w:divBdr>
            </w:div>
            <w:div w:id="1205680357">
              <w:marLeft w:val="0"/>
              <w:marRight w:val="0"/>
              <w:marTop w:val="0"/>
              <w:marBottom w:val="0"/>
              <w:divBdr>
                <w:top w:val="none" w:sz="0" w:space="0" w:color="auto"/>
                <w:left w:val="none" w:sz="0" w:space="0" w:color="auto"/>
                <w:bottom w:val="none" w:sz="0" w:space="0" w:color="auto"/>
                <w:right w:val="none" w:sz="0" w:space="0" w:color="auto"/>
              </w:divBdr>
            </w:div>
            <w:div w:id="1374381007">
              <w:marLeft w:val="0"/>
              <w:marRight w:val="0"/>
              <w:marTop w:val="0"/>
              <w:marBottom w:val="0"/>
              <w:divBdr>
                <w:top w:val="none" w:sz="0" w:space="0" w:color="auto"/>
                <w:left w:val="none" w:sz="0" w:space="0" w:color="auto"/>
                <w:bottom w:val="none" w:sz="0" w:space="0" w:color="auto"/>
                <w:right w:val="none" w:sz="0" w:space="0" w:color="auto"/>
              </w:divBdr>
            </w:div>
            <w:div w:id="1409841077">
              <w:marLeft w:val="0"/>
              <w:marRight w:val="0"/>
              <w:marTop w:val="0"/>
              <w:marBottom w:val="0"/>
              <w:divBdr>
                <w:top w:val="none" w:sz="0" w:space="0" w:color="auto"/>
                <w:left w:val="none" w:sz="0" w:space="0" w:color="auto"/>
                <w:bottom w:val="none" w:sz="0" w:space="0" w:color="auto"/>
                <w:right w:val="none" w:sz="0" w:space="0" w:color="auto"/>
              </w:divBdr>
            </w:div>
            <w:div w:id="1431702577">
              <w:marLeft w:val="0"/>
              <w:marRight w:val="0"/>
              <w:marTop w:val="0"/>
              <w:marBottom w:val="0"/>
              <w:divBdr>
                <w:top w:val="none" w:sz="0" w:space="0" w:color="auto"/>
                <w:left w:val="none" w:sz="0" w:space="0" w:color="auto"/>
                <w:bottom w:val="none" w:sz="0" w:space="0" w:color="auto"/>
                <w:right w:val="none" w:sz="0" w:space="0" w:color="auto"/>
              </w:divBdr>
            </w:div>
            <w:div w:id="1464419477">
              <w:marLeft w:val="0"/>
              <w:marRight w:val="0"/>
              <w:marTop w:val="0"/>
              <w:marBottom w:val="0"/>
              <w:divBdr>
                <w:top w:val="none" w:sz="0" w:space="0" w:color="auto"/>
                <w:left w:val="none" w:sz="0" w:space="0" w:color="auto"/>
                <w:bottom w:val="none" w:sz="0" w:space="0" w:color="auto"/>
                <w:right w:val="none" w:sz="0" w:space="0" w:color="auto"/>
              </w:divBdr>
            </w:div>
            <w:div w:id="1472479259">
              <w:marLeft w:val="0"/>
              <w:marRight w:val="0"/>
              <w:marTop w:val="0"/>
              <w:marBottom w:val="0"/>
              <w:divBdr>
                <w:top w:val="none" w:sz="0" w:space="0" w:color="auto"/>
                <w:left w:val="none" w:sz="0" w:space="0" w:color="auto"/>
                <w:bottom w:val="none" w:sz="0" w:space="0" w:color="auto"/>
                <w:right w:val="none" w:sz="0" w:space="0" w:color="auto"/>
              </w:divBdr>
            </w:div>
            <w:div w:id="1492795914">
              <w:marLeft w:val="0"/>
              <w:marRight w:val="0"/>
              <w:marTop w:val="0"/>
              <w:marBottom w:val="0"/>
              <w:divBdr>
                <w:top w:val="none" w:sz="0" w:space="0" w:color="auto"/>
                <w:left w:val="none" w:sz="0" w:space="0" w:color="auto"/>
                <w:bottom w:val="none" w:sz="0" w:space="0" w:color="auto"/>
                <w:right w:val="none" w:sz="0" w:space="0" w:color="auto"/>
              </w:divBdr>
            </w:div>
            <w:div w:id="1573196783">
              <w:marLeft w:val="0"/>
              <w:marRight w:val="0"/>
              <w:marTop w:val="0"/>
              <w:marBottom w:val="0"/>
              <w:divBdr>
                <w:top w:val="none" w:sz="0" w:space="0" w:color="auto"/>
                <w:left w:val="none" w:sz="0" w:space="0" w:color="auto"/>
                <w:bottom w:val="none" w:sz="0" w:space="0" w:color="auto"/>
                <w:right w:val="none" w:sz="0" w:space="0" w:color="auto"/>
              </w:divBdr>
            </w:div>
            <w:div w:id="1738942292">
              <w:marLeft w:val="0"/>
              <w:marRight w:val="0"/>
              <w:marTop w:val="0"/>
              <w:marBottom w:val="0"/>
              <w:divBdr>
                <w:top w:val="none" w:sz="0" w:space="0" w:color="auto"/>
                <w:left w:val="none" w:sz="0" w:space="0" w:color="auto"/>
                <w:bottom w:val="none" w:sz="0" w:space="0" w:color="auto"/>
                <w:right w:val="none" w:sz="0" w:space="0" w:color="auto"/>
              </w:divBdr>
            </w:div>
            <w:div w:id="1967009808">
              <w:marLeft w:val="0"/>
              <w:marRight w:val="0"/>
              <w:marTop w:val="0"/>
              <w:marBottom w:val="0"/>
              <w:divBdr>
                <w:top w:val="none" w:sz="0" w:space="0" w:color="auto"/>
                <w:left w:val="none" w:sz="0" w:space="0" w:color="auto"/>
                <w:bottom w:val="none" w:sz="0" w:space="0" w:color="auto"/>
                <w:right w:val="none" w:sz="0" w:space="0" w:color="auto"/>
              </w:divBdr>
            </w:div>
          </w:divsChild>
        </w:div>
        <w:div w:id="938636118">
          <w:marLeft w:val="0"/>
          <w:marRight w:val="0"/>
          <w:marTop w:val="0"/>
          <w:marBottom w:val="0"/>
          <w:divBdr>
            <w:top w:val="none" w:sz="0" w:space="0" w:color="auto"/>
            <w:left w:val="none" w:sz="0" w:space="0" w:color="auto"/>
            <w:bottom w:val="none" w:sz="0" w:space="0" w:color="auto"/>
            <w:right w:val="none" w:sz="0" w:space="0" w:color="auto"/>
          </w:divBdr>
          <w:divsChild>
            <w:div w:id="69889041">
              <w:marLeft w:val="0"/>
              <w:marRight w:val="0"/>
              <w:marTop w:val="0"/>
              <w:marBottom w:val="0"/>
              <w:divBdr>
                <w:top w:val="none" w:sz="0" w:space="0" w:color="auto"/>
                <w:left w:val="none" w:sz="0" w:space="0" w:color="auto"/>
                <w:bottom w:val="none" w:sz="0" w:space="0" w:color="auto"/>
                <w:right w:val="none" w:sz="0" w:space="0" w:color="auto"/>
              </w:divBdr>
            </w:div>
            <w:div w:id="544828984">
              <w:marLeft w:val="0"/>
              <w:marRight w:val="0"/>
              <w:marTop w:val="0"/>
              <w:marBottom w:val="0"/>
              <w:divBdr>
                <w:top w:val="none" w:sz="0" w:space="0" w:color="auto"/>
                <w:left w:val="none" w:sz="0" w:space="0" w:color="auto"/>
                <w:bottom w:val="none" w:sz="0" w:space="0" w:color="auto"/>
                <w:right w:val="none" w:sz="0" w:space="0" w:color="auto"/>
              </w:divBdr>
            </w:div>
            <w:div w:id="1285578453">
              <w:marLeft w:val="0"/>
              <w:marRight w:val="0"/>
              <w:marTop w:val="0"/>
              <w:marBottom w:val="0"/>
              <w:divBdr>
                <w:top w:val="none" w:sz="0" w:space="0" w:color="auto"/>
                <w:left w:val="none" w:sz="0" w:space="0" w:color="auto"/>
                <w:bottom w:val="none" w:sz="0" w:space="0" w:color="auto"/>
                <w:right w:val="none" w:sz="0" w:space="0" w:color="auto"/>
              </w:divBdr>
            </w:div>
            <w:div w:id="147425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637268">
      <w:bodyDiv w:val="1"/>
      <w:marLeft w:val="0"/>
      <w:marRight w:val="0"/>
      <w:marTop w:val="0"/>
      <w:marBottom w:val="0"/>
      <w:divBdr>
        <w:top w:val="none" w:sz="0" w:space="0" w:color="auto"/>
        <w:left w:val="none" w:sz="0" w:space="0" w:color="auto"/>
        <w:bottom w:val="none" w:sz="0" w:space="0" w:color="auto"/>
        <w:right w:val="none" w:sz="0" w:space="0" w:color="auto"/>
      </w:divBdr>
    </w:div>
    <w:div w:id="1971671442">
      <w:bodyDiv w:val="1"/>
      <w:marLeft w:val="0"/>
      <w:marRight w:val="0"/>
      <w:marTop w:val="0"/>
      <w:marBottom w:val="0"/>
      <w:divBdr>
        <w:top w:val="none" w:sz="0" w:space="0" w:color="auto"/>
        <w:left w:val="none" w:sz="0" w:space="0" w:color="auto"/>
        <w:bottom w:val="none" w:sz="0" w:space="0" w:color="auto"/>
        <w:right w:val="none" w:sz="0" w:space="0" w:color="auto"/>
      </w:divBdr>
    </w:div>
    <w:div w:id="1980988239">
      <w:bodyDiv w:val="1"/>
      <w:marLeft w:val="0"/>
      <w:marRight w:val="0"/>
      <w:marTop w:val="0"/>
      <w:marBottom w:val="0"/>
      <w:divBdr>
        <w:top w:val="none" w:sz="0" w:space="0" w:color="auto"/>
        <w:left w:val="none" w:sz="0" w:space="0" w:color="auto"/>
        <w:bottom w:val="none" w:sz="0" w:space="0" w:color="auto"/>
        <w:right w:val="none" w:sz="0" w:space="0" w:color="auto"/>
      </w:divBdr>
    </w:div>
    <w:div w:id="2006277363">
      <w:bodyDiv w:val="1"/>
      <w:marLeft w:val="0"/>
      <w:marRight w:val="0"/>
      <w:marTop w:val="0"/>
      <w:marBottom w:val="0"/>
      <w:divBdr>
        <w:top w:val="none" w:sz="0" w:space="0" w:color="auto"/>
        <w:left w:val="none" w:sz="0" w:space="0" w:color="auto"/>
        <w:bottom w:val="none" w:sz="0" w:space="0" w:color="auto"/>
        <w:right w:val="none" w:sz="0" w:space="0" w:color="auto"/>
      </w:divBdr>
      <w:divsChild>
        <w:div w:id="1642467449">
          <w:marLeft w:val="0"/>
          <w:marRight w:val="0"/>
          <w:marTop w:val="0"/>
          <w:marBottom w:val="0"/>
          <w:divBdr>
            <w:top w:val="none" w:sz="0" w:space="0" w:color="auto"/>
            <w:left w:val="none" w:sz="0" w:space="0" w:color="auto"/>
            <w:bottom w:val="none" w:sz="0" w:space="0" w:color="auto"/>
            <w:right w:val="none" w:sz="0" w:space="0" w:color="auto"/>
          </w:divBdr>
          <w:divsChild>
            <w:div w:id="1813667549">
              <w:marLeft w:val="0"/>
              <w:marRight w:val="0"/>
              <w:marTop w:val="0"/>
              <w:marBottom w:val="0"/>
              <w:divBdr>
                <w:top w:val="none" w:sz="0" w:space="0" w:color="auto"/>
                <w:left w:val="none" w:sz="0" w:space="0" w:color="auto"/>
                <w:bottom w:val="none" w:sz="0" w:space="0" w:color="auto"/>
                <w:right w:val="none" w:sz="0" w:space="0" w:color="auto"/>
              </w:divBdr>
              <w:divsChild>
                <w:div w:id="1078359344">
                  <w:marLeft w:val="0"/>
                  <w:marRight w:val="0"/>
                  <w:marTop w:val="0"/>
                  <w:marBottom w:val="0"/>
                  <w:divBdr>
                    <w:top w:val="none" w:sz="0" w:space="0" w:color="auto"/>
                    <w:left w:val="none" w:sz="0" w:space="0" w:color="auto"/>
                    <w:bottom w:val="none" w:sz="0" w:space="0" w:color="auto"/>
                    <w:right w:val="none" w:sz="0" w:space="0" w:color="auto"/>
                  </w:divBdr>
                  <w:divsChild>
                    <w:div w:id="677274713">
                      <w:marLeft w:val="0"/>
                      <w:marRight w:val="0"/>
                      <w:marTop w:val="0"/>
                      <w:marBottom w:val="0"/>
                      <w:divBdr>
                        <w:top w:val="none" w:sz="0" w:space="0" w:color="auto"/>
                        <w:left w:val="none" w:sz="0" w:space="0" w:color="auto"/>
                        <w:bottom w:val="none" w:sz="0" w:space="0" w:color="auto"/>
                        <w:right w:val="none" w:sz="0" w:space="0" w:color="auto"/>
                      </w:divBdr>
                      <w:divsChild>
                        <w:div w:id="506677708">
                          <w:marLeft w:val="0"/>
                          <w:marRight w:val="0"/>
                          <w:marTop w:val="0"/>
                          <w:marBottom w:val="0"/>
                          <w:divBdr>
                            <w:top w:val="none" w:sz="0" w:space="0" w:color="auto"/>
                            <w:left w:val="none" w:sz="0" w:space="0" w:color="auto"/>
                            <w:bottom w:val="none" w:sz="0" w:space="0" w:color="auto"/>
                            <w:right w:val="none" w:sz="0" w:space="0" w:color="auto"/>
                          </w:divBdr>
                          <w:divsChild>
                            <w:div w:id="22526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028714">
      <w:bodyDiv w:val="1"/>
      <w:marLeft w:val="0"/>
      <w:marRight w:val="0"/>
      <w:marTop w:val="0"/>
      <w:marBottom w:val="0"/>
      <w:divBdr>
        <w:top w:val="none" w:sz="0" w:space="0" w:color="auto"/>
        <w:left w:val="none" w:sz="0" w:space="0" w:color="auto"/>
        <w:bottom w:val="none" w:sz="0" w:space="0" w:color="auto"/>
        <w:right w:val="none" w:sz="0" w:space="0" w:color="auto"/>
      </w:divBdr>
    </w:div>
    <w:div w:id="21338173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nottinghamcity.gov.uk/media/vzxjnxaa/land-and-planning-policies-document-lapp-2020.pdf" TargetMode="External"/><Relationship Id="rId21" Type="http://schemas.openxmlformats.org/officeDocument/2006/relationships/hyperlink" Target="https://www.nottinghamcity.gov.uk/media/kyhhfdx4/the-nottingham-city-aligned-core-strategy-acs.pdf" TargetMode="External"/><Relationship Id="rId34" Type="http://schemas.openxmlformats.org/officeDocument/2006/relationships/hyperlink" Target="https://www.nottinghamcity.gov.uk/media/pktgs5bi/open-space-spd-adopted-nov-2019.pdf" TargetMode="External"/><Relationship Id="rId42" Type="http://schemas.openxmlformats.org/officeDocument/2006/relationships/hyperlink" Target="https://www.nottinghamcity.gov.uk/media/vzxjnxaa/land-and-planning-policies-document-lapp-2020.pdf" TargetMode="External"/><Relationship Id="rId47" Type="http://schemas.openxmlformats.org/officeDocument/2006/relationships/hyperlink" Target="https://www.nottinghamcity.gov.uk/media/vzxjnxaa/land-and-planning-policies-document-lapp-2020.pdf" TargetMode="External"/><Relationship Id="rId50" Type="http://schemas.openxmlformats.org/officeDocument/2006/relationships/hyperlink" Target="mailto:planning@nottinghamcity.gov.uk" TargetMode="External"/><Relationship Id="rId55" Type="http://schemas.openxmlformats.org/officeDocument/2006/relationships/hyperlink" Target="https://www.leeds.gov.uk/planning/planning-policy/supplementary-planning-documents-and-guidance/co-living-technical-guidance-note" TargetMode="External"/><Relationship Id="rId63" Type="http://schemas.openxmlformats.org/officeDocument/2006/relationships/image" Target="media/image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www.gnplan.org.uk/media/dsrndti2/gnsp-publication-draft-march-2025.pdf" TargetMode="External"/><Relationship Id="rId11" Type="http://schemas.openxmlformats.org/officeDocument/2006/relationships/header" Target="header1.xml"/><Relationship Id="rId24" Type="http://schemas.openxmlformats.org/officeDocument/2006/relationships/hyperlink" Target="https://www.nottinghamcity.gov.uk/media/vzxjnxaa/land-and-planning-policies-document-lapp-2020.pdf" TargetMode="External"/><Relationship Id="rId32" Type="http://schemas.openxmlformats.org/officeDocument/2006/relationships/hyperlink" Target="https://www.nottinghamcity.gov.uk/media/vzxjnxaa/land-and-planning-policies-document-lapp-2020.pdf" TargetMode="External"/><Relationship Id="rId37" Type="http://schemas.openxmlformats.org/officeDocument/2006/relationships/image" Target="media/image6.png"/><Relationship Id="rId40" Type="http://schemas.openxmlformats.org/officeDocument/2006/relationships/hyperlink" Target="https://www.nottinghamcity.gov.uk/media/kyhhfdx4/the-nottingham-city-aligned-core-strategy-acs.pdf" TargetMode="External"/><Relationship Id="rId45" Type="http://schemas.openxmlformats.org/officeDocument/2006/relationships/hyperlink" Target="https://www.nottinghamcity.gov.uk/media/vzxjnxaa/land-and-planning-policies-document-lapp-2020.pdf" TargetMode="External"/><Relationship Id="rId53" Type="http://schemas.openxmlformats.org/officeDocument/2006/relationships/hyperlink" Target="https://www.chelmsford.gov.uk/media/qlkptkm0/co-living-housing-planning-advice-note.pdf" TargetMode="External"/><Relationship Id="rId58" Type="http://schemas.openxmlformats.org/officeDocument/2006/relationships/hyperlink" Target="https://www.brighton-hove.gov.uk/sites/default/files/2023-07/Co-Living%20Interim%20Planning%20Guidance%20FINAL.pdf" TargetMode="External"/><Relationship Id="rId5" Type="http://schemas.openxmlformats.org/officeDocument/2006/relationships/webSettings" Target="webSettings.xml"/><Relationship Id="rId61" Type="http://schemas.openxmlformats.org/officeDocument/2006/relationships/header" Target="header4.xml"/><Relationship Id="rId19" Type="http://schemas.openxmlformats.org/officeDocument/2006/relationships/hyperlink" Target="https://assets.publishing.service.gov.uk/media/67aafe8f3b41f783cca46251/NPPF_December_2024.pdf" TargetMode="External"/><Relationship Id="rId14" Type="http://schemas.openxmlformats.org/officeDocument/2006/relationships/footer" Target="footer1.xml"/><Relationship Id="rId22" Type="http://schemas.openxmlformats.org/officeDocument/2006/relationships/hyperlink" Target="https://www.nottinghamcity.gov.uk/media/kyhhfdx4/the-nottingham-city-aligned-core-strategy-acs.pdf" TargetMode="External"/><Relationship Id="rId27" Type="http://schemas.openxmlformats.org/officeDocument/2006/relationships/hyperlink" Target="https://www.nottinghamcity.gov.uk/media/vzxjnxaa/land-and-planning-policies-document-lapp-2020.pdf" TargetMode="External"/><Relationship Id="rId30" Type="http://schemas.openxmlformats.org/officeDocument/2006/relationships/hyperlink" Target="http://documents.nottinghamcity.gov.uk/download/1152" TargetMode="External"/><Relationship Id="rId35" Type="http://schemas.openxmlformats.org/officeDocument/2006/relationships/hyperlink" Target="https://www.nottinghamcity.gov.uk/media/vzxjnxaa/land-and-planning-policies-document-lapp-2020.pdf" TargetMode="External"/><Relationship Id="rId43" Type="http://schemas.openxmlformats.org/officeDocument/2006/relationships/hyperlink" Target="https://www.nottinghamcity.gov.uk/media/kyhhfdx4/the-nottingham-city-aligned-core-strategy-acs.pdf" TargetMode="External"/><Relationship Id="rId48" Type="http://schemas.openxmlformats.org/officeDocument/2006/relationships/hyperlink" Target="http://www.nottinghamcity.gov.uk/s106-estimator" TargetMode="External"/><Relationship Id="rId56" Type="http://schemas.openxmlformats.org/officeDocument/2006/relationships/hyperlink" Target="https://www.bathnes.gov.uk/policy-and-documents-library/co-living-position-statement-ipg"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assets.publishing.service.gov.uk/media/67aafe8f3b41f783cca46251/NPPF_December_2024.pdf" TargetMode="External"/><Relationship Id="rId25" Type="http://schemas.openxmlformats.org/officeDocument/2006/relationships/hyperlink" Target="https://www.nottinghamcity.gov.uk/media/vzxjnxaa/land-and-planning-policies-document-lapp-2020.pdf" TargetMode="External"/><Relationship Id="rId33" Type="http://schemas.openxmlformats.org/officeDocument/2006/relationships/hyperlink" Target="https://www.nottinghamcity.gov.uk/media/vzxjnxaa/land-and-planning-policies-document-lapp-2020.pdf" TargetMode="External"/><Relationship Id="rId38" Type="http://schemas.openxmlformats.org/officeDocument/2006/relationships/hyperlink" Target="http://www.nottinghamcity.gov.uk/s106" TargetMode="External"/><Relationship Id="rId46" Type="http://schemas.openxmlformats.org/officeDocument/2006/relationships/hyperlink" Target="https://www.nottinghamcity.gov.uk/media/kyhhfdx4/the-nottingham-city-aligned-core-strategy-acs.pdf" TargetMode="External"/><Relationship Id="rId59" Type="http://schemas.openxmlformats.org/officeDocument/2006/relationships/hyperlink" Target="https://files.smartsurvey.io/3/0/BALGA5DT/MLUS_Bristol_CoLiving_SPD_Draft_accessible_version_250929.pdf" TargetMode="External"/><Relationship Id="rId20" Type="http://schemas.openxmlformats.org/officeDocument/2006/relationships/hyperlink" Target="https://www.gov.uk/government/consultations/national-planning-policy-framework-proposed-reforms-and-other-changes-to-the-planning-system" TargetMode="External"/><Relationship Id="rId41" Type="http://schemas.openxmlformats.org/officeDocument/2006/relationships/hyperlink" Target="https://www.nottinghamcity.gov.uk/media/vzxjnxaa/land-and-planning-policies-document-lapp-2020.pdf" TargetMode="External"/><Relationship Id="rId54" Type="http://schemas.openxmlformats.org/officeDocument/2006/relationships/hyperlink" Target="https://watford.moderngov.co.uk/documents/s50999/Appendix%20B%20Co-Living-%20Standards%20and%20Requirements%20SPD.pdf" TargetMode="Externa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nottinghamcity.gov.uk/media/vzxjnxaa/land-and-planning-policies-document-lapp-2020.pdf" TargetMode="External"/><Relationship Id="rId28" Type="http://schemas.openxmlformats.org/officeDocument/2006/relationships/hyperlink" Target="https://www.nottinghamcity.gov.uk/media/vzxjnxaa/land-and-planning-policies-document-lapp-2020.pdf" TargetMode="External"/><Relationship Id="rId36" Type="http://schemas.openxmlformats.org/officeDocument/2006/relationships/hyperlink" Target="mailto:planning@nottinghamcity.gov.uk" TargetMode="External"/><Relationship Id="rId49" Type="http://schemas.openxmlformats.org/officeDocument/2006/relationships/footer" Target="footer2.xml"/><Relationship Id="rId57" Type="http://schemas.openxmlformats.org/officeDocument/2006/relationships/hyperlink" Target="https://www.birmingham.gov.uk/download/downloads/id/22877/large-scale_purpose-built_shared_accommodation.pdf" TargetMode="External"/><Relationship Id="rId10" Type="http://schemas.openxmlformats.org/officeDocument/2006/relationships/image" Target="media/image3.jpeg"/><Relationship Id="rId31" Type="http://schemas.openxmlformats.org/officeDocument/2006/relationships/hyperlink" Target="https://eur01.safelinks.protection.outlook.com/?url=https%3A%2F%2Fwww.nottinghamcity.gov.uk%2Finformation-for-residents%2Fhousing%2Fprivate-rented-accommodation%2Finformation-for-landlords%2Flicensing-for-landlords%2F&amp;data=05%7C02%7CMatthew.Grant%40nottinghamcity.gov.uk%7C135aea185a654a7fabf608de48537f4f%7Caa3611bd13ac47ac820700fb9ea44ede%7C0%7C0%7C639027720693121323%7CUnknown%7CTWFpbGZsb3d8eyJFbXB0eU1hcGkiOnRydWUsIlYiOiIwLjAuMDAwMCIsIlAiOiJXaW4zMiIsIkFOIjoiTWFpbCIsIldUIjoyfQ%3D%3D%7C0%7C%7C%7C&amp;sdata=bwSJR%2F7af7rF3l%2BN6QynH111xi1i887ixhUNP%2FLZepo%3D&amp;reserved=0" TargetMode="External"/><Relationship Id="rId44" Type="http://schemas.openxmlformats.org/officeDocument/2006/relationships/hyperlink" Target="https://www.nottinghamcity.gov.uk/media/vzxjnxaa/land-and-planning-policies-document-lapp-2020.pdf" TargetMode="External"/><Relationship Id="rId52" Type="http://schemas.openxmlformats.org/officeDocument/2006/relationships/hyperlink" Target="https://www.london.gov.uk/sites/default/files/2024-02/LSPBSL%20LPG%20Feb24.pdf" TargetMode="External"/><Relationship Id="rId60" Type="http://schemas.openxmlformats.org/officeDocument/2006/relationships/hyperlink" Target="https://www.mdpi.com/2075-5309/15/15/2623"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hyperlink" Target="https://assets.publishing.service.gov.uk/media/67aafe8f3b41f783cca46251/NPPF_December_2024.pdf" TargetMode="External"/><Relationship Id="rId39" Type="http://schemas.openxmlformats.org/officeDocument/2006/relationships/hyperlink" Target="https://www.nottinghamcity.gov.uk/information-for-business/planning-and-building-control/planning-policy/the-local-plan-and-planning-policy/adopted-supplementary-planning-documents-and-guidanc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doi.org/10.1016/j.wss.2024.100192" TargetMode="External"/><Relationship Id="rId7" Type="http://schemas.openxmlformats.org/officeDocument/2006/relationships/hyperlink" Target="https://lichfields.uk/blog/2026/january/23/2025-the-year-co-living-came-of-age" TargetMode="External"/><Relationship Id="rId2" Type="http://schemas.openxmlformats.org/officeDocument/2006/relationships/hyperlink" Target="https://www.tandfonline.com/doi/full/10.1080/09613218.2021.2024756" TargetMode="External"/><Relationship Id="rId1" Type="http://schemas.openxmlformats.org/officeDocument/2006/relationships/hyperlink" Target="https://www.bailii.org/ew/cases/EWHC/Admin/2022/2051.html" TargetMode="External"/><Relationship Id="rId6" Type="http://schemas.openxmlformats.org/officeDocument/2006/relationships/hyperlink" Target="https://content.knightfrank.com/research/2854/documents/en/co-living-report-2024-11304.pdf" TargetMode="External"/><Relationship Id="rId5" Type="http://schemas.openxmlformats.org/officeDocument/2006/relationships/hyperlink" Target="https://thinkhouse.org.uk/site/assets/files/1885/smf0219.pdf" TargetMode="External"/><Relationship Id="rId4" Type="http://schemas.openxmlformats.org/officeDocument/2006/relationships/hyperlink" Target="https://www.mdpi.com/2075-5309/15/15/26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003D56-5476-4D65-A236-BF7FCD6D9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35</Pages>
  <Words>12753</Words>
  <Characters>72695</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Large-Scale Shared Living Accommodation (Co-living) informal Planning Guidance</dc:title>
  <dc:subject/>
  <dc:creator/>
  <cp:keywords/>
  <dc:description/>
  <cp:lastModifiedBy>Lewis Tracy-Winson</cp:lastModifiedBy>
  <cp:revision>6</cp:revision>
  <dcterms:created xsi:type="dcterms:W3CDTF">2026-05-20T12:22:00Z</dcterms:created>
  <dcterms:modified xsi:type="dcterms:W3CDTF">2026-07-07T12:42:00Z</dcterms:modified>
</cp:coreProperties>
</file>