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5D329" w14:textId="77777777" w:rsidR="00102BBB" w:rsidRDefault="00102BBB" w:rsidP="00102BBB">
      <w:pPr>
        <w:pStyle w:val="Title"/>
        <w:jc w:val="left"/>
        <w:rPr>
          <w:rFonts w:ascii="Arial" w:hAnsi="Arial"/>
          <w:sz w:val="20"/>
        </w:rPr>
      </w:pPr>
      <w:r>
        <w:rPr>
          <w:rFonts w:ascii="Arial" w:hAnsi="Arial"/>
          <w:sz w:val="20"/>
        </w:rPr>
        <w:t>This document should only be read in conjunction with an application using the relevant online application form.</w:t>
      </w:r>
    </w:p>
    <w:p w14:paraId="7E125AF9" w14:textId="77777777" w:rsidR="00102BBB" w:rsidRDefault="00102BBB" w:rsidP="00E74DC7">
      <w:pPr>
        <w:spacing w:after="0" w:line="240" w:lineRule="auto"/>
        <w:jc w:val="both"/>
        <w:rPr>
          <w:rFonts w:ascii="Arial" w:eastAsia="Times New Roman" w:hAnsi="Arial" w:cs="Arial"/>
          <w:b/>
          <w:bCs/>
          <w:lang w:eastAsia="en-GB"/>
        </w:rPr>
      </w:pPr>
    </w:p>
    <w:p w14:paraId="38484FC8" w14:textId="5EC6720E" w:rsidR="00E74DC7" w:rsidRPr="00E74DC7" w:rsidRDefault="00E74DC7" w:rsidP="00E74DC7">
      <w:pPr>
        <w:spacing w:after="0" w:line="240" w:lineRule="auto"/>
        <w:jc w:val="both"/>
        <w:rPr>
          <w:rFonts w:ascii="Arial" w:eastAsia="Times New Roman" w:hAnsi="Arial" w:cs="Arial"/>
          <w:b/>
          <w:bCs/>
          <w:lang w:eastAsia="en-GB"/>
        </w:rPr>
      </w:pPr>
      <w:r w:rsidRPr="00E74DC7">
        <w:rPr>
          <w:rFonts w:ascii="Arial" w:eastAsia="Times New Roman" w:hAnsi="Arial" w:cs="Arial"/>
          <w:b/>
          <w:bCs/>
          <w:lang w:eastAsia="en-GB"/>
        </w:rPr>
        <w:t>General Guidance Notes</w:t>
      </w:r>
    </w:p>
    <w:p w14:paraId="56ABA510" w14:textId="77777777" w:rsidR="00E74DC7" w:rsidRDefault="00E74DC7" w:rsidP="00E74DC7">
      <w:pPr>
        <w:spacing w:after="0" w:line="240" w:lineRule="auto"/>
        <w:jc w:val="both"/>
        <w:rPr>
          <w:rFonts w:ascii="Arial" w:eastAsia="Times New Roman" w:hAnsi="Arial" w:cs="Arial"/>
          <w:lang w:eastAsia="en-GB"/>
        </w:rPr>
      </w:pPr>
    </w:p>
    <w:p w14:paraId="4E253516" w14:textId="49297649"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04726E7A"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3504FDDC"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Therefore: </w:t>
      </w:r>
    </w:p>
    <w:p w14:paraId="1B8BBBF6"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5AB69A71"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Where a combined hackney carriage &amp; PHV licence is revoked, or an application for one refused, the authority will automatically record this decision on NR3. </w:t>
      </w:r>
    </w:p>
    <w:p w14:paraId="2A4FC53B"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514E3CA7" w14:textId="77777777" w:rsidR="00E74DC7" w:rsidRPr="00E74DC7" w:rsidRDefault="00E74DC7" w:rsidP="00E74DC7">
      <w:p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w:t>
      </w:r>
    </w:p>
    <w:p w14:paraId="4179B2CD" w14:textId="77777777" w:rsidR="00E74DC7" w:rsidRPr="00E74DC7" w:rsidRDefault="00E74DC7" w:rsidP="00E74DC7">
      <w:p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The information recorded on NR3 itself will be limited to: </w:t>
      </w:r>
    </w:p>
    <w:p w14:paraId="74CD3E08" w14:textId="77777777" w:rsidR="00E74DC7" w:rsidRPr="00E74DC7" w:rsidRDefault="00E74DC7" w:rsidP="00E74DC7">
      <w:p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w:t>
      </w:r>
    </w:p>
    <w:p w14:paraId="00D1B7C4"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name </w:t>
      </w:r>
    </w:p>
    <w:p w14:paraId="08837B40"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date of birth </w:t>
      </w:r>
    </w:p>
    <w:p w14:paraId="371BFDB3"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address and contact details </w:t>
      </w:r>
    </w:p>
    <w:p w14:paraId="47E08AE4"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national insurance number </w:t>
      </w:r>
    </w:p>
    <w:p w14:paraId="0C3D1A4F"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driving licence number </w:t>
      </w:r>
    </w:p>
    <w:p w14:paraId="1F26F522"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decision taken </w:t>
      </w:r>
    </w:p>
    <w:p w14:paraId="3496E82D"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date of decision </w:t>
      </w:r>
    </w:p>
    <w:p w14:paraId="1C55E37C" w14:textId="77777777" w:rsidR="00E74DC7" w:rsidRPr="00E74DC7" w:rsidRDefault="00E74DC7" w:rsidP="00E74DC7">
      <w:pPr>
        <w:numPr>
          <w:ilvl w:val="0"/>
          <w:numId w:val="1"/>
        </w:numPr>
        <w:spacing w:after="0" w:line="240" w:lineRule="auto"/>
        <w:ind w:left="284" w:hanging="284"/>
        <w:jc w:val="both"/>
        <w:rPr>
          <w:rFonts w:ascii="Arial" w:eastAsia="Times New Roman" w:hAnsi="Arial" w:cs="Arial"/>
          <w:lang w:eastAsia="en-GB"/>
        </w:rPr>
      </w:pPr>
      <w:r w:rsidRPr="00E74DC7">
        <w:rPr>
          <w:rFonts w:ascii="Arial" w:eastAsia="Times New Roman" w:hAnsi="Arial" w:cs="Arial"/>
          <w:lang w:eastAsia="en-GB"/>
        </w:rPr>
        <w:t xml:space="preserve">date decision effective </w:t>
      </w:r>
    </w:p>
    <w:p w14:paraId="2604DD6C"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23AF35C1"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Information will be retained on NR3 for a period of 25 years. </w:t>
      </w:r>
    </w:p>
    <w:p w14:paraId="13ADE576"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1148AA20"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5" w:history="1">
        <w:r w:rsidRPr="00E74DC7">
          <w:rPr>
            <w:rFonts w:ascii="Arial" w:eastAsia="Times New Roman" w:hAnsi="Arial" w:cs="Arial"/>
            <w:color w:val="0000FF"/>
            <w:u w:val="single"/>
            <w:lang w:eastAsia="en-GB"/>
          </w:rPr>
          <w:t>https://www.nottinghamcity.gov.uk/information-for-business/business-information-and-support/business-and-trading-licences-and-permits/taxi-licensing/national-register-of-refusals-and-revocations-nr3-policy/</w:t>
        </w:r>
      </w:hyperlink>
      <w:r w:rsidRPr="00E74DC7">
        <w:rPr>
          <w:rFonts w:ascii="Arial" w:eastAsia="Times New Roman" w:hAnsi="Arial" w:cs="Arial"/>
          <w:lang w:eastAsia="en-GB"/>
        </w:rPr>
        <w:t xml:space="preserve"> </w:t>
      </w:r>
    </w:p>
    <w:p w14:paraId="2BB34154" w14:textId="77777777" w:rsidR="00E74DC7" w:rsidRPr="00E74DC7" w:rsidRDefault="00E74DC7" w:rsidP="00E74DC7">
      <w:pPr>
        <w:spacing w:after="0" w:line="240" w:lineRule="auto"/>
        <w:jc w:val="both"/>
        <w:rPr>
          <w:rFonts w:ascii="Arial" w:eastAsia="Times New Roman" w:hAnsi="Arial" w:cs="Arial"/>
          <w:lang w:eastAsia="en-GB"/>
        </w:rPr>
      </w:pPr>
    </w:p>
    <w:p w14:paraId="16DDF3BB"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5BDC19F5"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25DCC1B8"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If you wish to raise any issue related to the data protection legislation, including by relying on any of the rights afforded to data subjects under the GDPR, you can do so to the authority’s </w:t>
      </w:r>
      <w:r w:rsidRPr="00E74DC7">
        <w:rPr>
          <w:rFonts w:ascii="Arial" w:eastAsia="Times New Roman" w:hAnsi="Arial" w:cs="Arial"/>
          <w:lang w:eastAsia="en-GB"/>
        </w:rPr>
        <w:lastRenderedPageBreak/>
        <w:t xml:space="preserve">Data Protection Officer at </w:t>
      </w:r>
      <w:bookmarkStart w:id="0" w:name="_Hlk85118715"/>
      <w:r w:rsidRPr="00E74DC7">
        <w:rPr>
          <w:rFonts w:ascii="Arial" w:eastAsia="Times New Roman" w:hAnsi="Arial" w:cs="Arial"/>
          <w:lang w:eastAsia="en-GB"/>
        </w:rPr>
        <w:fldChar w:fldCharType="begin"/>
      </w:r>
      <w:r w:rsidRPr="00E74DC7">
        <w:rPr>
          <w:rFonts w:ascii="Arial" w:eastAsia="Times New Roman" w:hAnsi="Arial" w:cs="Arial"/>
          <w:lang w:eastAsia="en-GB"/>
        </w:rPr>
        <w:instrText xml:space="preserve"> HYPERLINK "mailto:foi@nottinghamcity.gov.uk" </w:instrText>
      </w:r>
      <w:r w:rsidRPr="00E74DC7">
        <w:rPr>
          <w:rFonts w:ascii="Arial" w:eastAsia="Times New Roman" w:hAnsi="Arial" w:cs="Arial"/>
          <w:lang w:eastAsia="en-GB"/>
        </w:rPr>
        <w:fldChar w:fldCharType="separate"/>
      </w:r>
      <w:r w:rsidRPr="00E74DC7">
        <w:rPr>
          <w:rFonts w:ascii="Arial" w:eastAsia="Times New Roman" w:hAnsi="Arial" w:cs="Arial"/>
          <w:color w:val="0000FF"/>
          <w:u w:val="single"/>
          <w:lang w:eastAsia="en-GB"/>
        </w:rPr>
        <w:t>foi@nottinghamcity.gov.uk</w:t>
      </w:r>
      <w:r w:rsidRPr="00E74DC7">
        <w:rPr>
          <w:rFonts w:ascii="Arial" w:eastAsia="Times New Roman" w:hAnsi="Arial" w:cs="Arial"/>
          <w:lang w:eastAsia="en-GB"/>
        </w:rPr>
        <w:fldChar w:fldCharType="end"/>
      </w:r>
      <w:bookmarkEnd w:id="0"/>
      <w:r w:rsidRPr="00E74DC7">
        <w:rPr>
          <w:rFonts w:ascii="Arial" w:eastAsia="Times New Roman" w:hAnsi="Arial" w:cs="Arial"/>
          <w:lang w:eastAsia="en-GB"/>
        </w:rPr>
        <w:t xml:space="preserve"> .  This includes submitting a subject access request. </w:t>
      </w:r>
    </w:p>
    <w:p w14:paraId="21007109"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w:t>
      </w:r>
    </w:p>
    <w:p w14:paraId="28FD1ACC" w14:textId="77777777" w:rsidR="00E74DC7" w:rsidRPr="00E74DC7" w:rsidRDefault="00E74DC7" w:rsidP="00E74DC7">
      <w:pPr>
        <w:autoSpaceDE w:val="0"/>
        <w:autoSpaceDN w:val="0"/>
        <w:adjustRightInd w:val="0"/>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You always have the right to make a complaint to the Information Commissioner’s Office (ICO). Advice on how to raise a concern about handling of data can be found on the ICO’s website:  </w:t>
      </w:r>
      <w:hyperlink r:id="rId6" w:history="1">
        <w:r w:rsidRPr="00E74DC7">
          <w:rPr>
            <w:rFonts w:ascii="Arial" w:eastAsia="Times New Roman" w:hAnsi="Arial" w:cs="Arial"/>
            <w:color w:val="0000FF"/>
            <w:u w:val="single"/>
            <w:lang w:eastAsia="en-GB"/>
          </w:rPr>
          <w:t>https://ico.org.uk/make</w:t>
        </w:r>
      </w:hyperlink>
      <w:hyperlink r:id="rId7" w:history="1">
        <w:r w:rsidRPr="00E74DC7">
          <w:rPr>
            <w:rFonts w:ascii="Arial" w:eastAsia="Times New Roman" w:hAnsi="Arial" w:cs="Arial"/>
            <w:color w:val="0000FF"/>
            <w:u w:val="single"/>
            <w:lang w:eastAsia="en-GB"/>
          </w:rPr>
          <w:t>-</w:t>
        </w:r>
      </w:hyperlink>
      <w:hyperlink r:id="rId8" w:history="1">
        <w:r w:rsidRPr="00E74DC7">
          <w:rPr>
            <w:rFonts w:ascii="Arial" w:eastAsia="Times New Roman" w:hAnsi="Arial" w:cs="Arial"/>
            <w:color w:val="0000FF"/>
            <w:u w:val="single"/>
            <w:lang w:eastAsia="en-GB"/>
          </w:rPr>
          <w:t>a</w:t>
        </w:r>
      </w:hyperlink>
      <w:hyperlink r:id="rId9" w:history="1">
        <w:r w:rsidRPr="00E74DC7">
          <w:rPr>
            <w:rFonts w:ascii="Arial" w:eastAsia="Times New Roman" w:hAnsi="Arial" w:cs="Arial"/>
            <w:color w:val="0000FF"/>
            <w:u w:val="single"/>
            <w:lang w:eastAsia="en-GB"/>
          </w:rPr>
          <w:t>-</w:t>
        </w:r>
      </w:hyperlink>
      <w:hyperlink r:id="rId10" w:history="1">
        <w:r w:rsidRPr="00E74DC7">
          <w:rPr>
            <w:rFonts w:ascii="Arial" w:eastAsia="Times New Roman" w:hAnsi="Arial" w:cs="Arial"/>
            <w:color w:val="0000FF"/>
            <w:u w:val="single"/>
            <w:lang w:eastAsia="en-GB"/>
          </w:rPr>
          <w:t>complaint/</w:t>
        </w:r>
      </w:hyperlink>
      <w:r w:rsidRPr="00E74DC7">
        <w:rPr>
          <w:rFonts w:ascii="Arial" w:eastAsia="Times New Roman" w:hAnsi="Arial" w:cs="Arial"/>
          <w:lang w:eastAsia="en-GB"/>
        </w:rPr>
        <w:t>.</w:t>
      </w:r>
    </w:p>
    <w:p w14:paraId="10F9C440" w14:textId="77777777" w:rsidR="00E74DC7" w:rsidRPr="00E74DC7" w:rsidRDefault="00E74DC7" w:rsidP="00E74DC7">
      <w:pPr>
        <w:autoSpaceDE w:val="0"/>
        <w:autoSpaceDN w:val="0"/>
        <w:adjustRightInd w:val="0"/>
        <w:spacing w:after="0" w:line="240" w:lineRule="auto"/>
        <w:rPr>
          <w:rFonts w:ascii="Arial" w:eastAsia="Times New Roman" w:hAnsi="Arial" w:cs="Arial"/>
          <w:lang w:eastAsia="en-GB"/>
        </w:rPr>
      </w:pPr>
    </w:p>
    <w:p w14:paraId="58EA914F" w14:textId="77777777" w:rsidR="00E74DC7" w:rsidRPr="00E74DC7" w:rsidRDefault="00E74DC7" w:rsidP="00E74DC7">
      <w:pPr>
        <w:autoSpaceDE w:val="0"/>
        <w:autoSpaceDN w:val="0"/>
        <w:adjustRightInd w:val="0"/>
        <w:spacing w:after="0" w:line="240" w:lineRule="auto"/>
        <w:jc w:val="both"/>
        <w:rPr>
          <w:rFonts w:ascii="Arial" w:eastAsia="Times New Roman" w:hAnsi="Arial" w:cs="Arial"/>
          <w:b/>
          <w:lang w:eastAsia="en-GB"/>
        </w:rPr>
      </w:pPr>
      <w:r w:rsidRPr="00E74DC7">
        <w:rPr>
          <w:rFonts w:ascii="Arial" w:eastAsia="Times New Roman" w:hAnsi="Arial" w:cs="Arial"/>
          <w:b/>
          <w:lang w:eastAsia="en-GB"/>
        </w:rPr>
        <w:t>Short form Privacy Notice</w:t>
      </w:r>
    </w:p>
    <w:p w14:paraId="39D5572C" w14:textId="77777777" w:rsidR="00E74DC7" w:rsidRPr="00E74DC7" w:rsidRDefault="00E74DC7" w:rsidP="00E74DC7">
      <w:pPr>
        <w:autoSpaceDE w:val="0"/>
        <w:autoSpaceDN w:val="0"/>
        <w:adjustRightInd w:val="0"/>
        <w:spacing w:after="0" w:line="240" w:lineRule="auto"/>
        <w:jc w:val="both"/>
        <w:rPr>
          <w:rFonts w:ascii="Arial" w:eastAsia="Times New Roman" w:hAnsi="Arial" w:cs="Arial"/>
          <w:lang w:eastAsia="en-GB"/>
        </w:rPr>
      </w:pPr>
    </w:p>
    <w:p w14:paraId="487DF3CC" w14:textId="77777777" w:rsidR="00E74DC7" w:rsidRPr="00E74DC7" w:rsidRDefault="00E74DC7" w:rsidP="00E74DC7">
      <w:pPr>
        <w:tabs>
          <w:tab w:val="left" w:pos="5812"/>
        </w:tabs>
        <w:spacing w:after="0" w:line="240" w:lineRule="auto"/>
        <w:jc w:val="both"/>
        <w:rPr>
          <w:rFonts w:ascii="Arial" w:eastAsia="Times New Roman" w:hAnsi="Arial" w:cs="Arial"/>
          <w:lang w:eastAsia="en-GB"/>
        </w:rPr>
      </w:pPr>
      <w:r w:rsidRPr="00E74DC7">
        <w:rPr>
          <w:rFonts w:ascii="Arial" w:eastAsia="Times New Roman" w:hAnsi="Arial" w:cs="Arial"/>
          <w:lang w:eastAsia="en-GB"/>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22FEB785" w14:textId="77777777" w:rsidR="00E74DC7" w:rsidRPr="00E74DC7" w:rsidRDefault="00E74DC7" w:rsidP="00E74DC7">
      <w:pPr>
        <w:tabs>
          <w:tab w:val="left" w:pos="5812"/>
        </w:tabs>
        <w:spacing w:after="0" w:line="240" w:lineRule="auto"/>
        <w:jc w:val="both"/>
        <w:rPr>
          <w:rFonts w:ascii="Arial" w:eastAsia="Times New Roman" w:hAnsi="Arial" w:cs="Arial"/>
          <w:lang w:eastAsia="en-GB"/>
        </w:rPr>
      </w:pPr>
    </w:p>
    <w:p w14:paraId="20D33E10"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to request a copy of your information</w:t>
      </w:r>
    </w:p>
    <w:p w14:paraId="6300AFFF"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to request rectification of inaccurate personal data</w:t>
      </w:r>
    </w:p>
    <w:p w14:paraId="2C6CAEB7"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to request erasure of your data known as ‘the right to be forgotten’</w:t>
      </w:r>
    </w:p>
    <w:p w14:paraId="60777D97"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to in certain circumstances to request restriction of processing</w:t>
      </w:r>
    </w:p>
    <w:p w14:paraId="631A0543"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 xml:space="preserve">a right in certain circumstances to request portability of your data to another provider </w:t>
      </w:r>
    </w:p>
    <w:p w14:paraId="7848BB65"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to object to processing of data in certain circumstances</w:t>
      </w:r>
    </w:p>
    <w:p w14:paraId="194A0CA7" w14:textId="77777777" w:rsidR="00E74DC7" w:rsidRPr="00E74DC7" w:rsidRDefault="00E74DC7" w:rsidP="00E74DC7">
      <w:pPr>
        <w:numPr>
          <w:ilvl w:val="0"/>
          <w:numId w:val="2"/>
        </w:numPr>
        <w:tabs>
          <w:tab w:val="left" w:pos="5812"/>
        </w:tabs>
        <w:spacing w:after="0" w:line="360" w:lineRule="auto"/>
        <w:ind w:left="284" w:hanging="284"/>
        <w:contextualSpacing/>
        <w:jc w:val="both"/>
        <w:rPr>
          <w:rFonts w:ascii="Arial" w:eastAsia="Calibri" w:hAnsi="Arial" w:cs="Arial"/>
        </w:rPr>
      </w:pPr>
      <w:r w:rsidRPr="00E74DC7">
        <w:rPr>
          <w:rFonts w:ascii="Arial" w:eastAsia="Calibri" w:hAnsi="Arial" w:cs="Arial"/>
        </w:rPr>
        <w:t>a right regarding automated decision making including profiling</w:t>
      </w:r>
    </w:p>
    <w:p w14:paraId="48D418FE" w14:textId="77777777" w:rsidR="00E74DC7" w:rsidRPr="00E74DC7" w:rsidRDefault="00E74DC7" w:rsidP="00E74DC7">
      <w:pPr>
        <w:spacing w:after="0" w:line="240" w:lineRule="auto"/>
        <w:jc w:val="both"/>
        <w:rPr>
          <w:rFonts w:ascii="Arial" w:eastAsia="Times New Roman" w:hAnsi="Arial" w:cs="Arial"/>
          <w:lang w:eastAsia="en-GB"/>
        </w:rPr>
      </w:pPr>
    </w:p>
    <w:p w14:paraId="0BCF9634"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1" w:history="1">
        <w:r w:rsidRPr="00E74DC7">
          <w:rPr>
            <w:rFonts w:ascii="Arial" w:eastAsia="Times New Roman" w:hAnsi="Arial" w:cs="Arial"/>
            <w:color w:val="0000FF"/>
            <w:u w:val="single"/>
            <w:lang w:eastAsia="en-GB"/>
          </w:rPr>
          <w:t>http://documents.nottinghamcity.gov.uk/download/5939</w:t>
        </w:r>
      </w:hyperlink>
      <w:r w:rsidRPr="00E74DC7">
        <w:rPr>
          <w:rFonts w:ascii="Arial" w:eastAsia="Times New Roman" w:hAnsi="Arial" w:cs="Arial"/>
          <w:lang w:eastAsia="en-GB"/>
        </w:rPr>
        <w:t xml:space="preserve"> . If you do not have access to a computer and wish to have a copy of any information provided, please request details in writing to the address above.</w:t>
      </w:r>
    </w:p>
    <w:p w14:paraId="35C1F8C5" w14:textId="77777777" w:rsidR="00E74DC7" w:rsidRPr="00E74DC7" w:rsidRDefault="00E74DC7" w:rsidP="00E74DC7">
      <w:pPr>
        <w:spacing w:after="0" w:line="240" w:lineRule="auto"/>
        <w:jc w:val="both"/>
        <w:rPr>
          <w:rFonts w:ascii="Arial" w:eastAsia="Times New Roman" w:hAnsi="Arial" w:cs="Arial"/>
          <w:lang w:eastAsia="en-GB"/>
        </w:rPr>
      </w:pPr>
      <w:r w:rsidRPr="00E74DC7">
        <w:rPr>
          <w:rFonts w:ascii="Arial" w:eastAsia="Times New Roman" w:hAnsi="Arial" w:cs="Arial"/>
          <w:lang w:eastAsia="en-GB"/>
        </w:rPr>
        <w:t xml:space="preserve"> </w:t>
      </w:r>
    </w:p>
    <w:p w14:paraId="6D717A07" w14:textId="77777777" w:rsidR="00E74DC7" w:rsidRPr="00E74DC7" w:rsidRDefault="00E74DC7" w:rsidP="00E74DC7">
      <w:pPr>
        <w:spacing w:after="0" w:line="240" w:lineRule="auto"/>
        <w:jc w:val="both"/>
        <w:rPr>
          <w:rFonts w:ascii="Arial" w:eastAsia="Times New Roman" w:hAnsi="Arial" w:cs="Arial"/>
          <w:bCs/>
          <w:lang w:eastAsia="en-GB"/>
        </w:rPr>
      </w:pPr>
      <w:r w:rsidRPr="00E74DC7">
        <w:rPr>
          <w:rFonts w:ascii="Arial" w:eastAsia="Times New Roman" w:hAnsi="Arial" w:cs="Arial"/>
          <w:bCs/>
          <w:lang w:eastAsia="en-GB"/>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2" w:history="1">
        <w:r w:rsidRPr="00E74DC7">
          <w:rPr>
            <w:rFonts w:ascii="Arial" w:eastAsia="Times New Roman" w:hAnsi="Arial" w:cs="Arial"/>
            <w:bCs/>
            <w:color w:val="0000FF"/>
            <w:u w:val="single"/>
            <w:lang w:eastAsia="en-GB"/>
          </w:rPr>
          <w:t>https://www.nottinghamcity.gov.uk/privacy-statement</w:t>
        </w:r>
      </w:hyperlink>
      <w:r w:rsidRPr="00E74DC7">
        <w:rPr>
          <w:rFonts w:ascii="Arial" w:eastAsia="Times New Roman" w:hAnsi="Arial" w:cs="Arial"/>
          <w:bCs/>
          <w:color w:val="0000FF"/>
          <w:u w:val="single"/>
          <w:lang w:eastAsia="en-GB"/>
        </w:rPr>
        <w:t>.</w:t>
      </w:r>
    </w:p>
    <w:p w14:paraId="4C386D86" w14:textId="77777777" w:rsidR="00464DF0" w:rsidRPr="00E74DC7" w:rsidRDefault="00464DF0">
      <w:pPr>
        <w:rPr>
          <w:rFonts w:ascii="Arial" w:hAnsi="Arial" w:cs="Arial"/>
        </w:rPr>
      </w:pPr>
    </w:p>
    <w:sectPr w:rsidR="00464DF0" w:rsidRPr="00E74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1"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C7"/>
    <w:rsid w:val="00102BBB"/>
    <w:rsid w:val="00464DF0"/>
    <w:rsid w:val="00E74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F68E"/>
  <w15:chartTrackingRefBased/>
  <w15:docId w15:val="{9B4577E1-9611-47FC-833B-FCDF79D1E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02BBB"/>
    <w:pPr>
      <w:spacing w:after="600" w:line="240" w:lineRule="auto"/>
      <w:jc w:val="center"/>
    </w:pPr>
    <w:rPr>
      <w:rFonts w:ascii="Times New Roman" w:eastAsia="Times New Roman" w:hAnsi="Times New Roman" w:cs="Times New Roman"/>
      <w:kern w:val="28"/>
      <w:sz w:val="32"/>
      <w:szCs w:val="20"/>
    </w:rPr>
  </w:style>
  <w:style w:type="character" w:customStyle="1" w:styleId="TitleChar">
    <w:name w:val="Title Char"/>
    <w:basedOn w:val="DefaultParagraphFont"/>
    <w:link w:val="Title"/>
    <w:rsid w:val="00102BBB"/>
    <w:rPr>
      <w:rFonts w:ascii="Times New Roman" w:eastAsia="Times New Roman" w:hAnsi="Times New Roman" w:cs="Times New Roman"/>
      <w:kern w:val="28"/>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375461">
      <w:bodyDiv w:val="1"/>
      <w:marLeft w:val="0"/>
      <w:marRight w:val="0"/>
      <w:marTop w:val="0"/>
      <w:marBottom w:val="0"/>
      <w:divBdr>
        <w:top w:val="none" w:sz="0" w:space="0" w:color="auto"/>
        <w:left w:val="none" w:sz="0" w:space="0" w:color="auto"/>
        <w:bottom w:val="none" w:sz="0" w:space="0" w:color="auto"/>
        <w:right w:val="none" w:sz="0" w:space="0" w:color="auto"/>
      </w:divBdr>
    </w:div>
    <w:div w:id="43964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make-a-complaint/" TargetMode="External"/><Relationship Id="rId12" Type="http://schemas.openxmlformats.org/officeDocument/2006/relationships/hyperlink" Target="https://www.nottinghamcity.gov.uk/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11" Type="http://schemas.openxmlformats.org/officeDocument/2006/relationships/hyperlink" Target="http://documents.nottinghamcity.gov.uk/download/5939" TargetMode="External"/><Relationship Id="rId5"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981</Words>
  <Characters>5594</Characters>
  <Application>Microsoft Office Word</Application>
  <DocSecurity>0</DocSecurity>
  <Lines>46</Lines>
  <Paragraphs>13</Paragraphs>
  <ScaleCrop>false</ScaleCrop>
  <Company>Nottingham City Council</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Cooke</dc:creator>
  <cp:keywords/>
  <dc:description/>
  <cp:lastModifiedBy>Martin Cooke</cp:lastModifiedBy>
  <cp:revision>2</cp:revision>
  <dcterms:created xsi:type="dcterms:W3CDTF">2022-12-16T16:23:00Z</dcterms:created>
  <dcterms:modified xsi:type="dcterms:W3CDTF">2022-12-16T17:41:00Z</dcterms:modified>
</cp:coreProperties>
</file>