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E4399" w14:textId="77777777" w:rsidR="00602656" w:rsidRDefault="00602656" w:rsidP="00602656">
      <w:pPr>
        <w:contextualSpacing/>
        <w:rPr>
          <w:rFonts w:eastAsia="Times New Roman" w:cs="Times New Roman"/>
          <w:b/>
          <w:spacing w:val="-10"/>
          <w:kern w:val="28"/>
          <w:sz w:val="60"/>
          <w:szCs w:val="56"/>
        </w:rPr>
      </w:pPr>
      <w:r>
        <w:rPr>
          <w:noProof/>
          <w:lang w:eastAsia="en-GB"/>
        </w:rPr>
        <w:drawing>
          <wp:inline distT="0" distB="0" distL="0" distR="0" wp14:anchorId="6A724A28" wp14:editId="3D93D27F">
            <wp:extent cx="4823460" cy="1002030"/>
            <wp:effectExtent l="0" t="0" r="0" b="762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8" cstate="print">
                      <a:extLst>
                        <a:ext uri="{28A0092B-C50C-407E-A947-70E740481C1C}">
                          <a14:useLocalDpi xmlns:a14="http://schemas.microsoft.com/office/drawing/2010/main" val="0"/>
                        </a:ext>
                      </a:extLst>
                    </a:blip>
                    <a:srcRect t="6209"/>
                    <a:stretch/>
                  </pic:blipFill>
                  <pic:spPr bwMode="auto">
                    <a:xfrm>
                      <a:off x="0" y="0"/>
                      <a:ext cx="4823460" cy="1002030"/>
                    </a:xfrm>
                    <a:prstGeom prst="rect">
                      <a:avLst/>
                    </a:prstGeom>
                    <a:ln>
                      <a:noFill/>
                    </a:ln>
                    <a:extLst>
                      <a:ext uri="{53640926-AAD7-44D8-BBD7-CCE9431645EC}">
                        <a14:shadowObscured xmlns:a14="http://schemas.microsoft.com/office/drawing/2010/main"/>
                      </a:ext>
                    </a:extLst>
                  </pic:spPr>
                </pic:pic>
              </a:graphicData>
            </a:graphic>
          </wp:inline>
        </w:drawing>
      </w:r>
    </w:p>
    <w:p w14:paraId="0343EED8" w14:textId="77777777" w:rsidR="00602656" w:rsidRDefault="00602656" w:rsidP="00602656">
      <w:pPr>
        <w:contextualSpacing/>
        <w:rPr>
          <w:rFonts w:eastAsia="Times New Roman" w:cs="Times New Roman"/>
          <w:b/>
          <w:spacing w:val="-10"/>
          <w:kern w:val="28"/>
          <w:sz w:val="60"/>
          <w:szCs w:val="56"/>
        </w:rPr>
      </w:pPr>
    </w:p>
    <w:p w14:paraId="602E9907" w14:textId="77777777" w:rsidR="00602656" w:rsidRPr="00602656" w:rsidRDefault="00602656" w:rsidP="00602656">
      <w:pPr>
        <w:contextualSpacing/>
        <w:rPr>
          <w:rFonts w:eastAsia="Times New Roman" w:cs="Times New Roman"/>
          <w:b/>
          <w:spacing w:val="-10"/>
          <w:kern w:val="28"/>
          <w:sz w:val="60"/>
          <w:szCs w:val="56"/>
        </w:rPr>
      </w:pPr>
      <w:r w:rsidRPr="00602656">
        <w:rPr>
          <w:rFonts w:eastAsia="Times New Roman" w:cs="Times New Roman"/>
          <w:b/>
          <w:spacing w:val="-10"/>
          <w:kern w:val="28"/>
          <w:sz w:val="60"/>
          <w:szCs w:val="56"/>
        </w:rPr>
        <w:t>Joint Methodology Report for Strategic Housing Land Availability Assessments (SHLAAs)</w:t>
      </w:r>
    </w:p>
    <w:p w14:paraId="76B18319" w14:textId="77777777" w:rsidR="00602656" w:rsidRPr="00602656" w:rsidRDefault="00602656" w:rsidP="00602656">
      <w:pPr>
        <w:contextualSpacing/>
        <w:rPr>
          <w:rFonts w:eastAsia="Times New Roman" w:cs="Times New Roman"/>
          <w:b/>
          <w:spacing w:val="-10"/>
          <w:kern w:val="28"/>
          <w:sz w:val="60"/>
          <w:szCs w:val="56"/>
        </w:rPr>
      </w:pPr>
    </w:p>
    <w:p w14:paraId="12FF59F5" w14:textId="77777777" w:rsidR="00602656" w:rsidRPr="00602656" w:rsidRDefault="00602656" w:rsidP="00602656">
      <w:pPr>
        <w:contextualSpacing/>
        <w:rPr>
          <w:rFonts w:eastAsia="Times New Roman" w:cs="Times New Roman"/>
          <w:b/>
          <w:spacing w:val="-10"/>
          <w:kern w:val="28"/>
          <w:sz w:val="60"/>
          <w:szCs w:val="56"/>
          <w:highlight w:val="yellow"/>
        </w:rPr>
      </w:pPr>
    </w:p>
    <w:p w14:paraId="692AD9DA" w14:textId="27998892" w:rsidR="00602656" w:rsidRPr="00602656" w:rsidRDefault="00602656" w:rsidP="00602656">
      <w:pPr>
        <w:contextualSpacing/>
        <w:rPr>
          <w:rFonts w:eastAsia="Times New Roman" w:cs="Times New Roman"/>
          <w:b/>
          <w:spacing w:val="-10"/>
          <w:kern w:val="28"/>
          <w:sz w:val="60"/>
          <w:szCs w:val="56"/>
          <w:u w:val="single"/>
        </w:rPr>
      </w:pPr>
      <w:r w:rsidRPr="00602656">
        <w:rPr>
          <w:rFonts w:eastAsia="Times New Roman" w:cs="Times New Roman"/>
          <w:b/>
          <w:spacing w:val="-10"/>
          <w:kern w:val="28"/>
          <w:sz w:val="60"/>
          <w:szCs w:val="56"/>
          <w:u w:val="single"/>
        </w:rPr>
        <w:t xml:space="preserve">Appendix </w:t>
      </w:r>
      <w:r w:rsidR="00BE4D80">
        <w:rPr>
          <w:rFonts w:eastAsia="Times New Roman" w:cs="Times New Roman"/>
          <w:b/>
          <w:spacing w:val="-10"/>
          <w:kern w:val="28"/>
          <w:sz w:val="60"/>
          <w:szCs w:val="56"/>
          <w:u w:val="single"/>
        </w:rPr>
        <w:t>D</w:t>
      </w:r>
      <w:r w:rsidRPr="00602656">
        <w:rPr>
          <w:rFonts w:eastAsia="Times New Roman" w:cs="Times New Roman"/>
          <w:b/>
          <w:spacing w:val="-10"/>
          <w:kern w:val="28"/>
          <w:sz w:val="60"/>
          <w:szCs w:val="56"/>
          <w:u w:val="single"/>
        </w:rPr>
        <w:t xml:space="preserve">: Supporting evidence for </w:t>
      </w:r>
      <w:r>
        <w:rPr>
          <w:rFonts w:eastAsia="Times New Roman" w:cs="Times New Roman"/>
          <w:b/>
          <w:spacing w:val="-10"/>
          <w:kern w:val="28"/>
          <w:sz w:val="60"/>
          <w:szCs w:val="56"/>
          <w:u w:val="single"/>
        </w:rPr>
        <w:t xml:space="preserve">Nottingham City </w:t>
      </w:r>
      <w:r w:rsidRPr="00602656">
        <w:rPr>
          <w:rFonts w:eastAsia="Times New Roman" w:cs="Times New Roman"/>
          <w:b/>
          <w:spacing w:val="-10"/>
          <w:kern w:val="28"/>
          <w:sz w:val="60"/>
          <w:szCs w:val="56"/>
          <w:u w:val="single"/>
        </w:rPr>
        <w:t>Council</w:t>
      </w:r>
      <w:r w:rsidR="007270CC">
        <w:rPr>
          <w:rFonts w:eastAsia="Times New Roman" w:cs="Times New Roman"/>
          <w:b/>
          <w:spacing w:val="-10"/>
          <w:kern w:val="28"/>
          <w:sz w:val="60"/>
          <w:szCs w:val="56"/>
          <w:u w:val="single"/>
        </w:rPr>
        <w:t xml:space="preserve"> – 202</w:t>
      </w:r>
      <w:r w:rsidR="00D23CA9">
        <w:rPr>
          <w:rFonts w:eastAsia="Times New Roman" w:cs="Times New Roman"/>
          <w:b/>
          <w:spacing w:val="-10"/>
          <w:kern w:val="28"/>
          <w:sz w:val="60"/>
          <w:szCs w:val="56"/>
          <w:u w:val="single"/>
        </w:rPr>
        <w:t>5</w:t>
      </w:r>
      <w:r w:rsidR="007270CC">
        <w:rPr>
          <w:rFonts w:eastAsia="Times New Roman" w:cs="Times New Roman"/>
          <w:b/>
          <w:spacing w:val="-10"/>
          <w:kern w:val="28"/>
          <w:sz w:val="60"/>
          <w:szCs w:val="56"/>
          <w:u w:val="single"/>
        </w:rPr>
        <w:t xml:space="preserve"> update</w:t>
      </w:r>
    </w:p>
    <w:p w14:paraId="2BF475D6" w14:textId="77777777" w:rsidR="00602656" w:rsidRPr="00602656" w:rsidRDefault="00602656" w:rsidP="00602656">
      <w:pPr>
        <w:contextualSpacing/>
        <w:rPr>
          <w:rFonts w:eastAsia="Times New Roman" w:cs="Times New Roman"/>
          <w:b/>
          <w:spacing w:val="-10"/>
          <w:kern w:val="28"/>
          <w:sz w:val="60"/>
          <w:szCs w:val="56"/>
          <w:highlight w:val="yellow"/>
        </w:rPr>
      </w:pPr>
    </w:p>
    <w:p w14:paraId="5C594CF6" w14:textId="77777777" w:rsidR="00602656" w:rsidRPr="00602656" w:rsidRDefault="00602656" w:rsidP="00602656">
      <w:pPr>
        <w:contextualSpacing/>
        <w:rPr>
          <w:rFonts w:eastAsia="Times New Roman" w:cs="Times New Roman"/>
          <w:b/>
          <w:spacing w:val="-10"/>
          <w:kern w:val="28"/>
          <w:sz w:val="60"/>
          <w:szCs w:val="56"/>
          <w:highlight w:val="yellow"/>
        </w:rPr>
      </w:pPr>
    </w:p>
    <w:p w14:paraId="68EA5860" w14:textId="569D7B9F" w:rsidR="00602656" w:rsidRPr="00BB08B6" w:rsidRDefault="00EB67E4" w:rsidP="00602656">
      <w:pPr>
        <w:contextualSpacing/>
        <w:rPr>
          <w:rFonts w:eastAsia="Times New Roman" w:cs="Times New Roman"/>
          <w:b/>
          <w:spacing w:val="-10"/>
          <w:kern w:val="28"/>
          <w:sz w:val="60"/>
          <w:szCs w:val="56"/>
        </w:rPr>
      </w:pPr>
      <w:r>
        <w:rPr>
          <w:rFonts w:eastAsia="Times New Roman" w:cs="Times New Roman"/>
          <w:b/>
          <w:spacing w:val="-10"/>
          <w:kern w:val="28"/>
          <w:sz w:val="60"/>
          <w:szCs w:val="56"/>
        </w:rPr>
        <w:t>November</w:t>
      </w:r>
      <w:r w:rsidR="007C0A40">
        <w:rPr>
          <w:rFonts w:eastAsia="Times New Roman" w:cs="Times New Roman"/>
          <w:b/>
          <w:spacing w:val="-10"/>
          <w:kern w:val="28"/>
          <w:sz w:val="60"/>
          <w:szCs w:val="56"/>
        </w:rPr>
        <w:t xml:space="preserve"> 202</w:t>
      </w:r>
      <w:r w:rsidR="00192C52">
        <w:rPr>
          <w:rFonts w:eastAsia="Times New Roman" w:cs="Times New Roman"/>
          <w:b/>
          <w:spacing w:val="-10"/>
          <w:kern w:val="28"/>
          <w:sz w:val="60"/>
          <w:szCs w:val="56"/>
        </w:rPr>
        <w:t>5</w:t>
      </w:r>
    </w:p>
    <w:p w14:paraId="014D4102" w14:textId="77777777" w:rsidR="00602656" w:rsidRPr="00BB08B6" w:rsidRDefault="00602656" w:rsidP="00602656">
      <w:pPr>
        <w:contextualSpacing/>
        <w:rPr>
          <w:rFonts w:eastAsia="Times New Roman" w:cs="Times New Roman"/>
          <w:b/>
          <w:spacing w:val="-10"/>
          <w:kern w:val="28"/>
          <w:sz w:val="60"/>
          <w:szCs w:val="56"/>
        </w:rPr>
      </w:pPr>
    </w:p>
    <w:p w14:paraId="0BC38CF2" w14:textId="77777777" w:rsidR="00602656" w:rsidRPr="00BB08B6" w:rsidRDefault="00602656" w:rsidP="00602656">
      <w:pPr>
        <w:rPr>
          <w:rFonts w:eastAsia="Calibri" w:cs="Times New Roman"/>
          <w:b/>
          <w:szCs w:val="24"/>
          <w:u w:val="single"/>
        </w:rPr>
      </w:pPr>
      <w:r w:rsidRPr="00BB08B6">
        <w:rPr>
          <w:rFonts w:eastAsia="Calibri" w:cs="Times New Roman"/>
          <w:b/>
          <w:szCs w:val="24"/>
          <w:u w:val="single"/>
        </w:rPr>
        <w:br w:type="page"/>
      </w:r>
    </w:p>
    <w:p w14:paraId="6802E1A0" w14:textId="77777777" w:rsidR="00602656" w:rsidRPr="00BB08B6" w:rsidRDefault="00602656" w:rsidP="00602656">
      <w:pPr>
        <w:keepNext/>
        <w:outlineLvl w:val="0"/>
        <w:rPr>
          <w:rFonts w:eastAsia="Times New Roman" w:cs="Times New Roman"/>
          <w:b/>
          <w:bCs/>
          <w:kern w:val="32"/>
          <w:szCs w:val="32"/>
        </w:rPr>
      </w:pPr>
      <w:bookmarkStart w:id="0" w:name="_Toc42681239"/>
      <w:bookmarkStart w:id="1" w:name="_Toc40710739"/>
      <w:r w:rsidRPr="00BB08B6">
        <w:rPr>
          <w:rFonts w:eastAsia="Times New Roman" w:cs="Times New Roman"/>
          <w:b/>
          <w:bCs/>
          <w:kern w:val="32"/>
          <w:szCs w:val="32"/>
        </w:rPr>
        <w:lastRenderedPageBreak/>
        <w:t>Introduction</w:t>
      </w:r>
      <w:bookmarkEnd w:id="0"/>
      <w:bookmarkEnd w:id="1"/>
    </w:p>
    <w:p w14:paraId="5196A7EE" w14:textId="77777777" w:rsidR="00602656" w:rsidRPr="00BB08B6" w:rsidRDefault="00602656" w:rsidP="00602656">
      <w:pPr>
        <w:rPr>
          <w:rFonts w:eastAsia="Calibri" w:cs="Times New Roman"/>
          <w:szCs w:val="24"/>
        </w:rPr>
      </w:pPr>
    </w:p>
    <w:p w14:paraId="1BB52DBB" w14:textId="056D8529" w:rsidR="00602656" w:rsidRPr="00602656" w:rsidRDefault="007270CC" w:rsidP="00602656">
      <w:r w:rsidRPr="00BB08B6">
        <w:t xml:space="preserve">This is the </w:t>
      </w:r>
      <w:r w:rsidR="007C0A40">
        <w:t>202</w:t>
      </w:r>
      <w:r w:rsidR="00D23CA9">
        <w:t>5</w:t>
      </w:r>
      <w:r w:rsidRPr="007270CC">
        <w:t xml:space="preserve"> version of the appendix which</w:t>
      </w:r>
      <w:r w:rsidRPr="007270CC" w:rsidDel="007270CC">
        <w:t xml:space="preserve"> </w:t>
      </w:r>
      <w:r w:rsidR="00602656" w:rsidRPr="00602656">
        <w:t>sets out the evidence which supports</w:t>
      </w:r>
      <w:r w:rsidR="00602656">
        <w:t xml:space="preserve"> Nottingham City</w:t>
      </w:r>
      <w:r w:rsidR="00602656" w:rsidRPr="00602656">
        <w:t xml:space="preserve"> Council’s approach to the following matters comprising the SHLAA </w:t>
      </w:r>
      <w:proofErr w:type="gramStart"/>
      <w:r w:rsidR="00602656" w:rsidRPr="00602656">
        <w:t>methodology:-</w:t>
      </w:r>
      <w:proofErr w:type="gramEnd"/>
    </w:p>
    <w:p w14:paraId="10A8115D" w14:textId="77777777" w:rsidR="00602656" w:rsidRPr="00602656" w:rsidRDefault="00602656" w:rsidP="00602656"/>
    <w:p w14:paraId="1AAED9A1" w14:textId="77777777" w:rsidR="00602656" w:rsidRPr="00602656" w:rsidRDefault="00602656" w:rsidP="00602656">
      <w:pPr>
        <w:numPr>
          <w:ilvl w:val="0"/>
          <w:numId w:val="13"/>
        </w:numPr>
      </w:pPr>
      <w:proofErr w:type="gramStart"/>
      <w:r w:rsidRPr="00602656">
        <w:t>Density;</w:t>
      </w:r>
      <w:proofErr w:type="gramEnd"/>
    </w:p>
    <w:p w14:paraId="62363CCF" w14:textId="77777777" w:rsidR="00602656" w:rsidRPr="00602656" w:rsidRDefault="00602656" w:rsidP="00602656">
      <w:pPr>
        <w:numPr>
          <w:ilvl w:val="0"/>
          <w:numId w:val="13"/>
        </w:numPr>
      </w:pPr>
      <w:r w:rsidRPr="00602656">
        <w:t xml:space="preserve">Lead-in times and build-out </w:t>
      </w:r>
      <w:proofErr w:type="gramStart"/>
      <w:r w:rsidRPr="00602656">
        <w:t>rates;</w:t>
      </w:r>
      <w:proofErr w:type="gramEnd"/>
    </w:p>
    <w:p w14:paraId="55C7CE41" w14:textId="77777777" w:rsidR="00602656" w:rsidRPr="00602656" w:rsidRDefault="00602656" w:rsidP="00602656">
      <w:pPr>
        <w:numPr>
          <w:ilvl w:val="0"/>
          <w:numId w:val="13"/>
        </w:numPr>
      </w:pPr>
      <w:r w:rsidRPr="00602656">
        <w:t>Windfall allowance; and</w:t>
      </w:r>
    </w:p>
    <w:p w14:paraId="6D407385" w14:textId="77777777" w:rsidR="00602656" w:rsidRPr="00602656" w:rsidRDefault="00602656" w:rsidP="00602656">
      <w:pPr>
        <w:numPr>
          <w:ilvl w:val="0"/>
          <w:numId w:val="13"/>
        </w:numPr>
      </w:pPr>
      <w:r w:rsidRPr="00602656">
        <w:t>Non-implementation rates.</w:t>
      </w:r>
    </w:p>
    <w:p w14:paraId="5C9CA256" w14:textId="77777777" w:rsidR="00602656" w:rsidRPr="00602656" w:rsidRDefault="00602656" w:rsidP="00602656"/>
    <w:p w14:paraId="20C48863" w14:textId="77777777" w:rsidR="007270CC" w:rsidRPr="007270CC" w:rsidRDefault="007270CC" w:rsidP="007270CC">
      <w:r w:rsidRPr="007270CC">
        <w:t xml:space="preserve">The key differences between this and the previous version are as </w:t>
      </w:r>
      <w:proofErr w:type="gramStart"/>
      <w:r w:rsidRPr="007270CC">
        <w:t>follows:-</w:t>
      </w:r>
      <w:proofErr w:type="gramEnd"/>
    </w:p>
    <w:p w14:paraId="2EB113D6" w14:textId="77777777" w:rsidR="007270CC" w:rsidRPr="007270CC" w:rsidRDefault="007270CC" w:rsidP="007270CC"/>
    <w:p w14:paraId="5A52B25C" w14:textId="642F0B55" w:rsidR="007270CC" w:rsidRPr="007270CC" w:rsidRDefault="007270CC" w:rsidP="007270CC">
      <w:r w:rsidRPr="007270CC">
        <w:t xml:space="preserve">The density for sites remains unchanged.  </w:t>
      </w:r>
    </w:p>
    <w:p w14:paraId="31916769" w14:textId="77777777" w:rsidR="007270CC" w:rsidRPr="007270CC" w:rsidRDefault="007270CC" w:rsidP="007270CC"/>
    <w:p w14:paraId="323907E1" w14:textId="01F61922" w:rsidR="007270CC" w:rsidRPr="007270CC" w:rsidRDefault="007270CC" w:rsidP="007270CC">
      <w:r w:rsidRPr="007270CC">
        <w:t xml:space="preserve">The lead-in times for new build dwellings </w:t>
      </w:r>
      <w:r>
        <w:t xml:space="preserve">and </w:t>
      </w:r>
      <w:r w:rsidRPr="007270CC">
        <w:t xml:space="preserve">for conversions </w:t>
      </w:r>
      <w:r>
        <w:t>remains unchanged</w:t>
      </w:r>
    </w:p>
    <w:p w14:paraId="50F00952" w14:textId="77777777" w:rsidR="007270CC" w:rsidRPr="007270CC" w:rsidRDefault="007270CC" w:rsidP="007270CC"/>
    <w:p w14:paraId="2F90E662" w14:textId="55D11A5F" w:rsidR="007270CC" w:rsidRPr="007C0A40" w:rsidRDefault="007270CC" w:rsidP="007270CC">
      <w:r w:rsidRPr="007270CC">
        <w:t xml:space="preserve">The windfall allowance figure has </w:t>
      </w:r>
      <w:r>
        <w:t xml:space="preserve">changed </w:t>
      </w:r>
      <w:r w:rsidRPr="00BB08B6">
        <w:t xml:space="preserve">to </w:t>
      </w:r>
      <w:r w:rsidRPr="00F949C6">
        <w:t>1</w:t>
      </w:r>
      <w:r w:rsidR="00D34CFA" w:rsidRPr="00F949C6">
        <w:t>0</w:t>
      </w:r>
      <w:r w:rsidR="00F949C6" w:rsidRPr="00F949C6">
        <w:t>3</w:t>
      </w:r>
      <w:r w:rsidRPr="00F949C6">
        <w:t xml:space="preserve"> from years 1-3, </w:t>
      </w:r>
      <w:r w:rsidR="002A36C5" w:rsidRPr="00F949C6">
        <w:t xml:space="preserve">and </w:t>
      </w:r>
      <w:r w:rsidR="00F949C6" w:rsidRPr="00F949C6">
        <w:t xml:space="preserve">685 </w:t>
      </w:r>
      <w:r w:rsidRPr="00F949C6">
        <w:t>dwellings per annum from year 4 onwards.</w:t>
      </w:r>
    </w:p>
    <w:p w14:paraId="64E2F9B1" w14:textId="77777777" w:rsidR="007270CC" w:rsidRPr="007C0A40" w:rsidRDefault="007270CC" w:rsidP="007270CC"/>
    <w:p w14:paraId="638D2B00" w14:textId="6EFFD0C4" w:rsidR="007270CC" w:rsidRDefault="009B234B" w:rsidP="007270CC">
      <w:r w:rsidRPr="007C0A40">
        <w:t>There has been a</w:t>
      </w:r>
      <w:r w:rsidR="00192C52">
        <w:t xml:space="preserve">n increase </w:t>
      </w:r>
      <w:r w:rsidR="00F949C6">
        <w:t>to 4.5</w:t>
      </w:r>
      <w:r w:rsidRPr="007C0A40">
        <w:t>% in the non</w:t>
      </w:r>
      <w:r w:rsidRPr="009B234B">
        <w:t>-implementation (lapse) rate</w:t>
      </w:r>
      <w:r w:rsidR="00D34CFA">
        <w:t>.</w:t>
      </w:r>
    </w:p>
    <w:p w14:paraId="45402718" w14:textId="77777777" w:rsidR="009B234B" w:rsidRPr="009B234B" w:rsidRDefault="009B234B" w:rsidP="009B234B">
      <w:pPr>
        <w:pStyle w:val="NoSpacing"/>
      </w:pPr>
    </w:p>
    <w:p w14:paraId="39B7984F" w14:textId="77777777" w:rsidR="007270CC" w:rsidRPr="007270CC" w:rsidRDefault="007270CC" w:rsidP="007270CC">
      <w:r w:rsidRPr="007270CC">
        <w:t>This appendix will be revisited as part of the annual SHLAA update.  Where there has been a change affecting the joint SHLAA methodology report, the report will be updated accordingly.</w:t>
      </w:r>
    </w:p>
    <w:p w14:paraId="0DA1E52F" w14:textId="77777777" w:rsidR="00602656" w:rsidRDefault="00602656">
      <w:pPr>
        <w:spacing w:after="200" w:line="276" w:lineRule="auto"/>
        <w:rPr>
          <w:b/>
          <w:szCs w:val="24"/>
          <w:u w:val="single"/>
        </w:rPr>
      </w:pPr>
      <w:r>
        <w:rPr>
          <w:b/>
          <w:szCs w:val="24"/>
          <w:u w:val="single"/>
        </w:rPr>
        <w:br w:type="page"/>
      </w:r>
    </w:p>
    <w:p w14:paraId="16E202BC" w14:textId="77777777" w:rsidR="00E30484" w:rsidRPr="00E30484" w:rsidRDefault="00E30484" w:rsidP="00E30484">
      <w:pPr>
        <w:rPr>
          <w:b/>
          <w:szCs w:val="24"/>
          <w:u w:val="single"/>
        </w:rPr>
      </w:pPr>
      <w:r w:rsidRPr="00E30484">
        <w:rPr>
          <w:b/>
          <w:szCs w:val="24"/>
          <w:u w:val="single"/>
        </w:rPr>
        <w:lastRenderedPageBreak/>
        <w:t>Density</w:t>
      </w:r>
    </w:p>
    <w:p w14:paraId="778FA4C9" w14:textId="77777777" w:rsidR="00BE4D80" w:rsidRDefault="00BE4D80" w:rsidP="00BE4D80">
      <w:pPr>
        <w:pStyle w:val="NoSpacing"/>
      </w:pPr>
    </w:p>
    <w:p w14:paraId="5CB19F97" w14:textId="77777777" w:rsidR="00BE4D80" w:rsidRDefault="00BE4D80" w:rsidP="00BE4D80">
      <w:pPr>
        <w:pStyle w:val="NoSpacing"/>
      </w:pPr>
      <w:r>
        <w:t>See paragraphs 29-32 of the joint SHLAA m</w:t>
      </w:r>
      <w:r w:rsidRPr="002D0A11">
        <w:t xml:space="preserve">ethodology </w:t>
      </w:r>
      <w:r>
        <w:t>report.</w:t>
      </w:r>
    </w:p>
    <w:p w14:paraId="25444557" w14:textId="2639879C" w:rsidR="00552664" w:rsidRPr="00E92FBB" w:rsidRDefault="00552664" w:rsidP="00552664">
      <w:pPr>
        <w:spacing w:before="200" w:line="216" w:lineRule="auto"/>
        <w:rPr>
          <w:rFonts w:eastAsia="Calibri" w:cs="Arial"/>
          <w:kern w:val="24"/>
          <w:sz w:val="22"/>
        </w:rPr>
      </w:pPr>
      <w:r w:rsidRPr="00E92FBB">
        <w:rPr>
          <w:rFonts w:eastAsia="Calibri" w:cs="Arial"/>
          <w:kern w:val="24"/>
          <w:sz w:val="22"/>
        </w:rPr>
        <w:t xml:space="preserve">In terms of the judgement made about site capacity, where planning permissions exist, this figure has been used for the number of houses and employment hectarage. The most up to date intelligence from Development Management and Property Services colleagues, based on local site and developer knowledge, has allowed these figures to be verified and revised as appropriate. Where sites do not benefit from planning permission, a judgement on an </w:t>
      </w:r>
      <w:proofErr w:type="gramStart"/>
      <w:r w:rsidRPr="00E92FBB">
        <w:rPr>
          <w:rFonts w:eastAsia="Calibri" w:cs="Arial"/>
          <w:kern w:val="24"/>
          <w:sz w:val="22"/>
        </w:rPr>
        <w:t>appropriate  ‘</w:t>
      </w:r>
      <w:proofErr w:type="gramEnd"/>
      <w:r w:rsidRPr="00E92FBB">
        <w:rPr>
          <w:rFonts w:eastAsia="Calibri" w:cs="Arial"/>
          <w:kern w:val="24"/>
          <w:sz w:val="22"/>
        </w:rPr>
        <w:t xml:space="preserve">range’ of </w:t>
      </w:r>
      <w:proofErr w:type="gramStart"/>
      <w:r w:rsidRPr="00E92FBB">
        <w:rPr>
          <w:rFonts w:eastAsia="Calibri" w:cs="Arial"/>
          <w:kern w:val="24"/>
          <w:sz w:val="22"/>
        </w:rPr>
        <w:t>development  has</w:t>
      </w:r>
      <w:proofErr w:type="gramEnd"/>
      <w:r w:rsidRPr="00E92FBB">
        <w:rPr>
          <w:rFonts w:eastAsia="Calibri" w:cs="Arial"/>
          <w:kern w:val="24"/>
          <w:sz w:val="22"/>
        </w:rPr>
        <w:t xml:space="preserve"> been made.</w:t>
      </w:r>
      <w:r>
        <w:rPr>
          <w:rFonts w:eastAsia="Calibri" w:cs="Arial"/>
          <w:kern w:val="24"/>
          <w:sz w:val="22"/>
        </w:rPr>
        <w:t xml:space="preserve"> T</w:t>
      </w:r>
      <w:r w:rsidRPr="00E92FBB">
        <w:rPr>
          <w:rFonts w:eastAsia="Calibri" w:cs="Arial"/>
          <w:kern w:val="24"/>
          <w:sz w:val="22"/>
        </w:rPr>
        <w:t xml:space="preserve">he range is based on officer expertise, an assessment of achievable densities and any comparable planning permissions in the locality, as well as a desire to promote </w:t>
      </w:r>
      <w:proofErr w:type="gramStart"/>
      <w:r w:rsidRPr="00E92FBB">
        <w:rPr>
          <w:rFonts w:eastAsia="Calibri" w:cs="Arial"/>
          <w:kern w:val="24"/>
          <w:sz w:val="22"/>
        </w:rPr>
        <w:t>brownfield  development</w:t>
      </w:r>
      <w:proofErr w:type="gramEnd"/>
      <w:r w:rsidRPr="00E92FBB">
        <w:rPr>
          <w:rFonts w:eastAsia="Calibri" w:cs="Arial"/>
          <w:kern w:val="24"/>
          <w:sz w:val="22"/>
        </w:rPr>
        <w:t xml:space="preserve">  and make the best use of land. From this range, a conservative estimate of the </w:t>
      </w:r>
      <w:proofErr w:type="gramStart"/>
      <w:r w:rsidRPr="00E92FBB">
        <w:rPr>
          <w:rFonts w:eastAsia="Calibri" w:cs="Arial"/>
          <w:kern w:val="24"/>
          <w:sz w:val="22"/>
        </w:rPr>
        <w:t>development  potential</w:t>
      </w:r>
      <w:proofErr w:type="gramEnd"/>
      <w:r w:rsidRPr="00E92FBB">
        <w:rPr>
          <w:rFonts w:eastAsia="Calibri" w:cs="Arial"/>
          <w:kern w:val="24"/>
          <w:sz w:val="22"/>
        </w:rPr>
        <w:t xml:space="preserve"> used the mid-</w:t>
      </w:r>
      <w:proofErr w:type="gramStart"/>
      <w:r w:rsidRPr="00E92FBB">
        <w:rPr>
          <w:rFonts w:eastAsia="Calibri" w:cs="Arial"/>
          <w:kern w:val="24"/>
          <w:sz w:val="22"/>
        </w:rPr>
        <w:t>point  in</w:t>
      </w:r>
      <w:proofErr w:type="gramEnd"/>
      <w:r w:rsidRPr="00E92FBB">
        <w:rPr>
          <w:rFonts w:eastAsia="Calibri" w:cs="Arial"/>
          <w:kern w:val="24"/>
          <w:sz w:val="22"/>
        </w:rPr>
        <w:t xml:space="preserve"> order to robustly compare the potential delivery against housing and employment land targets. In accordance with Core Strategy Policy 8 and L</w:t>
      </w:r>
      <w:r w:rsidR="00EA707C">
        <w:rPr>
          <w:rFonts w:eastAsia="Calibri" w:cs="Arial"/>
          <w:kern w:val="24"/>
          <w:sz w:val="22"/>
        </w:rPr>
        <w:t>ocal Plan Part 2</w:t>
      </w:r>
      <w:r w:rsidRPr="00E92FBB">
        <w:rPr>
          <w:rFonts w:eastAsia="Calibri" w:cs="Arial"/>
          <w:kern w:val="24"/>
          <w:sz w:val="22"/>
        </w:rPr>
        <w:t xml:space="preserve"> Policy HO1 relating to an emphasis on providing family housing in Nottingham City, a judgement has been made on where best to </w:t>
      </w:r>
      <w:proofErr w:type="gramStart"/>
      <w:r w:rsidRPr="00E92FBB">
        <w:rPr>
          <w:rFonts w:eastAsia="Calibri" w:cs="Arial"/>
          <w:kern w:val="24"/>
          <w:sz w:val="22"/>
        </w:rPr>
        <w:t>accommodate  predominantly</w:t>
      </w:r>
      <w:proofErr w:type="gramEnd"/>
      <w:r w:rsidRPr="00E92FBB">
        <w:rPr>
          <w:rFonts w:eastAsia="Calibri" w:cs="Arial"/>
          <w:kern w:val="24"/>
          <w:sz w:val="22"/>
        </w:rPr>
        <w:t xml:space="preserve"> family housing as part of a sustainable housing mix.</w:t>
      </w:r>
    </w:p>
    <w:p w14:paraId="4724DA25" w14:textId="77777777" w:rsidR="00552664" w:rsidRPr="00E92FBB" w:rsidRDefault="00552664" w:rsidP="00552664">
      <w:pPr>
        <w:spacing w:before="200" w:line="216" w:lineRule="auto"/>
        <w:rPr>
          <w:rFonts w:eastAsia="Calibri" w:cs="Arial"/>
          <w:kern w:val="24"/>
          <w:sz w:val="22"/>
        </w:rPr>
      </w:pPr>
      <w:r w:rsidRPr="00E92FBB">
        <w:rPr>
          <w:rFonts w:eastAsia="Calibri" w:cs="Arial"/>
          <w:kern w:val="24"/>
          <w:sz w:val="22"/>
        </w:rPr>
        <w:t>Assumptions made by the Design &amp; Conservation section at the City Council states:</w:t>
      </w:r>
    </w:p>
    <w:p w14:paraId="6BD1987A" w14:textId="77777777" w:rsidR="00552664" w:rsidRPr="00E92FBB" w:rsidRDefault="00552664" w:rsidP="00552664">
      <w:pPr>
        <w:spacing w:before="200" w:line="216" w:lineRule="auto"/>
        <w:rPr>
          <w:rFonts w:eastAsia="Calibri" w:cs="Arial"/>
          <w:kern w:val="24"/>
          <w:sz w:val="22"/>
        </w:rPr>
      </w:pPr>
      <w:r w:rsidRPr="00E92FBB">
        <w:rPr>
          <w:rFonts w:eastAsia="Calibri" w:cs="Arial"/>
          <w:kern w:val="24"/>
          <w:sz w:val="22"/>
        </w:rPr>
        <w:t>•           30-35dph for low density (suburban</w:t>
      </w:r>
      <w:proofErr w:type="gramStart"/>
      <w:r w:rsidRPr="00E92FBB">
        <w:rPr>
          <w:rFonts w:eastAsia="Calibri" w:cs="Arial"/>
          <w:kern w:val="24"/>
          <w:sz w:val="22"/>
        </w:rPr>
        <w:t>);</w:t>
      </w:r>
      <w:proofErr w:type="gramEnd"/>
      <w:r w:rsidRPr="00E92FBB">
        <w:rPr>
          <w:rFonts w:eastAsia="Calibri" w:cs="Arial"/>
          <w:kern w:val="24"/>
          <w:sz w:val="22"/>
        </w:rPr>
        <w:t xml:space="preserve"> </w:t>
      </w:r>
    </w:p>
    <w:p w14:paraId="62D374C2" w14:textId="77777777" w:rsidR="00552664" w:rsidRPr="00E92FBB" w:rsidRDefault="00552664" w:rsidP="00552664">
      <w:pPr>
        <w:spacing w:before="200" w:line="216" w:lineRule="auto"/>
        <w:rPr>
          <w:rFonts w:eastAsia="Calibri" w:cs="Arial"/>
          <w:kern w:val="24"/>
          <w:sz w:val="22"/>
        </w:rPr>
      </w:pPr>
      <w:r w:rsidRPr="00E92FBB">
        <w:rPr>
          <w:rFonts w:eastAsia="Calibri" w:cs="Arial"/>
          <w:kern w:val="24"/>
          <w:sz w:val="22"/>
        </w:rPr>
        <w:t>•           40-50 for medium (e.g. Victorian terraces</w:t>
      </w:r>
      <w:proofErr w:type="gramStart"/>
      <w:r w:rsidRPr="00E92FBB">
        <w:rPr>
          <w:rFonts w:eastAsia="Calibri" w:cs="Arial"/>
          <w:kern w:val="24"/>
          <w:sz w:val="22"/>
        </w:rPr>
        <w:t>);</w:t>
      </w:r>
      <w:proofErr w:type="gramEnd"/>
      <w:r w:rsidRPr="00E92FBB">
        <w:rPr>
          <w:rFonts w:eastAsia="Calibri" w:cs="Arial"/>
          <w:kern w:val="24"/>
          <w:sz w:val="22"/>
        </w:rPr>
        <w:t xml:space="preserve"> </w:t>
      </w:r>
    </w:p>
    <w:p w14:paraId="65331ACE" w14:textId="77777777" w:rsidR="00552664" w:rsidRPr="00E92FBB" w:rsidRDefault="00552664" w:rsidP="00552664">
      <w:pPr>
        <w:spacing w:before="200" w:line="216" w:lineRule="auto"/>
        <w:rPr>
          <w:rFonts w:eastAsia="Calibri" w:cs="Arial"/>
          <w:kern w:val="24"/>
          <w:sz w:val="22"/>
        </w:rPr>
      </w:pPr>
      <w:r w:rsidRPr="00E92FBB">
        <w:rPr>
          <w:rFonts w:eastAsia="Calibri" w:cs="Arial"/>
          <w:kern w:val="24"/>
          <w:sz w:val="22"/>
        </w:rPr>
        <w:t>•</w:t>
      </w:r>
      <w:r w:rsidRPr="00E92FBB">
        <w:rPr>
          <w:rFonts w:eastAsia="Calibri" w:cs="Arial"/>
          <w:kern w:val="24"/>
          <w:sz w:val="22"/>
        </w:rPr>
        <w:tab/>
        <w:t>50+ for city centre (flats and maisonettes)</w:t>
      </w:r>
    </w:p>
    <w:p w14:paraId="749832FD" w14:textId="77777777" w:rsidR="00552664" w:rsidRPr="00E92FBB" w:rsidRDefault="00552664" w:rsidP="00552664">
      <w:pPr>
        <w:spacing w:before="200" w:line="216" w:lineRule="auto"/>
        <w:rPr>
          <w:rFonts w:eastAsia="Calibri" w:cs="Arial"/>
          <w:sz w:val="22"/>
        </w:rPr>
      </w:pPr>
    </w:p>
    <w:p w14:paraId="0DE9122B" w14:textId="4BD9B2B9" w:rsidR="00552664" w:rsidRPr="006C034C" w:rsidRDefault="00552664" w:rsidP="00552664">
      <w:pPr>
        <w:spacing w:line="216" w:lineRule="auto"/>
        <w:rPr>
          <w:rFonts w:eastAsia="Calibri" w:cs="Arial"/>
          <w:sz w:val="22"/>
        </w:rPr>
      </w:pPr>
      <w:r w:rsidRPr="006C034C">
        <w:rPr>
          <w:rFonts w:eastAsia="Calibri" w:cs="Arial"/>
          <w:sz w:val="22"/>
        </w:rPr>
        <w:t>These are based on typical built form and coverage. It is the recommendation of the D</w:t>
      </w:r>
      <w:r w:rsidR="00EA707C">
        <w:rPr>
          <w:rFonts w:eastAsia="Calibri" w:cs="Arial"/>
          <w:sz w:val="22"/>
        </w:rPr>
        <w:t xml:space="preserve">esign </w:t>
      </w:r>
      <w:r w:rsidRPr="006C034C">
        <w:rPr>
          <w:rFonts w:eastAsia="Calibri" w:cs="Arial"/>
          <w:sz w:val="22"/>
        </w:rPr>
        <w:t>Q</w:t>
      </w:r>
      <w:r w:rsidR="00EA707C">
        <w:rPr>
          <w:rFonts w:eastAsia="Calibri" w:cs="Arial"/>
          <w:sz w:val="22"/>
        </w:rPr>
        <w:t xml:space="preserve">uality </w:t>
      </w:r>
      <w:r w:rsidRPr="006C034C">
        <w:rPr>
          <w:rFonts w:eastAsia="Calibri" w:cs="Arial"/>
          <w:sz w:val="22"/>
        </w:rPr>
        <w:t>F</w:t>
      </w:r>
      <w:r w:rsidR="00EA707C">
        <w:rPr>
          <w:rFonts w:eastAsia="Calibri" w:cs="Arial"/>
          <w:sz w:val="22"/>
        </w:rPr>
        <w:t>ramework</w:t>
      </w:r>
      <w:r w:rsidRPr="006C034C">
        <w:rPr>
          <w:rFonts w:eastAsia="Calibri" w:cs="Arial"/>
          <w:sz w:val="22"/>
        </w:rPr>
        <w:t xml:space="preserve"> Housing Design Guide.</w:t>
      </w:r>
    </w:p>
    <w:p w14:paraId="416AB1A5" w14:textId="77777777" w:rsidR="003919CF" w:rsidRDefault="003919CF" w:rsidP="003919CF">
      <w:pPr>
        <w:rPr>
          <w:szCs w:val="24"/>
        </w:rPr>
      </w:pPr>
    </w:p>
    <w:p w14:paraId="352DDF5C" w14:textId="77777777" w:rsidR="00A843E5" w:rsidRDefault="00A843E5" w:rsidP="00AE5CCE">
      <w:pPr>
        <w:rPr>
          <w:b/>
          <w:bCs/>
          <w:szCs w:val="24"/>
          <w:u w:val="single"/>
        </w:rPr>
      </w:pPr>
    </w:p>
    <w:p w14:paraId="294E38D8" w14:textId="77777777" w:rsidR="003919CF" w:rsidRPr="00BA4455" w:rsidRDefault="003919CF" w:rsidP="001D35B8">
      <w:pPr>
        <w:pStyle w:val="NoSpacing"/>
        <w:rPr>
          <w:bCs/>
          <w:szCs w:val="24"/>
        </w:rPr>
      </w:pPr>
    </w:p>
    <w:p w14:paraId="38E7806C" w14:textId="77777777" w:rsidR="00E5306A" w:rsidRPr="00BA4455" w:rsidRDefault="00E5306A" w:rsidP="001D35B8">
      <w:pPr>
        <w:pStyle w:val="NoSpacing"/>
        <w:rPr>
          <w:bCs/>
          <w:szCs w:val="24"/>
        </w:rPr>
      </w:pPr>
    </w:p>
    <w:p w14:paraId="79959FA2" w14:textId="77777777" w:rsidR="002B4244" w:rsidRDefault="002B4244">
      <w:pPr>
        <w:spacing w:after="200" w:line="276" w:lineRule="auto"/>
        <w:rPr>
          <w:b/>
          <w:bCs/>
          <w:szCs w:val="24"/>
          <w:u w:val="single"/>
        </w:rPr>
      </w:pPr>
      <w:r>
        <w:rPr>
          <w:b/>
          <w:bCs/>
          <w:szCs w:val="24"/>
          <w:u w:val="single"/>
        </w:rPr>
        <w:br w:type="page"/>
      </w:r>
    </w:p>
    <w:p w14:paraId="243693CA" w14:textId="1186C08D" w:rsidR="00AE5CCE" w:rsidRDefault="00AE5CCE" w:rsidP="00AE5CCE">
      <w:pPr>
        <w:rPr>
          <w:b/>
          <w:bCs/>
          <w:szCs w:val="24"/>
          <w:u w:val="single"/>
        </w:rPr>
      </w:pPr>
      <w:r>
        <w:rPr>
          <w:b/>
          <w:bCs/>
          <w:szCs w:val="24"/>
          <w:u w:val="single"/>
        </w:rPr>
        <w:lastRenderedPageBreak/>
        <w:t>Lead-in times and build-out rates</w:t>
      </w:r>
    </w:p>
    <w:p w14:paraId="5CD07D14" w14:textId="77777777" w:rsidR="009C3884" w:rsidRDefault="009C3884" w:rsidP="009C3884">
      <w:pPr>
        <w:pStyle w:val="NoSpacing"/>
      </w:pPr>
    </w:p>
    <w:p w14:paraId="455B5A28" w14:textId="77777777" w:rsidR="009C3884" w:rsidRDefault="009C3884" w:rsidP="009C3884">
      <w:pPr>
        <w:pStyle w:val="NoSpacing"/>
      </w:pPr>
      <w:r>
        <w:t>See paragraphs 35-40 of the joint SHLAA m</w:t>
      </w:r>
      <w:r w:rsidRPr="002D0A11">
        <w:t xml:space="preserve">ethodology </w:t>
      </w:r>
      <w:r>
        <w:t>report.</w:t>
      </w:r>
    </w:p>
    <w:p w14:paraId="5C9E8DF7" w14:textId="77777777" w:rsidR="00AE5CCE" w:rsidRDefault="00AE5CCE"/>
    <w:p w14:paraId="49B929FA" w14:textId="72F89460" w:rsidR="00552664" w:rsidRPr="00E92FBB" w:rsidRDefault="00552664" w:rsidP="00552664">
      <w:pPr>
        <w:spacing w:after="240" w:line="216" w:lineRule="auto"/>
        <w:contextualSpacing/>
        <w:rPr>
          <w:rFonts w:eastAsia="Calibri" w:cs="Arial"/>
          <w:color w:val="000000"/>
          <w:kern w:val="24"/>
          <w:sz w:val="22"/>
        </w:rPr>
      </w:pPr>
      <w:r>
        <w:rPr>
          <w:rFonts w:eastAsia="Calibri" w:cs="Arial"/>
          <w:color w:val="000000"/>
          <w:kern w:val="24"/>
          <w:sz w:val="22"/>
        </w:rPr>
        <w:t>A</w:t>
      </w:r>
      <w:r w:rsidRPr="00E92FBB">
        <w:rPr>
          <w:rFonts w:eastAsia="Calibri" w:cs="Arial"/>
          <w:color w:val="000000"/>
          <w:kern w:val="24"/>
          <w:sz w:val="22"/>
        </w:rPr>
        <w:t xml:space="preserve">ssumptions about the rate of delivery of dwellings on sites have been made on an individual basis based upon available information for each site. Information provided by developers and landowners through the direct mail-outs associated with the SHLAA process (if available) is used in the first instance. Where information is not available, then a judgment is made based on factors such as the most up-to-date intelligence from Development Management, Regeneration and Property Service colleagues, local site and developer knowledge, and experience of delivery on similar sites and the status of planning permission. Much development in the </w:t>
      </w:r>
      <w:proofErr w:type="gramStart"/>
      <w:r w:rsidRPr="00E92FBB">
        <w:rPr>
          <w:rFonts w:eastAsia="Calibri" w:cs="Arial"/>
          <w:color w:val="000000"/>
          <w:kern w:val="24"/>
          <w:sz w:val="22"/>
        </w:rPr>
        <w:t>City</w:t>
      </w:r>
      <w:proofErr w:type="gramEnd"/>
      <w:r w:rsidRPr="00E92FBB">
        <w:rPr>
          <w:rFonts w:eastAsia="Calibri" w:cs="Arial"/>
          <w:color w:val="000000"/>
          <w:kern w:val="24"/>
          <w:sz w:val="22"/>
        </w:rPr>
        <w:t xml:space="preserve"> is in the form of apartments, and these tend to deliver the full yield of the site at one </w:t>
      </w:r>
      <w:proofErr w:type="gramStart"/>
      <w:r w:rsidRPr="00E92FBB">
        <w:rPr>
          <w:rFonts w:eastAsia="Calibri" w:cs="Arial"/>
          <w:color w:val="000000"/>
          <w:kern w:val="24"/>
          <w:sz w:val="22"/>
        </w:rPr>
        <w:t>time</w:t>
      </w:r>
      <w:r w:rsidR="00B80390">
        <w:rPr>
          <w:rFonts w:eastAsia="Calibri" w:cs="Arial"/>
          <w:color w:val="000000"/>
          <w:kern w:val="24"/>
          <w:sz w:val="22"/>
        </w:rPr>
        <w:t xml:space="preserve">, </w:t>
      </w:r>
      <w:r w:rsidRPr="00E92FBB">
        <w:rPr>
          <w:rFonts w:eastAsia="Calibri" w:cs="Arial"/>
          <w:color w:val="000000"/>
          <w:kern w:val="24"/>
          <w:sz w:val="22"/>
        </w:rPr>
        <w:t>and</w:t>
      </w:r>
      <w:proofErr w:type="gramEnd"/>
      <w:r w:rsidRPr="00E92FBB">
        <w:rPr>
          <w:rFonts w:eastAsia="Calibri" w:cs="Arial"/>
          <w:color w:val="000000"/>
          <w:kern w:val="24"/>
          <w:sz w:val="22"/>
        </w:rPr>
        <w:t xml:space="preserve"> are usually therefore allocated to a single year. (In the case of new student apartments, these are invariably released in September, to accommodate a full academic year of student demand). For larger sites, if they are part of the City Council’s or its partners (Nottingham City Homes, Blueprint) development/regeneration plans, then these are used. In a relatively small number of cases assumptions are made based on delivery rates of similar sites recently developed in the City.</w:t>
      </w:r>
    </w:p>
    <w:p w14:paraId="5F8C2F37" w14:textId="77777777" w:rsidR="00552664" w:rsidRDefault="00552664" w:rsidP="00552664">
      <w:pPr>
        <w:spacing w:after="240" w:line="216" w:lineRule="auto"/>
        <w:contextualSpacing/>
        <w:rPr>
          <w:rFonts w:eastAsia="Calibri" w:cs="Arial"/>
          <w:color w:val="000000"/>
          <w:kern w:val="24"/>
          <w:sz w:val="22"/>
        </w:rPr>
      </w:pPr>
      <w:r>
        <w:rPr>
          <w:rFonts w:eastAsia="Calibri" w:cs="Arial"/>
          <w:color w:val="000000"/>
          <w:kern w:val="24"/>
          <w:sz w:val="22"/>
        </w:rPr>
        <w:t>Assume u</w:t>
      </w:r>
      <w:r w:rsidRPr="00E92FBB">
        <w:rPr>
          <w:rFonts w:eastAsia="Calibri" w:cs="Arial"/>
          <w:color w:val="000000"/>
          <w:kern w:val="24"/>
          <w:sz w:val="22"/>
        </w:rPr>
        <w:t>sually only 1 developer</w:t>
      </w:r>
      <w:r>
        <w:rPr>
          <w:rFonts w:eastAsia="Calibri" w:cs="Arial"/>
          <w:color w:val="000000"/>
          <w:kern w:val="24"/>
          <w:sz w:val="22"/>
        </w:rPr>
        <w:t>.</w:t>
      </w:r>
    </w:p>
    <w:p w14:paraId="1FFC3131" w14:textId="77777777" w:rsidR="00552664" w:rsidRDefault="00552664" w:rsidP="00552664">
      <w:pPr>
        <w:spacing w:after="240" w:line="216" w:lineRule="auto"/>
        <w:contextualSpacing/>
        <w:rPr>
          <w:rFonts w:eastAsia="Calibri" w:cs="Arial"/>
          <w:color w:val="000000"/>
          <w:kern w:val="24"/>
          <w:sz w:val="22"/>
        </w:rPr>
      </w:pPr>
    </w:p>
    <w:p w14:paraId="28F7E0F8" w14:textId="77777777" w:rsidR="00552664" w:rsidRDefault="00552664" w:rsidP="00552664">
      <w:pPr>
        <w:spacing w:after="240" w:line="216" w:lineRule="auto"/>
        <w:contextualSpacing/>
        <w:rPr>
          <w:rFonts w:eastAsia="Calibri" w:cs="Arial"/>
          <w:color w:val="000000"/>
          <w:kern w:val="24"/>
          <w:sz w:val="22"/>
        </w:rPr>
      </w:pPr>
      <w:r>
        <w:rPr>
          <w:rFonts w:eastAsia="Calibri" w:cs="Arial"/>
          <w:color w:val="000000"/>
          <w:kern w:val="24"/>
          <w:sz w:val="22"/>
        </w:rPr>
        <w:t>Based on data assume a lead-in time as 1 year between the granting of permission and the start of development, except 0.5 yrs for conversions</w:t>
      </w:r>
    </w:p>
    <w:p w14:paraId="487E5E76" w14:textId="77777777" w:rsidR="00552664" w:rsidRDefault="00552664" w:rsidP="00552664">
      <w:pPr>
        <w:spacing w:after="240" w:line="216" w:lineRule="auto"/>
        <w:contextualSpacing/>
        <w:rPr>
          <w:rFonts w:eastAsia="Calibri" w:cs="Arial"/>
          <w:color w:val="000000"/>
          <w:kern w:val="24"/>
          <w:sz w:val="22"/>
        </w:rPr>
      </w:pPr>
    </w:p>
    <w:p w14:paraId="32FAC2F0" w14:textId="77777777" w:rsidR="00552664" w:rsidRDefault="00552664" w:rsidP="00552664">
      <w:pPr>
        <w:spacing w:after="240" w:line="216" w:lineRule="auto"/>
        <w:contextualSpacing/>
        <w:rPr>
          <w:rFonts w:eastAsia="Calibri" w:cs="Arial"/>
          <w:color w:val="000000"/>
          <w:kern w:val="24"/>
          <w:sz w:val="22"/>
        </w:rPr>
      </w:pPr>
      <w:r>
        <w:rPr>
          <w:rFonts w:eastAsia="Calibri" w:cs="Arial"/>
          <w:color w:val="000000"/>
          <w:kern w:val="24"/>
          <w:sz w:val="22"/>
        </w:rPr>
        <w:t>Based on data the build out rates the number of dwellings built per year are:</w:t>
      </w:r>
    </w:p>
    <w:p w14:paraId="59154482" w14:textId="77777777" w:rsidR="00552664" w:rsidRDefault="00552664" w:rsidP="00552664">
      <w:pPr>
        <w:spacing w:after="240" w:line="216" w:lineRule="auto"/>
        <w:contextualSpacing/>
        <w:rPr>
          <w:rFonts w:eastAsia="Calibri" w:cs="Arial"/>
          <w:color w:val="000000"/>
          <w:kern w:val="24"/>
          <w:sz w:val="22"/>
        </w:rPr>
      </w:pPr>
    </w:p>
    <w:p w14:paraId="1FF20878" w14:textId="77777777" w:rsidR="00552664" w:rsidRDefault="00552664" w:rsidP="00552664">
      <w:pPr>
        <w:spacing w:after="240" w:line="216" w:lineRule="auto"/>
        <w:contextualSpacing/>
      </w:pPr>
      <w:r>
        <w:rPr>
          <w:rFonts w:eastAsia="Calibri" w:cs="Arial"/>
          <w:color w:val="000000"/>
          <w:kern w:val="24"/>
          <w:sz w:val="22"/>
        </w:rPr>
        <w:t>For sites of 1-9 dwellings:3 dwellings pa</w:t>
      </w:r>
      <w:r w:rsidRPr="00551B6D">
        <w:t xml:space="preserve"> </w:t>
      </w:r>
    </w:p>
    <w:p w14:paraId="233BA3E2" w14:textId="77777777" w:rsidR="00552664" w:rsidRDefault="00552664" w:rsidP="00552664">
      <w:pPr>
        <w:spacing w:after="240" w:line="216" w:lineRule="auto"/>
        <w:contextualSpacing/>
      </w:pPr>
      <w:r w:rsidRPr="00551B6D">
        <w:rPr>
          <w:rFonts w:eastAsia="Calibri" w:cs="Arial"/>
          <w:color w:val="000000"/>
          <w:kern w:val="24"/>
          <w:sz w:val="22"/>
        </w:rPr>
        <w:t xml:space="preserve">For sites of </w:t>
      </w:r>
      <w:r>
        <w:rPr>
          <w:rFonts w:eastAsia="Calibri" w:cs="Arial"/>
          <w:color w:val="000000"/>
          <w:kern w:val="24"/>
          <w:sz w:val="22"/>
        </w:rPr>
        <w:t>10-49</w:t>
      </w:r>
      <w:r w:rsidRPr="00551B6D">
        <w:rPr>
          <w:rFonts w:eastAsia="Calibri" w:cs="Arial"/>
          <w:color w:val="000000"/>
          <w:kern w:val="24"/>
          <w:sz w:val="22"/>
        </w:rPr>
        <w:t xml:space="preserve"> dwellings:</w:t>
      </w:r>
      <w:r>
        <w:rPr>
          <w:rFonts w:eastAsia="Calibri" w:cs="Arial"/>
          <w:color w:val="000000"/>
          <w:kern w:val="24"/>
          <w:sz w:val="22"/>
        </w:rPr>
        <w:t>25</w:t>
      </w:r>
      <w:r w:rsidRPr="00551B6D">
        <w:rPr>
          <w:rFonts w:eastAsia="Calibri" w:cs="Arial"/>
          <w:color w:val="000000"/>
          <w:kern w:val="24"/>
          <w:sz w:val="22"/>
        </w:rPr>
        <w:t xml:space="preserve"> dwellings p</w:t>
      </w:r>
      <w:r>
        <w:rPr>
          <w:rFonts w:eastAsia="Calibri" w:cs="Arial"/>
          <w:color w:val="000000"/>
          <w:kern w:val="24"/>
          <w:sz w:val="22"/>
        </w:rPr>
        <w:t>a</w:t>
      </w:r>
      <w:r w:rsidRPr="00551B6D">
        <w:t xml:space="preserve"> </w:t>
      </w:r>
    </w:p>
    <w:p w14:paraId="420AE919" w14:textId="77777777" w:rsidR="00A843E5" w:rsidRDefault="00552664" w:rsidP="00552664">
      <w:pPr>
        <w:spacing w:after="240" w:line="216" w:lineRule="auto"/>
        <w:contextualSpacing/>
        <w:rPr>
          <w:rFonts w:eastAsia="Calibri" w:cs="Arial"/>
          <w:color w:val="000000"/>
          <w:kern w:val="24"/>
          <w:sz w:val="22"/>
        </w:rPr>
      </w:pPr>
      <w:r w:rsidRPr="00551B6D">
        <w:rPr>
          <w:rFonts w:eastAsia="Calibri" w:cs="Arial"/>
          <w:color w:val="000000"/>
          <w:kern w:val="24"/>
          <w:sz w:val="22"/>
        </w:rPr>
        <w:t xml:space="preserve">For sites of </w:t>
      </w:r>
      <w:r>
        <w:rPr>
          <w:rFonts w:eastAsia="Calibri" w:cs="Arial"/>
          <w:color w:val="000000"/>
          <w:kern w:val="24"/>
          <w:sz w:val="22"/>
        </w:rPr>
        <w:t>50+</w:t>
      </w:r>
      <w:r w:rsidRPr="00551B6D">
        <w:rPr>
          <w:rFonts w:eastAsia="Calibri" w:cs="Arial"/>
          <w:color w:val="000000"/>
          <w:kern w:val="24"/>
          <w:sz w:val="22"/>
        </w:rPr>
        <w:t>:</w:t>
      </w:r>
      <w:r>
        <w:rPr>
          <w:rFonts w:eastAsia="Calibri" w:cs="Arial"/>
          <w:color w:val="000000"/>
          <w:kern w:val="24"/>
          <w:sz w:val="22"/>
        </w:rPr>
        <w:t>70</w:t>
      </w:r>
      <w:r w:rsidRPr="00551B6D">
        <w:rPr>
          <w:rFonts w:eastAsia="Calibri" w:cs="Arial"/>
          <w:color w:val="000000"/>
          <w:kern w:val="24"/>
          <w:sz w:val="22"/>
        </w:rPr>
        <w:t xml:space="preserve"> dwellings p</w:t>
      </w:r>
      <w:r>
        <w:rPr>
          <w:rFonts w:eastAsia="Calibri" w:cs="Arial"/>
          <w:color w:val="000000"/>
          <w:kern w:val="24"/>
          <w:sz w:val="22"/>
        </w:rPr>
        <w:t>a except 140pa for Change of Use</w:t>
      </w:r>
    </w:p>
    <w:p w14:paraId="379D2F50" w14:textId="77777777" w:rsidR="00A843E5" w:rsidRDefault="00A843E5">
      <w:pPr>
        <w:spacing w:after="200" w:line="276" w:lineRule="auto"/>
        <w:rPr>
          <w:rFonts w:eastAsia="Calibri" w:cs="Arial"/>
          <w:color w:val="000000"/>
          <w:kern w:val="24"/>
          <w:sz w:val="22"/>
        </w:rPr>
      </w:pPr>
      <w:r>
        <w:rPr>
          <w:rFonts w:eastAsia="Calibri" w:cs="Arial"/>
          <w:color w:val="000000"/>
          <w:kern w:val="24"/>
          <w:sz w:val="22"/>
        </w:rPr>
        <w:br w:type="page"/>
      </w:r>
    </w:p>
    <w:tbl>
      <w:tblPr>
        <w:tblW w:w="9096" w:type="dxa"/>
        <w:tblInd w:w="113" w:type="dxa"/>
        <w:tblLook w:val="04A0" w:firstRow="1" w:lastRow="0" w:firstColumn="1" w:lastColumn="0" w:noHBand="0" w:noVBand="1"/>
      </w:tblPr>
      <w:tblGrid>
        <w:gridCol w:w="1867"/>
        <w:gridCol w:w="1219"/>
        <w:gridCol w:w="1332"/>
        <w:gridCol w:w="1560"/>
        <w:gridCol w:w="1559"/>
        <w:gridCol w:w="1559"/>
      </w:tblGrid>
      <w:tr w:rsidR="00F8048E" w14:paraId="6672BE7D" w14:textId="77777777" w:rsidTr="00A843E5">
        <w:trPr>
          <w:trHeight w:val="2130"/>
        </w:trPr>
        <w:tc>
          <w:tcPr>
            <w:tcW w:w="9096" w:type="dxa"/>
            <w:gridSpan w:val="6"/>
            <w:tcBorders>
              <w:top w:val="single" w:sz="4" w:space="0" w:color="auto"/>
              <w:left w:val="single" w:sz="4" w:space="0" w:color="auto"/>
              <w:bottom w:val="single" w:sz="4" w:space="0" w:color="auto"/>
              <w:right w:val="single" w:sz="4" w:space="0" w:color="auto"/>
            </w:tcBorders>
            <w:vAlign w:val="center"/>
            <w:hideMark/>
          </w:tcPr>
          <w:p w14:paraId="242CD1A0" w14:textId="77777777" w:rsidR="00F8048E" w:rsidRDefault="00F8048E" w:rsidP="00CB6587">
            <w:pPr>
              <w:jc w:val="center"/>
              <w:rPr>
                <w:rFonts w:cs="Arial"/>
                <w:color w:val="000000"/>
                <w:szCs w:val="24"/>
              </w:rPr>
            </w:pPr>
            <w:r>
              <w:rPr>
                <w:rFonts w:cs="Arial"/>
                <w:color w:val="000000"/>
              </w:rPr>
              <w:lastRenderedPageBreak/>
              <w:t>Average number of dwellings completed, average years for construction work to start on site after permission granted and average number of dwellings built on site per year for new build dwellings, conversion, change of use per developer on site per developer on site between 1 April 2011 to 31 March 2019 excluding completed dwellings on sites granted permission before the 2008 housing crash</w:t>
            </w:r>
          </w:p>
        </w:tc>
      </w:tr>
      <w:tr w:rsidR="00F8048E" w14:paraId="0860F035" w14:textId="77777777" w:rsidTr="00A843E5">
        <w:trPr>
          <w:trHeight w:val="1800"/>
        </w:trPr>
        <w:tc>
          <w:tcPr>
            <w:tcW w:w="1867" w:type="dxa"/>
            <w:tcBorders>
              <w:top w:val="nil"/>
              <w:left w:val="single" w:sz="4" w:space="0" w:color="auto"/>
              <w:bottom w:val="single" w:sz="4" w:space="0" w:color="auto"/>
              <w:right w:val="single" w:sz="4" w:space="0" w:color="auto"/>
            </w:tcBorders>
            <w:vAlign w:val="center"/>
            <w:hideMark/>
          </w:tcPr>
          <w:p w14:paraId="5B02B9AB" w14:textId="77777777" w:rsidR="00F8048E" w:rsidRDefault="00F8048E" w:rsidP="00CB6587">
            <w:pPr>
              <w:rPr>
                <w:rFonts w:cs="Arial"/>
                <w:color w:val="000000"/>
              </w:rPr>
            </w:pPr>
            <w:r>
              <w:rPr>
                <w:rFonts w:cs="Arial"/>
                <w:color w:val="000000"/>
              </w:rPr>
              <w:t> </w:t>
            </w:r>
          </w:p>
        </w:tc>
        <w:tc>
          <w:tcPr>
            <w:tcW w:w="1219" w:type="dxa"/>
            <w:tcBorders>
              <w:top w:val="nil"/>
              <w:left w:val="nil"/>
              <w:bottom w:val="single" w:sz="4" w:space="0" w:color="auto"/>
              <w:right w:val="single" w:sz="4" w:space="0" w:color="auto"/>
            </w:tcBorders>
            <w:vAlign w:val="center"/>
            <w:hideMark/>
          </w:tcPr>
          <w:p w14:paraId="1299C36B" w14:textId="77777777" w:rsidR="00F8048E" w:rsidRDefault="00F8048E" w:rsidP="00CB6587">
            <w:pPr>
              <w:rPr>
                <w:rFonts w:cs="Arial"/>
                <w:color w:val="000000"/>
              </w:rPr>
            </w:pPr>
            <w:r>
              <w:rPr>
                <w:rFonts w:cs="Arial"/>
                <w:color w:val="000000"/>
              </w:rPr>
              <w:t> </w:t>
            </w:r>
          </w:p>
        </w:tc>
        <w:tc>
          <w:tcPr>
            <w:tcW w:w="1332" w:type="dxa"/>
            <w:tcBorders>
              <w:top w:val="nil"/>
              <w:left w:val="nil"/>
              <w:bottom w:val="single" w:sz="4" w:space="0" w:color="auto"/>
              <w:right w:val="single" w:sz="4" w:space="0" w:color="auto"/>
            </w:tcBorders>
            <w:vAlign w:val="center"/>
            <w:hideMark/>
          </w:tcPr>
          <w:p w14:paraId="2FEAA1BC" w14:textId="77777777" w:rsidR="00F8048E" w:rsidRDefault="00F8048E" w:rsidP="00CB6587">
            <w:pPr>
              <w:jc w:val="center"/>
              <w:rPr>
                <w:rFonts w:cs="Arial"/>
                <w:color w:val="000000"/>
              </w:rPr>
            </w:pPr>
            <w:r>
              <w:rPr>
                <w:rFonts w:cs="Arial"/>
                <w:color w:val="000000"/>
              </w:rPr>
              <w:t>Average dwellings completed</w:t>
            </w:r>
          </w:p>
        </w:tc>
        <w:tc>
          <w:tcPr>
            <w:tcW w:w="1560" w:type="dxa"/>
            <w:tcBorders>
              <w:top w:val="nil"/>
              <w:left w:val="nil"/>
              <w:bottom w:val="single" w:sz="4" w:space="0" w:color="auto"/>
              <w:right w:val="single" w:sz="4" w:space="0" w:color="auto"/>
            </w:tcBorders>
            <w:vAlign w:val="center"/>
            <w:hideMark/>
          </w:tcPr>
          <w:p w14:paraId="574B762C" w14:textId="77777777" w:rsidR="00F8048E" w:rsidRDefault="00F8048E" w:rsidP="00CB6587">
            <w:pPr>
              <w:jc w:val="center"/>
              <w:rPr>
                <w:rFonts w:cs="Arial"/>
                <w:color w:val="000000"/>
              </w:rPr>
            </w:pPr>
            <w:r>
              <w:rPr>
                <w:rFonts w:cs="Arial"/>
                <w:color w:val="000000"/>
              </w:rPr>
              <w:t>Average years for work to start after permission</w:t>
            </w:r>
          </w:p>
        </w:tc>
        <w:tc>
          <w:tcPr>
            <w:tcW w:w="1559" w:type="dxa"/>
            <w:tcBorders>
              <w:top w:val="nil"/>
              <w:left w:val="nil"/>
              <w:bottom w:val="single" w:sz="4" w:space="0" w:color="auto"/>
              <w:right w:val="single" w:sz="4" w:space="0" w:color="auto"/>
            </w:tcBorders>
            <w:vAlign w:val="center"/>
            <w:hideMark/>
          </w:tcPr>
          <w:p w14:paraId="05015DC4" w14:textId="77777777" w:rsidR="00F8048E" w:rsidRDefault="00F8048E" w:rsidP="00CB6587">
            <w:pPr>
              <w:jc w:val="center"/>
              <w:rPr>
                <w:rFonts w:cs="Arial"/>
                <w:color w:val="000000"/>
              </w:rPr>
            </w:pPr>
            <w:r>
              <w:rPr>
                <w:rFonts w:cs="Arial"/>
                <w:color w:val="000000"/>
              </w:rPr>
              <w:t>Average number of dwellings built per year</w:t>
            </w:r>
          </w:p>
        </w:tc>
        <w:tc>
          <w:tcPr>
            <w:tcW w:w="1559" w:type="dxa"/>
            <w:tcBorders>
              <w:top w:val="nil"/>
              <w:left w:val="nil"/>
              <w:bottom w:val="single" w:sz="4" w:space="0" w:color="auto"/>
              <w:right w:val="single" w:sz="4" w:space="0" w:color="auto"/>
            </w:tcBorders>
            <w:vAlign w:val="bottom"/>
            <w:hideMark/>
          </w:tcPr>
          <w:p w14:paraId="2076CB46" w14:textId="77777777" w:rsidR="00F8048E" w:rsidRDefault="00F8048E" w:rsidP="00CB6587">
            <w:pPr>
              <w:rPr>
                <w:rFonts w:cs="Arial"/>
                <w:color w:val="000000"/>
                <w:sz w:val="22"/>
              </w:rPr>
            </w:pPr>
            <w:r>
              <w:rPr>
                <w:rFonts w:cs="Arial"/>
                <w:color w:val="000000"/>
                <w:sz w:val="22"/>
              </w:rPr>
              <w:t>Average number of years from start to completion</w:t>
            </w:r>
          </w:p>
        </w:tc>
      </w:tr>
      <w:tr w:rsidR="00F8048E" w14:paraId="3C2B2721" w14:textId="77777777" w:rsidTr="00A843E5">
        <w:trPr>
          <w:trHeight w:val="903"/>
        </w:trPr>
        <w:tc>
          <w:tcPr>
            <w:tcW w:w="1867" w:type="dxa"/>
            <w:tcBorders>
              <w:top w:val="nil"/>
              <w:left w:val="single" w:sz="4" w:space="0" w:color="auto"/>
              <w:bottom w:val="single" w:sz="4" w:space="0" w:color="auto"/>
              <w:right w:val="single" w:sz="4" w:space="0" w:color="auto"/>
            </w:tcBorders>
            <w:vAlign w:val="center"/>
            <w:hideMark/>
          </w:tcPr>
          <w:p w14:paraId="09EBE870" w14:textId="77777777" w:rsidR="00F8048E" w:rsidRDefault="00F8048E" w:rsidP="00CB6587">
            <w:pPr>
              <w:rPr>
                <w:rFonts w:cs="Arial"/>
                <w:color w:val="000000"/>
                <w:szCs w:val="24"/>
              </w:rPr>
            </w:pPr>
            <w:r>
              <w:rPr>
                <w:rFonts w:cs="Arial"/>
                <w:color w:val="000000"/>
              </w:rPr>
              <w:t>Number of developers on site</w:t>
            </w:r>
          </w:p>
        </w:tc>
        <w:tc>
          <w:tcPr>
            <w:tcW w:w="1219" w:type="dxa"/>
            <w:tcBorders>
              <w:top w:val="nil"/>
              <w:left w:val="nil"/>
              <w:bottom w:val="single" w:sz="4" w:space="0" w:color="auto"/>
              <w:right w:val="single" w:sz="4" w:space="0" w:color="auto"/>
            </w:tcBorders>
            <w:vAlign w:val="center"/>
            <w:hideMark/>
          </w:tcPr>
          <w:p w14:paraId="3A40D998" w14:textId="77777777" w:rsidR="00F8048E" w:rsidRDefault="00F8048E" w:rsidP="00CB6587">
            <w:pPr>
              <w:rPr>
                <w:rFonts w:cs="Arial"/>
                <w:color w:val="000000"/>
              </w:rPr>
            </w:pPr>
            <w:r>
              <w:rPr>
                <w:rFonts w:cs="Arial"/>
                <w:color w:val="000000"/>
              </w:rPr>
              <w:t> </w:t>
            </w:r>
          </w:p>
        </w:tc>
        <w:tc>
          <w:tcPr>
            <w:tcW w:w="1332" w:type="dxa"/>
            <w:tcBorders>
              <w:top w:val="nil"/>
              <w:left w:val="nil"/>
              <w:bottom w:val="single" w:sz="4" w:space="0" w:color="auto"/>
              <w:right w:val="single" w:sz="4" w:space="0" w:color="auto"/>
            </w:tcBorders>
            <w:vAlign w:val="center"/>
            <w:hideMark/>
          </w:tcPr>
          <w:p w14:paraId="64E86BF1" w14:textId="77777777" w:rsidR="00F8048E" w:rsidRDefault="00F8048E" w:rsidP="00CB6587">
            <w:pPr>
              <w:jc w:val="center"/>
              <w:rPr>
                <w:rFonts w:cs="Arial"/>
                <w:color w:val="000000"/>
              </w:rPr>
            </w:pPr>
            <w:r>
              <w:rPr>
                <w:rFonts w:cs="Arial"/>
                <w:color w:val="000000"/>
              </w:rPr>
              <w:t>1</w:t>
            </w:r>
          </w:p>
        </w:tc>
        <w:tc>
          <w:tcPr>
            <w:tcW w:w="1560" w:type="dxa"/>
            <w:tcBorders>
              <w:top w:val="nil"/>
              <w:left w:val="nil"/>
              <w:bottom w:val="single" w:sz="4" w:space="0" w:color="auto"/>
              <w:right w:val="single" w:sz="4" w:space="0" w:color="auto"/>
            </w:tcBorders>
            <w:vAlign w:val="center"/>
            <w:hideMark/>
          </w:tcPr>
          <w:p w14:paraId="4381E095" w14:textId="77777777" w:rsidR="00F8048E" w:rsidRDefault="00F8048E" w:rsidP="00CB6587">
            <w:pPr>
              <w:jc w:val="center"/>
              <w:rPr>
                <w:rFonts w:cs="Arial"/>
                <w:color w:val="000000"/>
              </w:rPr>
            </w:pPr>
            <w:r>
              <w:rPr>
                <w:rFonts w:cs="Arial"/>
                <w:color w:val="000000"/>
              </w:rPr>
              <w:t>1</w:t>
            </w:r>
          </w:p>
        </w:tc>
        <w:tc>
          <w:tcPr>
            <w:tcW w:w="1559" w:type="dxa"/>
            <w:tcBorders>
              <w:top w:val="nil"/>
              <w:left w:val="nil"/>
              <w:bottom w:val="single" w:sz="4" w:space="0" w:color="auto"/>
              <w:right w:val="single" w:sz="4" w:space="0" w:color="auto"/>
            </w:tcBorders>
            <w:vAlign w:val="center"/>
            <w:hideMark/>
          </w:tcPr>
          <w:p w14:paraId="68917A69" w14:textId="77777777" w:rsidR="00F8048E" w:rsidRDefault="00F8048E" w:rsidP="00CB6587">
            <w:pPr>
              <w:jc w:val="center"/>
              <w:rPr>
                <w:rFonts w:cs="Arial"/>
                <w:color w:val="000000"/>
              </w:rPr>
            </w:pPr>
            <w:r>
              <w:rPr>
                <w:rFonts w:cs="Arial"/>
                <w:color w:val="000000"/>
              </w:rPr>
              <w:t>1</w:t>
            </w:r>
          </w:p>
        </w:tc>
        <w:tc>
          <w:tcPr>
            <w:tcW w:w="1559" w:type="dxa"/>
            <w:tcBorders>
              <w:top w:val="nil"/>
              <w:left w:val="nil"/>
              <w:bottom w:val="single" w:sz="4" w:space="0" w:color="auto"/>
              <w:right w:val="single" w:sz="4" w:space="0" w:color="auto"/>
            </w:tcBorders>
            <w:noWrap/>
            <w:vAlign w:val="bottom"/>
            <w:hideMark/>
          </w:tcPr>
          <w:p w14:paraId="3011F685" w14:textId="77777777" w:rsidR="00F8048E" w:rsidRDefault="00F8048E" w:rsidP="00CB6587">
            <w:pPr>
              <w:rPr>
                <w:rFonts w:ascii="Calibri" w:hAnsi="Calibri" w:cs="Calibri"/>
                <w:color w:val="000000"/>
                <w:sz w:val="22"/>
              </w:rPr>
            </w:pPr>
            <w:r>
              <w:rPr>
                <w:rFonts w:ascii="Calibri" w:hAnsi="Calibri" w:cs="Calibri"/>
                <w:color w:val="000000"/>
                <w:sz w:val="22"/>
              </w:rPr>
              <w:t> </w:t>
            </w:r>
          </w:p>
        </w:tc>
      </w:tr>
      <w:tr w:rsidR="00F8048E" w14:paraId="660C6EAF" w14:textId="77777777" w:rsidTr="00A843E5">
        <w:trPr>
          <w:trHeight w:val="846"/>
        </w:trPr>
        <w:tc>
          <w:tcPr>
            <w:tcW w:w="1867" w:type="dxa"/>
            <w:tcBorders>
              <w:top w:val="nil"/>
              <w:left w:val="single" w:sz="4" w:space="0" w:color="auto"/>
              <w:bottom w:val="single" w:sz="4" w:space="0" w:color="auto"/>
              <w:right w:val="single" w:sz="4" w:space="0" w:color="auto"/>
            </w:tcBorders>
            <w:vAlign w:val="center"/>
            <w:hideMark/>
          </w:tcPr>
          <w:p w14:paraId="5E88FC85" w14:textId="77777777" w:rsidR="00F8048E" w:rsidRDefault="00F8048E" w:rsidP="00CB6587">
            <w:pPr>
              <w:rPr>
                <w:rFonts w:cs="Arial"/>
                <w:color w:val="000000"/>
                <w:szCs w:val="24"/>
              </w:rPr>
            </w:pPr>
            <w:r>
              <w:rPr>
                <w:rFonts w:cs="Arial"/>
                <w:color w:val="000000"/>
              </w:rPr>
              <w:t>New build</w:t>
            </w:r>
          </w:p>
        </w:tc>
        <w:tc>
          <w:tcPr>
            <w:tcW w:w="1219" w:type="dxa"/>
            <w:tcBorders>
              <w:top w:val="nil"/>
              <w:left w:val="nil"/>
              <w:bottom w:val="single" w:sz="4" w:space="0" w:color="auto"/>
              <w:right w:val="single" w:sz="4" w:space="0" w:color="auto"/>
            </w:tcBorders>
            <w:vAlign w:val="center"/>
            <w:hideMark/>
          </w:tcPr>
          <w:p w14:paraId="484C6ADC" w14:textId="77777777" w:rsidR="00F8048E" w:rsidRDefault="00F8048E" w:rsidP="00CB6587">
            <w:pPr>
              <w:rPr>
                <w:rFonts w:cs="Arial"/>
                <w:color w:val="000000"/>
              </w:rPr>
            </w:pPr>
            <w:r>
              <w:rPr>
                <w:rFonts w:cs="Arial"/>
                <w:color w:val="000000"/>
              </w:rPr>
              <w:t>1 to 9 dwellings</w:t>
            </w:r>
          </w:p>
        </w:tc>
        <w:tc>
          <w:tcPr>
            <w:tcW w:w="1332" w:type="dxa"/>
            <w:tcBorders>
              <w:top w:val="nil"/>
              <w:left w:val="nil"/>
              <w:bottom w:val="single" w:sz="4" w:space="0" w:color="auto"/>
              <w:right w:val="single" w:sz="4" w:space="0" w:color="auto"/>
            </w:tcBorders>
            <w:shd w:val="clear" w:color="000000" w:fill="FFFFFF"/>
            <w:vAlign w:val="center"/>
            <w:hideMark/>
          </w:tcPr>
          <w:p w14:paraId="36AC4D05" w14:textId="77777777" w:rsidR="00F8048E" w:rsidRDefault="00F8048E" w:rsidP="00CB6587">
            <w:pPr>
              <w:jc w:val="center"/>
              <w:rPr>
                <w:rFonts w:cs="Arial"/>
                <w:color w:val="000000"/>
              </w:rPr>
            </w:pPr>
            <w:r>
              <w:rPr>
                <w:rFonts w:cs="Arial"/>
                <w:color w:val="000000"/>
              </w:rPr>
              <w:t>3.44</w:t>
            </w:r>
          </w:p>
        </w:tc>
        <w:tc>
          <w:tcPr>
            <w:tcW w:w="1560" w:type="dxa"/>
            <w:tcBorders>
              <w:top w:val="nil"/>
              <w:left w:val="nil"/>
              <w:bottom w:val="single" w:sz="4" w:space="0" w:color="auto"/>
              <w:right w:val="single" w:sz="4" w:space="0" w:color="auto"/>
            </w:tcBorders>
            <w:shd w:val="clear" w:color="000000" w:fill="FFFFFF"/>
            <w:vAlign w:val="center"/>
            <w:hideMark/>
          </w:tcPr>
          <w:p w14:paraId="0B137D28" w14:textId="77777777" w:rsidR="00F8048E" w:rsidRDefault="00F8048E" w:rsidP="00CB6587">
            <w:pPr>
              <w:jc w:val="center"/>
              <w:rPr>
                <w:rFonts w:cs="Arial"/>
                <w:color w:val="000000"/>
              </w:rPr>
            </w:pPr>
            <w:r>
              <w:rPr>
                <w:rFonts w:cs="Arial"/>
                <w:color w:val="000000"/>
              </w:rPr>
              <w:t>1.46</w:t>
            </w:r>
          </w:p>
        </w:tc>
        <w:tc>
          <w:tcPr>
            <w:tcW w:w="1559" w:type="dxa"/>
            <w:tcBorders>
              <w:top w:val="nil"/>
              <w:left w:val="nil"/>
              <w:bottom w:val="single" w:sz="4" w:space="0" w:color="auto"/>
              <w:right w:val="single" w:sz="4" w:space="0" w:color="auto"/>
            </w:tcBorders>
            <w:shd w:val="clear" w:color="000000" w:fill="FFFFFF"/>
            <w:vAlign w:val="center"/>
            <w:hideMark/>
          </w:tcPr>
          <w:p w14:paraId="05B50DD3" w14:textId="77777777" w:rsidR="00F8048E" w:rsidRDefault="00F8048E" w:rsidP="00CB6587">
            <w:pPr>
              <w:jc w:val="center"/>
              <w:rPr>
                <w:rFonts w:cs="Arial"/>
                <w:color w:val="000000"/>
              </w:rPr>
            </w:pPr>
            <w:r>
              <w:rPr>
                <w:rFonts w:cs="Arial"/>
                <w:color w:val="000000"/>
              </w:rPr>
              <w:t>2.43</w:t>
            </w:r>
          </w:p>
        </w:tc>
        <w:tc>
          <w:tcPr>
            <w:tcW w:w="1559" w:type="dxa"/>
            <w:tcBorders>
              <w:top w:val="nil"/>
              <w:left w:val="nil"/>
              <w:bottom w:val="single" w:sz="4" w:space="0" w:color="auto"/>
              <w:right w:val="single" w:sz="4" w:space="0" w:color="auto"/>
            </w:tcBorders>
            <w:noWrap/>
            <w:vAlign w:val="bottom"/>
            <w:hideMark/>
          </w:tcPr>
          <w:p w14:paraId="0DE0042A" w14:textId="77777777" w:rsidR="00F8048E" w:rsidRDefault="00A843E5" w:rsidP="00A843E5">
            <w:pPr>
              <w:rPr>
                <w:rFonts w:ascii="Calibri" w:hAnsi="Calibri" w:cs="Calibri"/>
                <w:color w:val="000000"/>
                <w:sz w:val="22"/>
              </w:rPr>
            </w:pPr>
            <w:r>
              <w:rPr>
                <w:rFonts w:ascii="Calibri" w:hAnsi="Calibri" w:cs="Calibri"/>
                <w:color w:val="000000"/>
                <w:sz w:val="22"/>
              </w:rPr>
              <w:t xml:space="preserve">                   </w:t>
            </w:r>
            <w:r w:rsidR="00F8048E">
              <w:rPr>
                <w:rFonts w:ascii="Calibri" w:hAnsi="Calibri" w:cs="Calibri"/>
                <w:color w:val="000000"/>
                <w:sz w:val="22"/>
              </w:rPr>
              <w:t>1.41</w:t>
            </w:r>
          </w:p>
        </w:tc>
      </w:tr>
      <w:tr w:rsidR="00F8048E" w14:paraId="350F210E" w14:textId="77777777" w:rsidTr="00A843E5">
        <w:trPr>
          <w:trHeight w:val="1127"/>
        </w:trPr>
        <w:tc>
          <w:tcPr>
            <w:tcW w:w="1867" w:type="dxa"/>
            <w:tcBorders>
              <w:top w:val="nil"/>
              <w:left w:val="single" w:sz="4" w:space="0" w:color="auto"/>
              <w:bottom w:val="single" w:sz="4" w:space="0" w:color="auto"/>
              <w:right w:val="single" w:sz="4" w:space="0" w:color="auto"/>
            </w:tcBorders>
            <w:vAlign w:val="center"/>
            <w:hideMark/>
          </w:tcPr>
          <w:p w14:paraId="05FF2EF5" w14:textId="77777777" w:rsidR="00F8048E" w:rsidRDefault="00F8048E" w:rsidP="00CB6587">
            <w:pPr>
              <w:rPr>
                <w:rFonts w:cs="Arial"/>
                <w:color w:val="000000"/>
                <w:szCs w:val="24"/>
              </w:rPr>
            </w:pPr>
            <w:r>
              <w:rPr>
                <w:rFonts w:cs="Arial"/>
                <w:color w:val="000000"/>
              </w:rPr>
              <w:t> </w:t>
            </w:r>
          </w:p>
        </w:tc>
        <w:tc>
          <w:tcPr>
            <w:tcW w:w="1219" w:type="dxa"/>
            <w:tcBorders>
              <w:top w:val="nil"/>
              <w:left w:val="nil"/>
              <w:bottom w:val="single" w:sz="4" w:space="0" w:color="auto"/>
              <w:right w:val="single" w:sz="4" w:space="0" w:color="auto"/>
            </w:tcBorders>
            <w:vAlign w:val="center"/>
            <w:hideMark/>
          </w:tcPr>
          <w:p w14:paraId="29B91864" w14:textId="77777777" w:rsidR="00F8048E" w:rsidRDefault="00F8048E" w:rsidP="00CB6587">
            <w:pPr>
              <w:rPr>
                <w:rFonts w:cs="Arial"/>
                <w:color w:val="000000"/>
              </w:rPr>
            </w:pPr>
            <w:r>
              <w:rPr>
                <w:rFonts w:cs="Arial"/>
                <w:color w:val="000000"/>
              </w:rPr>
              <w:t>10 to 49 dwellings</w:t>
            </w:r>
          </w:p>
        </w:tc>
        <w:tc>
          <w:tcPr>
            <w:tcW w:w="1332" w:type="dxa"/>
            <w:tcBorders>
              <w:top w:val="nil"/>
              <w:left w:val="nil"/>
              <w:bottom w:val="single" w:sz="4" w:space="0" w:color="auto"/>
              <w:right w:val="single" w:sz="4" w:space="0" w:color="auto"/>
            </w:tcBorders>
            <w:shd w:val="clear" w:color="000000" w:fill="FFFFFF"/>
            <w:vAlign w:val="center"/>
            <w:hideMark/>
          </w:tcPr>
          <w:p w14:paraId="3CE96E53" w14:textId="77777777" w:rsidR="00F8048E" w:rsidRDefault="00F8048E" w:rsidP="00CB6587">
            <w:pPr>
              <w:jc w:val="center"/>
              <w:rPr>
                <w:rFonts w:cs="Arial"/>
                <w:color w:val="000000"/>
              </w:rPr>
            </w:pPr>
            <w:r>
              <w:rPr>
                <w:rFonts w:cs="Arial"/>
                <w:color w:val="000000"/>
              </w:rPr>
              <w:t>23.67</w:t>
            </w:r>
          </w:p>
        </w:tc>
        <w:tc>
          <w:tcPr>
            <w:tcW w:w="1560" w:type="dxa"/>
            <w:tcBorders>
              <w:top w:val="nil"/>
              <w:left w:val="nil"/>
              <w:bottom w:val="single" w:sz="4" w:space="0" w:color="auto"/>
              <w:right w:val="single" w:sz="4" w:space="0" w:color="auto"/>
            </w:tcBorders>
            <w:shd w:val="clear" w:color="000000" w:fill="FFFFFF"/>
            <w:vAlign w:val="center"/>
            <w:hideMark/>
          </w:tcPr>
          <w:p w14:paraId="623A3041" w14:textId="77777777" w:rsidR="00F8048E" w:rsidRDefault="00F8048E" w:rsidP="00CB6587">
            <w:pPr>
              <w:jc w:val="center"/>
              <w:rPr>
                <w:rFonts w:cs="Arial"/>
                <w:color w:val="000000"/>
              </w:rPr>
            </w:pPr>
            <w:r>
              <w:rPr>
                <w:rFonts w:cs="Arial"/>
                <w:color w:val="000000"/>
              </w:rPr>
              <w:t>1.04</w:t>
            </w:r>
          </w:p>
        </w:tc>
        <w:tc>
          <w:tcPr>
            <w:tcW w:w="1559" w:type="dxa"/>
            <w:tcBorders>
              <w:top w:val="nil"/>
              <w:left w:val="nil"/>
              <w:bottom w:val="single" w:sz="4" w:space="0" w:color="auto"/>
              <w:right w:val="single" w:sz="4" w:space="0" w:color="auto"/>
            </w:tcBorders>
            <w:shd w:val="clear" w:color="000000" w:fill="FFFFFF"/>
            <w:vAlign w:val="center"/>
            <w:hideMark/>
          </w:tcPr>
          <w:p w14:paraId="6D5A201A" w14:textId="77777777" w:rsidR="00F8048E" w:rsidRDefault="00F8048E" w:rsidP="00CB6587">
            <w:pPr>
              <w:jc w:val="center"/>
              <w:rPr>
                <w:rFonts w:cs="Arial"/>
                <w:color w:val="000000"/>
              </w:rPr>
            </w:pPr>
            <w:r>
              <w:rPr>
                <w:rFonts w:cs="Arial"/>
                <w:color w:val="000000"/>
              </w:rPr>
              <w:t>17.5</w:t>
            </w:r>
          </w:p>
        </w:tc>
        <w:tc>
          <w:tcPr>
            <w:tcW w:w="1559" w:type="dxa"/>
            <w:tcBorders>
              <w:top w:val="nil"/>
              <w:left w:val="nil"/>
              <w:bottom w:val="single" w:sz="4" w:space="0" w:color="auto"/>
              <w:right w:val="single" w:sz="4" w:space="0" w:color="auto"/>
            </w:tcBorders>
            <w:noWrap/>
            <w:vAlign w:val="bottom"/>
            <w:hideMark/>
          </w:tcPr>
          <w:p w14:paraId="358E7444" w14:textId="77777777" w:rsidR="00F8048E" w:rsidRDefault="00F8048E" w:rsidP="00CB6587">
            <w:pPr>
              <w:jc w:val="right"/>
              <w:rPr>
                <w:rFonts w:ascii="Calibri" w:hAnsi="Calibri" w:cs="Calibri"/>
                <w:color w:val="000000"/>
                <w:sz w:val="22"/>
              </w:rPr>
            </w:pPr>
            <w:r>
              <w:rPr>
                <w:rFonts w:ascii="Calibri" w:hAnsi="Calibri" w:cs="Calibri"/>
                <w:color w:val="000000"/>
                <w:sz w:val="22"/>
              </w:rPr>
              <w:t>1.35</w:t>
            </w:r>
          </w:p>
        </w:tc>
      </w:tr>
      <w:tr w:rsidR="00F8048E" w14:paraId="250664A8" w14:textId="77777777" w:rsidTr="00A843E5">
        <w:trPr>
          <w:trHeight w:val="973"/>
        </w:trPr>
        <w:tc>
          <w:tcPr>
            <w:tcW w:w="1867" w:type="dxa"/>
            <w:tcBorders>
              <w:top w:val="nil"/>
              <w:left w:val="single" w:sz="4" w:space="0" w:color="auto"/>
              <w:bottom w:val="single" w:sz="4" w:space="0" w:color="auto"/>
              <w:right w:val="single" w:sz="4" w:space="0" w:color="auto"/>
            </w:tcBorders>
            <w:vAlign w:val="center"/>
            <w:hideMark/>
          </w:tcPr>
          <w:p w14:paraId="2073F373" w14:textId="77777777" w:rsidR="00F8048E" w:rsidRDefault="00F8048E" w:rsidP="00CB6587">
            <w:pPr>
              <w:rPr>
                <w:rFonts w:cs="Arial"/>
                <w:color w:val="000000"/>
                <w:szCs w:val="24"/>
              </w:rPr>
            </w:pPr>
            <w:r>
              <w:rPr>
                <w:rFonts w:cs="Arial"/>
                <w:color w:val="000000"/>
              </w:rPr>
              <w:t> </w:t>
            </w:r>
          </w:p>
        </w:tc>
        <w:tc>
          <w:tcPr>
            <w:tcW w:w="1219" w:type="dxa"/>
            <w:tcBorders>
              <w:top w:val="nil"/>
              <w:left w:val="nil"/>
              <w:bottom w:val="single" w:sz="4" w:space="0" w:color="auto"/>
              <w:right w:val="single" w:sz="4" w:space="0" w:color="auto"/>
            </w:tcBorders>
            <w:vAlign w:val="center"/>
            <w:hideMark/>
          </w:tcPr>
          <w:p w14:paraId="1B4F42B2" w14:textId="77777777" w:rsidR="00F8048E" w:rsidRDefault="00F8048E" w:rsidP="00CB6587">
            <w:pPr>
              <w:rPr>
                <w:rFonts w:cs="Arial"/>
                <w:color w:val="000000"/>
              </w:rPr>
            </w:pPr>
            <w:r>
              <w:rPr>
                <w:rFonts w:cs="Arial"/>
                <w:color w:val="000000"/>
              </w:rPr>
              <w:t>50+ dwellings</w:t>
            </w:r>
          </w:p>
        </w:tc>
        <w:tc>
          <w:tcPr>
            <w:tcW w:w="1332" w:type="dxa"/>
            <w:tcBorders>
              <w:top w:val="nil"/>
              <w:left w:val="nil"/>
              <w:bottom w:val="single" w:sz="4" w:space="0" w:color="auto"/>
              <w:right w:val="single" w:sz="4" w:space="0" w:color="auto"/>
            </w:tcBorders>
            <w:shd w:val="clear" w:color="000000" w:fill="FFFFFF"/>
            <w:vAlign w:val="center"/>
            <w:hideMark/>
          </w:tcPr>
          <w:p w14:paraId="4ABE57D1" w14:textId="77777777" w:rsidR="00F8048E" w:rsidRDefault="00F8048E" w:rsidP="00CB6587">
            <w:pPr>
              <w:jc w:val="center"/>
              <w:rPr>
                <w:rFonts w:cs="Arial"/>
                <w:color w:val="000000"/>
              </w:rPr>
            </w:pPr>
            <w:r>
              <w:rPr>
                <w:rFonts w:cs="Arial"/>
                <w:color w:val="000000"/>
              </w:rPr>
              <w:t>135.2</w:t>
            </w:r>
          </w:p>
        </w:tc>
        <w:tc>
          <w:tcPr>
            <w:tcW w:w="1560" w:type="dxa"/>
            <w:tcBorders>
              <w:top w:val="nil"/>
              <w:left w:val="nil"/>
              <w:bottom w:val="single" w:sz="4" w:space="0" w:color="auto"/>
              <w:right w:val="single" w:sz="4" w:space="0" w:color="auto"/>
            </w:tcBorders>
            <w:shd w:val="clear" w:color="000000" w:fill="FFFFFF"/>
            <w:vAlign w:val="center"/>
            <w:hideMark/>
          </w:tcPr>
          <w:p w14:paraId="033BCCC3" w14:textId="77777777" w:rsidR="00F8048E" w:rsidRDefault="00F8048E" w:rsidP="00CB6587">
            <w:pPr>
              <w:jc w:val="center"/>
              <w:rPr>
                <w:rFonts w:cs="Arial"/>
                <w:color w:val="000000"/>
              </w:rPr>
            </w:pPr>
            <w:r>
              <w:rPr>
                <w:rFonts w:cs="Arial"/>
                <w:color w:val="000000"/>
              </w:rPr>
              <w:t>0.76</w:t>
            </w:r>
          </w:p>
        </w:tc>
        <w:tc>
          <w:tcPr>
            <w:tcW w:w="1559" w:type="dxa"/>
            <w:tcBorders>
              <w:top w:val="nil"/>
              <w:left w:val="nil"/>
              <w:bottom w:val="single" w:sz="4" w:space="0" w:color="auto"/>
              <w:right w:val="single" w:sz="4" w:space="0" w:color="auto"/>
            </w:tcBorders>
            <w:shd w:val="clear" w:color="000000" w:fill="FFFFFF"/>
            <w:vAlign w:val="center"/>
            <w:hideMark/>
          </w:tcPr>
          <w:p w14:paraId="282B1488" w14:textId="77777777" w:rsidR="00F8048E" w:rsidRDefault="00F8048E" w:rsidP="00CB6587">
            <w:pPr>
              <w:jc w:val="center"/>
              <w:rPr>
                <w:rFonts w:cs="Arial"/>
                <w:color w:val="000000"/>
              </w:rPr>
            </w:pPr>
            <w:r>
              <w:rPr>
                <w:rFonts w:cs="Arial"/>
                <w:color w:val="000000"/>
              </w:rPr>
              <w:t>76.4</w:t>
            </w:r>
          </w:p>
        </w:tc>
        <w:tc>
          <w:tcPr>
            <w:tcW w:w="1559" w:type="dxa"/>
            <w:tcBorders>
              <w:top w:val="nil"/>
              <w:left w:val="nil"/>
              <w:bottom w:val="single" w:sz="4" w:space="0" w:color="auto"/>
              <w:right w:val="single" w:sz="4" w:space="0" w:color="auto"/>
            </w:tcBorders>
            <w:noWrap/>
            <w:vAlign w:val="bottom"/>
            <w:hideMark/>
          </w:tcPr>
          <w:p w14:paraId="17BF6806" w14:textId="77777777" w:rsidR="00F8048E" w:rsidRDefault="00F8048E" w:rsidP="00CB6587">
            <w:pPr>
              <w:jc w:val="right"/>
              <w:rPr>
                <w:rFonts w:ascii="Calibri" w:hAnsi="Calibri" w:cs="Calibri"/>
                <w:color w:val="000000"/>
                <w:sz w:val="22"/>
              </w:rPr>
            </w:pPr>
            <w:r>
              <w:rPr>
                <w:rFonts w:ascii="Calibri" w:hAnsi="Calibri" w:cs="Calibri"/>
                <w:color w:val="000000"/>
                <w:sz w:val="22"/>
              </w:rPr>
              <w:t>1.77</w:t>
            </w:r>
          </w:p>
        </w:tc>
      </w:tr>
      <w:tr w:rsidR="00F8048E" w14:paraId="3C3AB63A" w14:textId="77777777" w:rsidTr="00A843E5">
        <w:trPr>
          <w:trHeight w:val="846"/>
        </w:trPr>
        <w:tc>
          <w:tcPr>
            <w:tcW w:w="1867" w:type="dxa"/>
            <w:tcBorders>
              <w:top w:val="nil"/>
              <w:left w:val="single" w:sz="4" w:space="0" w:color="auto"/>
              <w:bottom w:val="single" w:sz="4" w:space="0" w:color="auto"/>
              <w:right w:val="single" w:sz="4" w:space="0" w:color="auto"/>
            </w:tcBorders>
            <w:vAlign w:val="center"/>
            <w:hideMark/>
          </w:tcPr>
          <w:p w14:paraId="01503689" w14:textId="77777777" w:rsidR="00F8048E" w:rsidRDefault="00F8048E" w:rsidP="00CB6587">
            <w:pPr>
              <w:rPr>
                <w:rFonts w:cs="Arial"/>
                <w:color w:val="000000"/>
                <w:szCs w:val="24"/>
              </w:rPr>
            </w:pPr>
            <w:r>
              <w:rPr>
                <w:rFonts w:cs="Arial"/>
                <w:color w:val="000000"/>
              </w:rPr>
              <w:t>Conversion</w:t>
            </w:r>
          </w:p>
        </w:tc>
        <w:tc>
          <w:tcPr>
            <w:tcW w:w="1219" w:type="dxa"/>
            <w:tcBorders>
              <w:top w:val="nil"/>
              <w:left w:val="nil"/>
              <w:bottom w:val="single" w:sz="4" w:space="0" w:color="auto"/>
              <w:right w:val="single" w:sz="4" w:space="0" w:color="auto"/>
            </w:tcBorders>
            <w:vAlign w:val="center"/>
            <w:hideMark/>
          </w:tcPr>
          <w:p w14:paraId="7D48CD67" w14:textId="77777777" w:rsidR="00F8048E" w:rsidRDefault="00F8048E" w:rsidP="00CB6587">
            <w:pPr>
              <w:rPr>
                <w:rFonts w:cs="Arial"/>
                <w:color w:val="000000"/>
              </w:rPr>
            </w:pPr>
            <w:r>
              <w:rPr>
                <w:rFonts w:cs="Arial"/>
                <w:color w:val="000000"/>
              </w:rPr>
              <w:t>1 to 9 dwellings</w:t>
            </w:r>
          </w:p>
        </w:tc>
        <w:tc>
          <w:tcPr>
            <w:tcW w:w="1332" w:type="dxa"/>
            <w:tcBorders>
              <w:top w:val="nil"/>
              <w:left w:val="nil"/>
              <w:bottom w:val="single" w:sz="4" w:space="0" w:color="auto"/>
              <w:right w:val="single" w:sz="4" w:space="0" w:color="auto"/>
            </w:tcBorders>
            <w:shd w:val="clear" w:color="000000" w:fill="FFFFFF"/>
            <w:vAlign w:val="center"/>
            <w:hideMark/>
          </w:tcPr>
          <w:p w14:paraId="6CFCEBFE" w14:textId="77777777" w:rsidR="00F8048E" w:rsidRDefault="00F8048E" w:rsidP="00CB6587">
            <w:pPr>
              <w:jc w:val="center"/>
              <w:rPr>
                <w:rFonts w:cs="Arial"/>
                <w:color w:val="000000"/>
              </w:rPr>
            </w:pPr>
            <w:r>
              <w:rPr>
                <w:rFonts w:cs="Arial"/>
                <w:color w:val="000000"/>
              </w:rPr>
              <w:t>2.19</w:t>
            </w:r>
          </w:p>
        </w:tc>
        <w:tc>
          <w:tcPr>
            <w:tcW w:w="1560" w:type="dxa"/>
            <w:tcBorders>
              <w:top w:val="nil"/>
              <w:left w:val="nil"/>
              <w:bottom w:val="single" w:sz="4" w:space="0" w:color="auto"/>
              <w:right w:val="single" w:sz="4" w:space="0" w:color="auto"/>
            </w:tcBorders>
            <w:shd w:val="clear" w:color="000000" w:fill="FFFFFF"/>
            <w:vAlign w:val="center"/>
            <w:hideMark/>
          </w:tcPr>
          <w:p w14:paraId="3DF65327" w14:textId="77777777" w:rsidR="00F8048E" w:rsidRDefault="00F8048E" w:rsidP="00CB6587">
            <w:pPr>
              <w:jc w:val="center"/>
              <w:rPr>
                <w:rFonts w:cs="Arial"/>
                <w:color w:val="000000"/>
              </w:rPr>
            </w:pPr>
            <w:r>
              <w:rPr>
                <w:rFonts w:cs="Arial"/>
                <w:color w:val="000000"/>
              </w:rPr>
              <w:t>0.4</w:t>
            </w:r>
          </w:p>
        </w:tc>
        <w:tc>
          <w:tcPr>
            <w:tcW w:w="1559" w:type="dxa"/>
            <w:tcBorders>
              <w:top w:val="nil"/>
              <w:left w:val="nil"/>
              <w:bottom w:val="single" w:sz="4" w:space="0" w:color="auto"/>
              <w:right w:val="single" w:sz="4" w:space="0" w:color="auto"/>
            </w:tcBorders>
            <w:shd w:val="clear" w:color="000000" w:fill="FFFFFF"/>
            <w:vAlign w:val="center"/>
            <w:hideMark/>
          </w:tcPr>
          <w:p w14:paraId="2DE0DDF4" w14:textId="77777777" w:rsidR="00F8048E" w:rsidRDefault="00F8048E" w:rsidP="00CB6587">
            <w:pPr>
              <w:jc w:val="center"/>
              <w:rPr>
                <w:rFonts w:cs="Arial"/>
                <w:color w:val="000000"/>
              </w:rPr>
            </w:pPr>
            <w:r>
              <w:rPr>
                <w:rFonts w:cs="Arial"/>
                <w:color w:val="000000"/>
              </w:rPr>
              <w:t>4.27</w:t>
            </w:r>
          </w:p>
        </w:tc>
        <w:tc>
          <w:tcPr>
            <w:tcW w:w="1559" w:type="dxa"/>
            <w:tcBorders>
              <w:top w:val="nil"/>
              <w:left w:val="nil"/>
              <w:bottom w:val="single" w:sz="4" w:space="0" w:color="auto"/>
              <w:right w:val="single" w:sz="4" w:space="0" w:color="auto"/>
            </w:tcBorders>
            <w:noWrap/>
            <w:vAlign w:val="bottom"/>
            <w:hideMark/>
          </w:tcPr>
          <w:p w14:paraId="26AFAADD" w14:textId="77777777" w:rsidR="00F8048E" w:rsidRDefault="00F8048E" w:rsidP="00CB6587">
            <w:pPr>
              <w:jc w:val="right"/>
              <w:rPr>
                <w:rFonts w:ascii="Calibri" w:hAnsi="Calibri" w:cs="Calibri"/>
                <w:color w:val="000000"/>
                <w:sz w:val="22"/>
              </w:rPr>
            </w:pPr>
            <w:r>
              <w:rPr>
                <w:rFonts w:ascii="Calibri" w:hAnsi="Calibri" w:cs="Calibri"/>
                <w:color w:val="000000"/>
                <w:sz w:val="22"/>
              </w:rPr>
              <w:t>0.51</w:t>
            </w:r>
          </w:p>
        </w:tc>
      </w:tr>
      <w:tr w:rsidR="00F8048E" w14:paraId="5B023207" w14:textId="77777777" w:rsidTr="00A843E5">
        <w:trPr>
          <w:trHeight w:val="986"/>
        </w:trPr>
        <w:tc>
          <w:tcPr>
            <w:tcW w:w="1867" w:type="dxa"/>
            <w:tcBorders>
              <w:top w:val="nil"/>
              <w:left w:val="single" w:sz="4" w:space="0" w:color="auto"/>
              <w:bottom w:val="single" w:sz="4" w:space="0" w:color="auto"/>
              <w:right w:val="single" w:sz="4" w:space="0" w:color="auto"/>
            </w:tcBorders>
            <w:vAlign w:val="center"/>
            <w:hideMark/>
          </w:tcPr>
          <w:p w14:paraId="336DB606" w14:textId="77777777" w:rsidR="00F8048E" w:rsidRDefault="00F8048E" w:rsidP="00CB6587">
            <w:pPr>
              <w:rPr>
                <w:rFonts w:cs="Arial"/>
                <w:color w:val="000000"/>
                <w:szCs w:val="24"/>
              </w:rPr>
            </w:pPr>
            <w:r>
              <w:rPr>
                <w:rFonts w:cs="Arial"/>
                <w:color w:val="000000"/>
              </w:rPr>
              <w:t> </w:t>
            </w:r>
          </w:p>
        </w:tc>
        <w:tc>
          <w:tcPr>
            <w:tcW w:w="1219" w:type="dxa"/>
            <w:tcBorders>
              <w:top w:val="nil"/>
              <w:left w:val="nil"/>
              <w:bottom w:val="single" w:sz="4" w:space="0" w:color="auto"/>
              <w:right w:val="single" w:sz="4" w:space="0" w:color="auto"/>
            </w:tcBorders>
            <w:vAlign w:val="center"/>
            <w:hideMark/>
          </w:tcPr>
          <w:p w14:paraId="12ECCDB0" w14:textId="77777777" w:rsidR="00F8048E" w:rsidRDefault="00F8048E" w:rsidP="00CB6587">
            <w:pPr>
              <w:rPr>
                <w:rFonts w:cs="Arial"/>
                <w:color w:val="000000"/>
              </w:rPr>
            </w:pPr>
            <w:r>
              <w:rPr>
                <w:rFonts w:cs="Arial"/>
                <w:color w:val="000000"/>
              </w:rPr>
              <w:t>10 to 49 dwellings</w:t>
            </w:r>
          </w:p>
        </w:tc>
        <w:tc>
          <w:tcPr>
            <w:tcW w:w="1332" w:type="dxa"/>
            <w:tcBorders>
              <w:top w:val="nil"/>
              <w:left w:val="nil"/>
              <w:bottom w:val="single" w:sz="4" w:space="0" w:color="auto"/>
              <w:right w:val="single" w:sz="4" w:space="0" w:color="auto"/>
            </w:tcBorders>
            <w:shd w:val="clear" w:color="000000" w:fill="FFFFFF"/>
            <w:vAlign w:val="center"/>
            <w:hideMark/>
          </w:tcPr>
          <w:p w14:paraId="219B93AF" w14:textId="77777777" w:rsidR="00F8048E" w:rsidRDefault="00F8048E" w:rsidP="00CB6587">
            <w:pPr>
              <w:jc w:val="center"/>
              <w:rPr>
                <w:rFonts w:cs="Arial"/>
                <w:color w:val="000000"/>
              </w:rPr>
            </w:pPr>
            <w:r>
              <w:rPr>
                <w:rFonts w:cs="Arial"/>
                <w:color w:val="000000"/>
              </w:rPr>
              <w:t>15.5</w:t>
            </w:r>
          </w:p>
        </w:tc>
        <w:tc>
          <w:tcPr>
            <w:tcW w:w="1560" w:type="dxa"/>
            <w:tcBorders>
              <w:top w:val="nil"/>
              <w:left w:val="nil"/>
              <w:bottom w:val="single" w:sz="4" w:space="0" w:color="auto"/>
              <w:right w:val="single" w:sz="4" w:space="0" w:color="auto"/>
            </w:tcBorders>
            <w:shd w:val="clear" w:color="000000" w:fill="FFFFFF"/>
            <w:vAlign w:val="center"/>
            <w:hideMark/>
          </w:tcPr>
          <w:p w14:paraId="687D63A2" w14:textId="77777777" w:rsidR="00F8048E" w:rsidRDefault="00F8048E" w:rsidP="00CB6587">
            <w:pPr>
              <w:jc w:val="center"/>
              <w:rPr>
                <w:rFonts w:cs="Arial"/>
                <w:color w:val="000000"/>
              </w:rPr>
            </w:pPr>
            <w:r>
              <w:rPr>
                <w:rFonts w:cs="Arial"/>
                <w:color w:val="000000"/>
              </w:rPr>
              <w:t>0.36</w:t>
            </w:r>
          </w:p>
        </w:tc>
        <w:tc>
          <w:tcPr>
            <w:tcW w:w="1559" w:type="dxa"/>
            <w:tcBorders>
              <w:top w:val="nil"/>
              <w:left w:val="nil"/>
              <w:bottom w:val="single" w:sz="4" w:space="0" w:color="auto"/>
              <w:right w:val="single" w:sz="4" w:space="0" w:color="auto"/>
            </w:tcBorders>
            <w:shd w:val="clear" w:color="000000" w:fill="FFFFFF"/>
            <w:vAlign w:val="center"/>
            <w:hideMark/>
          </w:tcPr>
          <w:p w14:paraId="2D642D7F" w14:textId="77777777" w:rsidR="00F8048E" w:rsidRDefault="00F8048E" w:rsidP="00CB6587">
            <w:pPr>
              <w:jc w:val="center"/>
              <w:rPr>
                <w:rFonts w:cs="Arial"/>
                <w:color w:val="000000"/>
              </w:rPr>
            </w:pPr>
            <w:r>
              <w:rPr>
                <w:rFonts w:cs="Arial"/>
                <w:color w:val="000000"/>
              </w:rPr>
              <w:t>29.5</w:t>
            </w:r>
          </w:p>
        </w:tc>
        <w:tc>
          <w:tcPr>
            <w:tcW w:w="1559" w:type="dxa"/>
            <w:tcBorders>
              <w:top w:val="nil"/>
              <w:left w:val="nil"/>
              <w:bottom w:val="single" w:sz="4" w:space="0" w:color="auto"/>
              <w:right w:val="single" w:sz="4" w:space="0" w:color="auto"/>
            </w:tcBorders>
            <w:noWrap/>
            <w:vAlign w:val="bottom"/>
            <w:hideMark/>
          </w:tcPr>
          <w:p w14:paraId="77322D56" w14:textId="77777777" w:rsidR="00F8048E" w:rsidRDefault="00F8048E" w:rsidP="00CB6587">
            <w:pPr>
              <w:jc w:val="right"/>
              <w:rPr>
                <w:rFonts w:ascii="Calibri" w:hAnsi="Calibri" w:cs="Calibri"/>
                <w:color w:val="000000"/>
                <w:sz w:val="22"/>
              </w:rPr>
            </w:pPr>
            <w:r>
              <w:rPr>
                <w:rFonts w:ascii="Calibri" w:hAnsi="Calibri" w:cs="Calibri"/>
                <w:color w:val="000000"/>
                <w:sz w:val="22"/>
              </w:rPr>
              <w:t>1.05</w:t>
            </w:r>
          </w:p>
        </w:tc>
      </w:tr>
      <w:tr w:rsidR="00F8048E" w14:paraId="48851B2F" w14:textId="77777777" w:rsidTr="00A843E5">
        <w:trPr>
          <w:trHeight w:val="1200"/>
        </w:trPr>
        <w:tc>
          <w:tcPr>
            <w:tcW w:w="1867" w:type="dxa"/>
            <w:tcBorders>
              <w:top w:val="nil"/>
              <w:left w:val="single" w:sz="4" w:space="0" w:color="auto"/>
              <w:bottom w:val="single" w:sz="4" w:space="0" w:color="auto"/>
              <w:right w:val="single" w:sz="4" w:space="0" w:color="auto"/>
            </w:tcBorders>
            <w:vAlign w:val="center"/>
            <w:hideMark/>
          </w:tcPr>
          <w:p w14:paraId="7E46250F" w14:textId="77777777" w:rsidR="00F8048E" w:rsidRDefault="00F8048E" w:rsidP="00CB6587">
            <w:pPr>
              <w:rPr>
                <w:rFonts w:cs="Arial"/>
                <w:color w:val="000000"/>
                <w:szCs w:val="24"/>
              </w:rPr>
            </w:pPr>
            <w:r>
              <w:rPr>
                <w:rFonts w:cs="Arial"/>
                <w:color w:val="000000"/>
              </w:rPr>
              <w:t> </w:t>
            </w:r>
          </w:p>
        </w:tc>
        <w:tc>
          <w:tcPr>
            <w:tcW w:w="1219" w:type="dxa"/>
            <w:tcBorders>
              <w:top w:val="nil"/>
              <w:left w:val="nil"/>
              <w:bottom w:val="single" w:sz="4" w:space="0" w:color="auto"/>
              <w:right w:val="single" w:sz="4" w:space="0" w:color="auto"/>
            </w:tcBorders>
            <w:vAlign w:val="center"/>
            <w:hideMark/>
          </w:tcPr>
          <w:p w14:paraId="6408AD94" w14:textId="77777777" w:rsidR="00F8048E" w:rsidRDefault="00F8048E" w:rsidP="00CB6587">
            <w:pPr>
              <w:rPr>
                <w:rFonts w:cs="Arial"/>
                <w:color w:val="000000"/>
              </w:rPr>
            </w:pPr>
            <w:r>
              <w:rPr>
                <w:rFonts w:cs="Arial"/>
                <w:color w:val="000000"/>
              </w:rPr>
              <w:t>50+ dwellings</w:t>
            </w:r>
          </w:p>
        </w:tc>
        <w:tc>
          <w:tcPr>
            <w:tcW w:w="1332" w:type="dxa"/>
            <w:tcBorders>
              <w:top w:val="nil"/>
              <w:left w:val="nil"/>
              <w:bottom w:val="single" w:sz="4" w:space="0" w:color="auto"/>
              <w:right w:val="single" w:sz="4" w:space="0" w:color="auto"/>
            </w:tcBorders>
            <w:shd w:val="clear" w:color="000000" w:fill="FFFFFF"/>
            <w:vAlign w:val="center"/>
            <w:hideMark/>
          </w:tcPr>
          <w:p w14:paraId="3BF7EDCB" w14:textId="77777777" w:rsidR="00F8048E" w:rsidRDefault="00F8048E" w:rsidP="00CB6587">
            <w:pPr>
              <w:jc w:val="center"/>
              <w:rPr>
                <w:rFonts w:cs="Arial"/>
                <w:color w:val="000000"/>
              </w:rPr>
            </w:pPr>
            <w:r>
              <w:rPr>
                <w:rFonts w:cs="Arial"/>
                <w:color w:val="000000"/>
              </w:rPr>
              <w:t>no data</w:t>
            </w:r>
          </w:p>
        </w:tc>
        <w:tc>
          <w:tcPr>
            <w:tcW w:w="1560" w:type="dxa"/>
            <w:tcBorders>
              <w:top w:val="nil"/>
              <w:left w:val="nil"/>
              <w:bottom w:val="single" w:sz="4" w:space="0" w:color="auto"/>
              <w:right w:val="single" w:sz="4" w:space="0" w:color="auto"/>
            </w:tcBorders>
            <w:shd w:val="clear" w:color="000000" w:fill="FFFFFF"/>
            <w:vAlign w:val="center"/>
            <w:hideMark/>
          </w:tcPr>
          <w:p w14:paraId="316A5538" w14:textId="77777777" w:rsidR="00F8048E" w:rsidRDefault="00F8048E" w:rsidP="00CB6587">
            <w:pPr>
              <w:jc w:val="center"/>
              <w:rPr>
                <w:rFonts w:cs="Arial"/>
                <w:color w:val="000000"/>
              </w:rPr>
            </w:pPr>
            <w:r>
              <w:rPr>
                <w:rFonts w:cs="Arial"/>
                <w:color w:val="000000"/>
              </w:rPr>
              <w:t>no data</w:t>
            </w:r>
          </w:p>
        </w:tc>
        <w:tc>
          <w:tcPr>
            <w:tcW w:w="1559" w:type="dxa"/>
            <w:tcBorders>
              <w:top w:val="nil"/>
              <w:left w:val="nil"/>
              <w:bottom w:val="single" w:sz="4" w:space="0" w:color="auto"/>
              <w:right w:val="single" w:sz="4" w:space="0" w:color="auto"/>
            </w:tcBorders>
            <w:shd w:val="clear" w:color="000000" w:fill="FFFFFF"/>
            <w:vAlign w:val="center"/>
            <w:hideMark/>
          </w:tcPr>
          <w:p w14:paraId="57542254" w14:textId="77777777" w:rsidR="00F8048E" w:rsidRDefault="00F8048E" w:rsidP="00CB6587">
            <w:pPr>
              <w:jc w:val="center"/>
              <w:rPr>
                <w:rFonts w:cs="Arial"/>
                <w:color w:val="000000"/>
              </w:rPr>
            </w:pPr>
            <w:r>
              <w:rPr>
                <w:rFonts w:cs="Arial"/>
                <w:color w:val="000000"/>
              </w:rPr>
              <w:t>no data</w:t>
            </w:r>
          </w:p>
        </w:tc>
        <w:tc>
          <w:tcPr>
            <w:tcW w:w="1559" w:type="dxa"/>
            <w:tcBorders>
              <w:top w:val="nil"/>
              <w:left w:val="nil"/>
              <w:bottom w:val="single" w:sz="4" w:space="0" w:color="auto"/>
              <w:right w:val="single" w:sz="4" w:space="0" w:color="auto"/>
            </w:tcBorders>
            <w:noWrap/>
            <w:vAlign w:val="bottom"/>
            <w:hideMark/>
          </w:tcPr>
          <w:p w14:paraId="51B5DA50" w14:textId="77777777" w:rsidR="00F8048E" w:rsidRDefault="00F8048E" w:rsidP="00CB6587">
            <w:pPr>
              <w:rPr>
                <w:rFonts w:ascii="Calibri" w:hAnsi="Calibri" w:cs="Calibri"/>
                <w:color w:val="000000"/>
                <w:sz w:val="22"/>
              </w:rPr>
            </w:pPr>
            <w:r>
              <w:rPr>
                <w:rFonts w:ascii="Calibri" w:hAnsi="Calibri" w:cs="Calibri"/>
                <w:color w:val="000000"/>
                <w:sz w:val="22"/>
              </w:rPr>
              <w:t>no data</w:t>
            </w:r>
          </w:p>
        </w:tc>
      </w:tr>
      <w:tr w:rsidR="00F8048E" w14:paraId="46506C7C" w14:textId="77777777" w:rsidTr="00A843E5">
        <w:trPr>
          <w:trHeight w:val="841"/>
        </w:trPr>
        <w:tc>
          <w:tcPr>
            <w:tcW w:w="1867" w:type="dxa"/>
            <w:tcBorders>
              <w:top w:val="nil"/>
              <w:left w:val="single" w:sz="4" w:space="0" w:color="auto"/>
              <w:bottom w:val="single" w:sz="4" w:space="0" w:color="auto"/>
              <w:right w:val="single" w:sz="4" w:space="0" w:color="auto"/>
            </w:tcBorders>
            <w:vAlign w:val="center"/>
            <w:hideMark/>
          </w:tcPr>
          <w:p w14:paraId="3570B809" w14:textId="77777777" w:rsidR="00F8048E" w:rsidRDefault="00F8048E" w:rsidP="00CB6587">
            <w:pPr>
              <w:rPr>
                <w:rFonts w:cs="Arial"/>
                <w:color w:val="000000"/>
                <w:szCs w:val="24"/>
              </w:rPr>
            </w:pPr>
            <w:r>
              <w:rPr>
                <w:rFonts w:cs="Arial"/>
                <w:color w:val="000000"/>
              </w:rPr>
              <w:t>Change of Use</w:t>
            </w:r>
          </w:p>
        </w:tc>
        <w:tc>
          <w:tcPr>
            <w:tcW w:w="1219" w:type="dxa"/>
            <w:tcBorders>
              <w:top w:val="nil"/>
              <w:left w:val="nil"/>
              <w:bottom w:val="single" w:sz="4" w:space="0" w:color="auto"/>
              <w:right w:val="single" w:sz="4" w:space="0" w:color="auto"/>
            </w:tcBorders>
            <w:vAlign w:val="center"/>
            <w:hideMark/>
          </w:tcPr>
          <w:p w14:paraId="40510291" w14:textId="77777777" w:rsidR="00F8048E" w:rsidRDefault="00F8048E" w:rsidP="00CB6587">
            <w:pPr>
              <w:rPr>
                <w:rFonts w:cs="Arial"/>
                <w:color w:val="000000"/>
              </w:rPr>
            </w:pPr>
            <w:r>
              <w:rPr>
                <w:rFonts w:cs="Arial"/>
                <w:color w:val="000000"/>
              </w:rPr>
              <w:t>1 to 9 dwellings</w:t>
            </w:r>
          </w:p>
        </w:tc>
        <w:tc>
          <w:tcPr>
            <w:tcW w:w="1332" w:type="dxa"/>
            <w:tcBorders>
              <w:top w:val="nil"/>
              <w:left w:val="nil"/>
              <w:bottom w:val="single" w:sz="4" w:space="0" w:color="auto"/>
              <w:right w:val="single" w:sz="4" w:space="0" w:color="auto"/>
            </w:tcBorders>
            <w:shd w:val="clear" w:color="000000" w:fill="FFFFFF"/>
            <w:vAlign w:val="center"/>
            <w:hideMark/>
          </w:tcPr>
          <w:p w14:paraId="7EDC5195" w14:textId="77777777" w:rsidR="00F8048E" w:rsidRDefault="00F8048E" w:rsidP="00CB6587">
            <w:pPr>
              <w:jc w:val="center"/>
              <w:rPr>
                <w:rFonts w:cs="Arial"/>
                <w:color w:val="000000"/>
              </w:rPr>
            </w:pPr>
            <w:r>
              <w:rPr>
                <w:rFonts w:cs="Arial"/>
                <w:color w:val="000000"/>
              </w:rPr>
              <w:t>3.3</w:t>
            </w:r>
          </w:p>
        </w:tc>
        <w:tc>
          <w:tcPr>
            <w:tcW w:w="1560" w:type="dxa"/>
            <w:tcBorders>
              <w:top w:val="nil"/>
              <w:left w:val="nil"/>
              <w:bottom w:val="single" w:sz="4" w:space="0" w:color="auto"/>
              <w:right w:val="single" w:sz="4" w:space="0" w:color="auto"/>
            </w:tcBorders>
            <w:shd w:val="clear" w:color="000000" w:fill="FFFFFF"/>
            <w:vAlign w:val="center"/>
            <w:hideMark/>
          </w:tcPr>
          <w:p w14:paraId="6532CA52" w14:textId="77777777" w:rsidR="00F8048E" w:rsidRDefault="00F8048E" w:rsidP="00CB6587">
            <w:pPr>
              <w:jc w:val="center"/>
              <w:rPr>
                <w:rFonts w:cs="Arial"/>
                <w:color w:val="000000"/>
              </w:rPr>
            </w:pPr>
            <w:r>
              <w:rPr>
                <w:rFonts w:cs="Arial"/>
                <w:color w:val="000000"/>
              </w:rPr>
              <w:t> </w:t>
            </w:r>
          </w:p>
        </w:tc>
        <w:tc>
          <w:tcPr>
            <w:tcW w:w="1559" w:type="dxa"/>
            <w:tcBorders>
              <w:top w:val="nil"/>
              <w:left w:val="nil"/>
              <w:bottom w:val="single" w:sz="4" w:space="0" w:color="auto"/>
              <w:right w:val="single" w:sz="4" w:space="0" w:color="auto"/>
            </w:tcBorders>
            <w:shd w:val="clear" w:color="000000" w:fill="FFFFFF"/>
            <w:vAlign w:val="center"/>
            <w:hideMark/>
          </w:tcPr>
          <w:p w14:paraId="68889C1B" w14:textId="77777777" w:rsidR="00F8048E" w:rsidRDefault="00F8048E" w:rsidP="00CB6587">
            <w:pPr>
              <w:jc w:val="center"/>
              <w:rPr>
                <w:rFonts w:cs="Arial"/>
                <w:color w:val="000000"/>
              </w:rPr>
            </w:pPr>
            <w:r>
              <w:rPr>
                <w:rFonts w:cs="Arial"/>
                <w:color w:val="000000"/>
              </w:rPr>
              <w:t>2.94</w:t>
            </w:r>
          </w:p>
        </w:tc>
        <w:tc>
          <w:tcPr>
            <w:tcW w:w="1559" w:type="dxa"/>
            <w:tcBorders>
              <w:top w:val="nil"/>
              <w:left w:val="nil"/>
              <w:bottom w:val="single" w:sz="4" w:space="0" w:color="auto"/>
              <w:right w:val="single" w:sz="4" w:space="0" w:color="auto"/>
            </w:tcBorders>
            <w:noWrap/>
            <w:vAlign w:val="bottom"/>
            <w:hideMark/>
          </w:tcPr>
          <w:p w14:paraId="5BD99C5C" w14:textId="77777777" w:rsidR="00F8048E" w:rsidRDefault="00F8048E" w:rsidP="00CB6587">
            <w:pPr>
              <w:jc w:val="right"/>
              <w:rPr>
                <w:rFonts w:ascii="Calibri" w:hAnsi="Calibri" w:cs="Calibri"/>
                <w:color w:val="000000"/>
                <w:sz w:val="22"/>
              </w:rPr>
            </w:pPr>
            <w:r>
              <w:rPr>
                <w:rFonts w:ascii="Calibri" w:hAnsi="Calibri" w:cs="Calibri"/>
                <w:color w:val="000000"/>
                <w:sz w:val="22"/>
              </w:rPr>
              <w:t>1.11</w:t>
            </w:r>
          </w:p>
        </w:tc>
      </w:tr>
      <w:tr w:rsidR="00F8048E" w14:paraId="0BA434CE" w14:textId="77777777" w:rsidTr="00A843E5">
        <w:trPr>
          <w:trHeight w:val="853"/>
        </w:trPr>
        <w:tc>
          <w:tcPr>
            <w:tcW w:w="1867" w:type="dxa"/>
            <w:tcBorders>
              <w:top w:val="nil"/>
              <w:left w:val="single" w:sz="4" w:space="0" w:color="auto"/>
              <w:bottom w:val="single" w:sz="4" w:space="0" w:color="auto"/>
              <w:right w:val="single" w:sz="4" w:space="0" w:color="auto"/>
            </w:tcBorders>
            <w:vAlign w:val="center"/>
            <w:hideMark/>
          </w:tcPr>
          <w:p w14:paraId="165E9C94" w14:textId="77777777" w:rsidR="00F8048E" w:rsidRDefault="00F8048E" w:rsidP="00CB6587">
            <w:pPr>
              <w:rPr>
                <w:rFonts w:cs="Arial"/>
                <w:color w:val="000000"/>
                <w:szCs w:val="24"/>
              </w:rPr>
            </w:pPr>
            <w:r>
              <w:rPr>
                <w:rFonts w:cs="Arial"/>
                <w:color w:val="000000"/>
              </w:rPr>
              <w:t> </w:t>
            </w:r>
          </w:p>
        </w:tc>
        <w:tc>
          <w:tcPr>
            <w:tcW w:w="1219" w:type="dxa"/>
            <w:tcBorders>
              <w:top w:val="nil"/>
              <w:left w:val="nil"/>
              <w:bottom w:val="single" w:sz="4" w:space="0" w:color="auto"/>
              <w:right w:val="single" w:sz="4" w:space="0" w:color="auto"/>
            </w:tcBorders>
            <w:vAlign w:val="center"/>
            <w:hideMark/>
          </w:tcPr>
          <w:p w14:paraId="46A990D6" w14:textId="77777777" w:rsidR="00F8048E" w:rsidRDefault="00F8048E" w:rsidP="00CB6587">
            <w:pPr>
              <w:rPr>
                <w:rFonts w:cs="Arial"/>
                <w:color w:val="000000"/>
              </w:rPr>
            </w:pPr>
            <w:r>
              <w:rPr>
                <w:rFonts w:cs="Arial"/>
                <w:color w:val="000000"/>
              </w:rPr>
              <w:t>10 to 49 dwellings</w:t>
            </w:r>
          </w:p>
        </w:tc>
        <w:tc>
          <w:tcPr>
            <w:tcW w:w="1332" w:type="dxa"/>
            <w:tcBorders>
              <w:top w:val="nil"/>
              <w:left w:val="nil"/>
              <w:bottom w:val="single" w:sz="4" w:space="0" w:color="auto"/>
              <w:right w:val="single" w:sz="4" w:space="0" w:color="auto"/>
            </w:tcBorders>
            <w:shd w:val="clear" w:color="000000" w:fill="FFFFFF"/>
            <w:vAlign w:val="center"/>
            <w:hideMark/>
          </w:tcPr>
          <w:p w14:paraId="72264EFC" w14:textId="77777777" w:rsidR="00F8048E" w:rsidRDefault="00F8048E" w:rsidP="00CB6587">
            <w:pPr>
              <w:jc w:val="center"/>
              <w:rPr>
                <w:rFonts w:cs="Arial"/>
                <w:color w:val="000000"/>
              </w:rPr>
            </w:pPr>
            <w:r>
              <w:rPr>
                <w:rFonts w:cs="Arial"/>
                <w:color w:val="000000"/>
              </w:rPr>
              <w:t>20.8</w:t>
            </w:r>
          </w:p>
        </w:tc>
        <w:tc>
          <w:tcPr>
            <w:tcW w:w="1560" w:type="dxa"/>
            <w:tcBorders>
              <w:top w:val="nil"/>
              <w:left w:val="nil"/>
              <w:bottom w:val="single" w:sz="4" w:space="0" w:color="auto"/>
              <w:right w:val="single" w:sz="4" w:space="0" w:color="auto"/>
            </w:tcBorders>
            <w:shd w:val="clear" w:color="000000" w:fill="FFFFFF"/>
            <w:vAlign w:val="center"/>
            <w:hideMark/>
          </w:tcPr>
          <w:p w14:paraId="42B1134E" w14:textId="77777777" w:rsidR="00F8048E" w:rsidRDefault="00F8048E" w:rsidP="00CB6587">
            <w:pPr>
              <w:jc w:val="center"/>
              <w:rPr>
                <w:rFonts w:cs="Arial"/>
                <w:color w:val="000000"/>
              </w:rPr>
            </w:pPr>
            <w:r>
              <w:rPr>
                <w:rFonts w:cs="Arial"/>
                <w:color w:val="000000"/>
              </w:rPr>
              <w:t>1.4</w:t>
            </w:r>
          </w:p>
        </w:tc>
        <w:tc>
          <w:tcPr>
            <w:tcW w:w="1559" w:type="dxa"/>
            <w:tcBorders>
              <w:top w:val="nil"/>
              <w:left w:val="nil"/>
              <w:bottom w:val="single" w:sz="4" w:space="0" w:color="auto"/>
              <w:right w:val="single" w:sz="4" w:space="0" w:color="auto"/>
            </w:tcBorders>
            <w:shd w:val="clear" w:color="000000" w:fill="FFFFFF"/>
            <w:vAlign w:val="center"/>
            <w:hideMark/>
          </w:tcPr>
          <w:p w14:paraId="1E3E779F" w14:textId="77777777" w:rsidR="00F8048E" w:rsidRDefault="00F8048E" w:rsidP="00CB6587">
            <w:pPr>
              <w:jc w:val="center"/>
              <w:rPr>
                <w:rFonts w:cs="Arial"/>
                <w:color w:val="000000"/>
              </w:rPr>
            </w:pPr>
            <w:r>
              <w:rPr>
                <w:rFonts w:cs="Arial"/>
                <w:color w:val="000000"/>
              </w:rPr>
              <w:t>22.16</w:t>
            </w:r>
          </w:p>
        </w:tc>
        <w:tc>
          <w:tcPr>
            <w:tcW w:w="1559" w:type="dxa"/>
            <w:tcBorders>
              <w:top w:val="nil"/>
              <w:left w:val="nil"/>
              <w:bottom w:val="single" w:sz="4" w:space="0" w:color="auto"/>
              <w:right w:val="single" w:sz="4" w:space="0" w:color="auto"/>
            </w:tcBorders>
            <w:noWrap/>
            <w:vAlign w:val="bottom"/>
            <w:hideMark/>
          </w:tcPr>
          <w:p w14:paraId="5D7FD1E5" w14:textId="77777777" w:rsidR="00F8048E" w:rsidRDefault="00F8048E" w:rsidP="00CB6587">
            <w:pPr>
              <w:jc w:val="right"/>
              <w:rPr>
                <w:rFonts w:ascii="Calibri" w:hAnsi="Calibri" w:cs="Calibri"/>
                <w:color w:val="000000"/>
                <w:sz w:val="22"/>
              </w:rPr>
            </w:pPr>
            <w:r>
              <w:rPr>
                <w:rFonts w:ascii="Calibri" w:hAnsi="Calibri" w:cs="Calibri"/>
                <w:color w:val="000000"/>
                <w:sz w:val="22"/>
              </w:rPr>
              <w:t>0.93</w:t>
            </w:r>
          </w:p>
        </w:tc>
      </w:tr>
      <w:tr w:rsidR="00F8048E" w14:paraId="55540088" w14:textId="77777777" w:rsidTr="00A843E5">
        <w:trPr>
          <w:trHeight w:val="836"/>
        </w:trPr>
        <w:tc>
          <w:tcPr>
            <w:tcW w:w="1867" w:type="dxa"/>
            <w:tcBorders>
              <w:top w:val="nil"/>
              <w:left w:val="single" w:sz="4" w:space="0" w:color="auto"/>
              <w:bottom w:val="single" w:sz="4" w:space="0" w:color="auto"/>
              <w:right w:val="single" w:sz="4" w:space="0" w:color="auto"/>
            </w:tcBorders>
            <w:vAlign w:val="center"/>
            <w:hideMark/>
          </w:tcPr>
          <w:p w14:paraId="358A8AEB" w14:textId="77777777" w:rsidR="00F8048E" w:rsidRDefault="00F8048E" w:rsidP="00CB6587">
            <w:pPr>
              <w:rPr>
                <w:rFonts w:cs="Arial"/>
                <w:b/>
                <w:bCs/>
                <w:color w:val="000000"/>
                <w:szCs w:val="24"/>
              </w:rPr>
            </w:pPr>
            <w:r>
              <w:rPr>
                <w:rFonts w:cs="Arial"/>
                <w:b/>
                <w:bCs/>
                <w:color w:val="000000"/>
              </w:rPr>
              <w:t> </w:t>
            </w:r>
          </w:p>
        </w:tc>
        <w:tc>
          <w:tcPr>
            <w:tcW w:w="1219" w:type="dxa"/>
            <w:tcBorders>
              <w:top w:val="nil"/>
              <w:left w:val="nil"/>
              <w:bottom w:val="single" w:sz="4" w:space="0" w:color="auto"/>
              <w:right w:val="single" w:sz="4" w:space="0" w:color="auto"/>
            </w:tcBorders>
            <w:vAlign w:val="center"/>
            <w:hideMark/>
          </w:tcPr>
          <w:p w14:paraId="1F00292C" w14:textId="77777777" w:rsidR="00F8048E" w:rsidRDefault="00F8048E" w:rsidP="00CB6587">
            <w:pPr>
              <w:rPr>
                <w:rFonts w:cs="Arial"/>
                <w:color w:val="000000"/>
              </w:rPr>
            </w:pPr>
            <w:r>
              <w:rPr>
                <w:rFonts w:cs="Arial"/>
                <w:color w:val="000000"/>
              </w:rPr>
              <w:t>50+ dwellings</w:t>
            </w:r>
          </w:p>
        </w:tc>
        <w:tc>
          <w:tcPr>
            <w:tcW w:w="1332" w:type="dxa"/>
            <w:tcBorders>
              <w:top w:val="nil"/>
              <w:left w:val="nil"/>
              <w:bottom w:val="single" w:sz="4" w:space="0" w:color="auto"/>
              <w:right w:val="single" w:sz="4" w:space="0" w:color="auto"/>
            </w:tcBorders>
            <w:shd w:val="clear" w:color="000000" w:fill="FFFFFF"/>
            <w:vAlign w:val="center"/>
            <w:hideMark/>
          </w:tcPr>
          <w:p w14:paraId="6438419E" w14:textId="77777777" w:rsidR="00F8048E" w:rsidRDefault="00F8048E" w:rsidP="00CB6587">
            <w:pPr>
              <w:jc w:val="center"/>
              <w:rPr>
                <w:rFonts w:cs="Arial"/>
                <w:b/>
                <w:bCs/>
                <w:color w:val="000000"/>
              </w:rPr>
            </w:pPr>
            <w:r>
              <w:rPr>
                <w:rFonts w:cs="Arial"/>
                <w:b/>
                <w:bCs/>
                <w:color w:val="000000"/>
              </w:rPr>
              <w:t>136.4</w:t>
            </w:r>
          </w:p>
        </w:tc>
        <w:tc>
          <w:tcPr>
            <w:tcW w:w="1560" w:type="dxa"/>
            <w:tcBorders>
              <w:top w:val="nil"/>
              <w:left w:val="nil"/>
              <w:bottom w:val="single" w:sz="4" w:space="0" w:color="auto"/>
              <w:right w:val="single" w:sz="4" w:space="0" w:color="auto"/>
            </w:tcBorders>
            <w:shd w:val="clear" w:color="000000" w:fill="FFFFFF"/>
            <w:vAlign w:val="center"/>
            <w:hideMark/>
          </w:tcPr>
          <w:p w14:paraId="5D3A32EC" w14:textId="77777777" w:rsidR="00F8048E" w:rsidRDefault="00F8048E" w:rsidP="00CB6587">
            <w:pPr>
              <w:jc w:val="center"/>
              <w:rPr>
                <w:rFonts w:cs="Arial"/>
                <w:b/>
                <w:bCs/>
                <w:color w:val="000000"/>
              </w:rPr>
            </w:pPr>
            <w:r>
              <w:rPr>
                <w:rFonts w:cs="Arial"/>
                <w:b/>
                <w:bCs/>
                <w:color w:val="000000"/>
              </w:rPr>
              <w:t>0.88</w:t>
            </w:r>
          </w:p>
        </w:tc>
        <w:tc>
          <w:tcPr>
            <w:tcW w:w="1559" w:type="dxa"/>
            <w:tcBorders>
              <w:top w:val="nil"/>
              <w:left w:val="nil"/>
              <w:bottom w:val="single" w:sz="4" w:space="0" w:color="auto"/>
              <w:right w:val="single" w:sz="4" w:space="0" w:color="auto"/>
            </w:tcBorders>
            <w:shd w:val="clear" w:color="000000" w:fill="FFFFFF"/>
            <w:vAlign w:val="center"/>
            <w:hideMark/>
          </w:tcPr>
          <w:p w14:paraId="1CC0707D" w14:textId="77777777" w:rsidR="00F8048E" w:rsidRDefault="00F8048E" w:rsidP="00CB6587">
            <w:pPr>
              <w:jc w:val="center"/>
              <w:rPr>
                <w:rFonts w:cs="Arial"/>
                <w:b/>
                <w:bCs/>
                <w:color w:val="000000"/>
              </w:rPr>
            </w:pPr>
            <w:r>
              <w:rPr>
                <w:rFonts w:cs="Arial"/>
                <w:b/>
                <w:bCs/>
                <w:color w:val="000000"/>
              </w:rPr>
              <w:t>139.2</w:t>
            </w:r>
          </w:p>
        </w:tc>
        <w:tc>
          <w:tcPr>
            <w:tcW w:w="1559" w:type="dxa"/>
            <w:tcBorders>
              <w:top w:val="nil"/>
              <w:left w:val="nil"/>
              <w:bottom w:val="single" w:sz="4" w:space="0" w:color="auto"/>
              <w:right w:val="single" w:sz="4" w:space="0" w:color="auto"/>
            </w:tcBorders>
            <w:noWrap/>
            <w:vAlign w:val="bottom"/>
            <w:hideMark/>
          </w:tcPr>
          <w:p w14:paraId="1DA81C57" w14:textId="77777777" w:rsidR="00F8048E" w:rsidRDefault="00F8048E" w:rsidP="00CB6587">
            <w:pPr>
              <w:jc w:val="right"/>
              <w:rPr>
                <w:rFonts w:ascii="Calibri" w:hAnsi="Calibri" w:cs="Calibri"/>
                <w:color w:val="000000"/>
                <w:sz w:val="22"/>
              </w:rPr>
            </w:pPr>
            <w:r>
              <w:rPr>
                <w:rFonts w:ascii="Calibri" w:hAnsi="Calibri" w:cs="Calibri"/>
                <w:color w:val="000000"/>
                <w:sz w:val="22"/>
              </w:rPr>
              <w:t>0.98</w:t>
            </w:r>
          </w:p>
        </w:tc>
      </w:tr>
    </w:tbl>
    <w:p w14:paraId="12A553D3" w14:textId="77777777" w:rsidR="00552664" w:rsidRDefault="00552664" w:rsidP="00552664">
      <w:pPr>
        <w:pStyle w:val="NoSpacing"/>
      </w:pPr>
    </w:p>
    <w:p w14:paraId="6B8D8723" w14:textId="77777777" w:rsidR="00552664" w:rsidRPr="00552664" w:rsidRDefault="00552664" w:rsidP="00552664">
      <w:pPr>
        <w:pStyle w:val="NoSpacing"/>
      </w:pPr>
    </w:p>
    <w:p w14:paraId="2F86407A" w14:textId="77777777" w:rsidR="007038DE" w:rsidRPr="000B3629" w:rsidRDefault="00C11C15">
      <w:pPr>
        <w:rPr>
          <w:b/>
          <w:u w:val="single"/>
        </w:rPr>
      </w:pPr>
      <w:r w:rsidRPr="000B3629">
        <w:rPr>
          <w:b/>
          <w:u w:val="single"/>
        </w:rPr>
        <w:t>Windfall allowance</w:t>
      </w:r>
    </w:p>
    <w:p w14:paraId="4C645E6A" w14:textId="77777777" w:rsidR="00C11C15" w:rsidRDefault="00C11C15" w:rsidP="00C11C15">
      <w:pPr>
        <w:pStyle w:val="NoSpacing"/>
      </w:pPr>
    </w:p>
    <w:p w14:paraId="4186D708" w14:textId="77777777" w:rsidR="009C3884" w:rsidRDefault="009C3884" w:rsidP="009C3884">
      <w:pPr>
        <w:pStyle w:val="NoSpacing"/>
      </w:pPr>
      <w:r>
        <w:t>See paragraphs 41-45 of the joint SHLAA m</w:t>
      </w:r>
      <w:r w:rsidRPr="002D0A11">
        <w:t xml:space="preserve">ethodology </w:t>
      </w:r>
      <w:r>
        <w:t>report.</w:t>
      </w:r>
    </w:p>
    <w:p w14:paraId="6CF43588" w14:textId="77777777" w:rsidR="009C3884" w:rsidRDefault="009C3884" w:rsidP="00C11C15">
      <w:pPr>
        <w:pStyle w:val="NoSpacing"/>
      </w:pPr>
    </w:p>
    <w:p w14:paraId="6FB68443" w14:textId="5237BFDE" w:rsidR="00F8048E" w:rsidRDefault="00F8048E" w:rsidP="00F8048E">
      <w:pPr>
        <w:spacing w:after="240" w:line="216" w:lineRule="auto"/>
        <w:contextualSpacing/>
        <w:rPr>
          <w:rFonts w:eastAsia="Calibri" w:cs="Arial"/>
          <w:sz w:val="22"/>
        </w:rPr>
      </w:pPr>
      <w:r w:rsidRPr="00F8048E">
        <w:rPr>
          <w:rFonts w:eastAsia="Calibri" w:cs="Arial"/>
          <w:sz w:val="22"/>
        </w:rPr>
        <w:t>Sites not specifically identified in the development Plan. Figures to</w:t>
      </w:r>
      <w:r w:rsidRPr="00F8048E">
        <w:t xml:space="preserve"> </w:t>
      </w:r>
      <w:r w:rsidRPr="00F8048E">
        <w:rPr>
          <w:rFonts w:eastAsia="Calibri" w:cs="Arial"/>
          <w:sz w:val="22"/>
        </w:rPr>
        <w:t>Include garden land when calculating windfall.</w:t>
      </w:r>
    </w:p>
    <w:p w14:paraId="78CA216A" w14:textId="77777777" w:rsidR="003912AF" w:rsidRDefault="003912AF" w:rsidP="001E50CB"/>
    <w:p w14:paraId="7BE4658D" w14:textId="204719DC" w:rsidR="003912AF" w:rsidRPr="007C0A40" w:rsidRDefault="003912AF" w:rsidP="00192C52">
      <w:pPr>
        <w:rPr>
          <w:rFonts w:eastAsia="Times New Roman" w:cs="Arial"/>
          <w:szCs w:val="24"/>
          <w:lang w:eastAsia="en-GB"/>
        </w:rPr>
      </w:pPr>
      <w:r w:rsidRPr="00F30B06">
        <w:rPr>
          <w:rFonts w:eastAsia="Times New Roman" w:cs="Arial"/>
          <w:szCs w:val="24"/>
          <w:lang w:eastAsia="en-GB"/>
        </w:rPr>
        <w:t xml:space="preserve">In the City for the first 3 years of the trajectory, an allowance of </w:t>
      </w:r>
      <w:r w:rsidR="00EF4DD8" w:rsidRPr="00EB67E4">
        <w:rPr>
          <w:rFonts w:eastAsia="Times New Roman" w:cs="Arial"/>
          <w:szCs w:val="24"/>
          <w:lang w:eastAsia="en-GB"/>
        </w:rPr>
        <w:t>10</w:t>
      </w:r>
      <w:r w:rsidR="00F949C6" w:rsidRPr="00EB67E4">
        <w:rPr>
          <w:rFonts w:eastAsia="Times New Roman" w:cs="Arial"/>
          <w:szCs w:val="24"/>
          <w:lang w:eastAsia="en-GB"/>
        </w:rPr>
        <w:t>3</w:t>
      </w:r>
      <w:r w:rsidRPr="00F30B06">
        <w:rPr>
          <w:rFonts w:eastAsia="Times New Roman" w:cs="Arial"/>
          <w:szCs w:val="24"/>
          <w:lang w:eastAsia="en-GB"/>
        </w:rPr>
        <w:t xml:space="preserve"> dwellings pa  is included to take into account dwellings on sites of less than 5 dwellings,  reflecting the amount of dwellings that are normally developed each year below 5 dwellings, including </w:t>
      </w:r>
      <w:r w:rsidR="00E70B8D" w:rsidRPr="00F30B06">
        <w:rPr>
          <w:rFonts w:eastAsia="Times New Roman" w:cs="Arial"/>
          <w:szCs w:val="24"/>
          <w:lang w:eastAsia="en-GB"/>
        </w:rPr>
        <w:t>22</w:t>
      </w:r>
      <w:r w:rsidRPr="00F30B06">
        <w:rPr>
          <w:rFonts w:eastAsia="Times New Roman" w:cs="Arial"/>
          <w:szCs w:val="24"/>
          <w:lang w:eastAsia="en-GB"/>
        </w:rPr>
        <w:t xml:space="preserve"> dwellings pa to allow for dwellings being developed without the need for planning permission (</w:t>
      </w:r>
      <w:proofErr w:type="spellStart"/>
      <w:r w:rsidRPr="00F30B06">
        <w:rPr>
          <w:rFonts w:eastAsia="Times New Roman" w:cs="Arial"/>
          <w:szCs w:val="24"/>
          <w:lang w:eastAsia="en-GB"/>
        </w:rPr>
        <w:t>eg</w:t>
      </w:r>
      <w:proofErr w:type="spellEnd"/>
      <w:r w:rsidRPr="00F30B06">
        <w:rPr>
          <w:rFonts w:eastAsia="Times New Roman" w:cs="Arial"/>
          <w:szCs w:val="24"/>
          <w:lang w:eastAsia="en-GB"/>
        </w:rPr>
        <w:t xml:space="preserve"> flats above shops), based on a three year rolling average</w:t>
      </w:r>
      <w:r w:rsidRPr="003912AF">
        <w:rPr>
          <w:rFonts w:eastAsia="Times New Roman" w:cs="Arial"/>
          <w:szCs w:val="24"/>
          <w:lang w:eastAsia="en-GB"/>
        </w:rPr>
        <w:t xml:space="preserve"> of this type of development.</w:t>
      </w:r>
      <w:r w:rsidR="00192C52" w:rsidRPr="007C0A40">
        <w:rPr>
          <w:rFonts w:eastAsia="Times New Roman" w:cs="Arial"/>
          <w:szCs w:val="24"/>
          <w:lang w:eastAsia="en-GB"/>
        </w:rPr>
        <w:t xml:space="preserve"> </w:t>
      </w:r>
    </w:p>
    <w:p w14:paraId="20C25143" w14:textId="77777777" w:rsidR="00F949C6" w:rsidRPr="00F949C6" w:rsidRDefault="00F949C6" w:rsidP="00F949C6">
      <w:pPr>
        <w:ind w:left="360" w:hanging="360"/>
        <w:rPr>
          <w:rFonts w:eastAsia="Times New Roman" w:cs="Arial"/>
          <w:szCs w:val="24"/>
          <w:lang w:eastAsia="en-G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842"/>
        <w:gridCol w:w="1842"/>
        <w:gridCol w:w="1842"/>
      </w:tblGrid>
      <w:tr w:rsidR="00F949C6" w:rsidRPr="00F949C6" w14:paraId="4E7BE16C" w14:textId="77777777" w:rsidTr="00ED2C1B">
        <w:tc>
          <w:tcPr>
            <w:tcW w:w="1875" w:type="dxa"/>
            <w:shd w:val="clear" w:color="auto" w:fill="D9D9D9"/>
          </w:tcPr>
          <w:p w14:paraId="59B43DEC" w14:textId="77777777" w:rsidR="00F949C6" w:rsidRPr="00F949C6" w:rsidRDefault="00F949C6" w:rsidP="00F949C6">
            <w:pPr>
              <w:rPr>
                <w:rFonts w:eastAsia="Times New Roman" w:cs="Arial"/>
                <w:b/>
                <w:szCs w:val="24"/>
                <w:lang w:eastAsia="en-GB"/>
              </w:rPr>
            </w:pPr>
            <w:r w:rsidRPr="00F949C6">
              <w:rPr>
                <w:rFonts w:eastAsia="Times New Roman" w:cs="Arial"/>
                <w:b/>
                <w:szCs w:val="24"/>
                <w:lang w:eastAsia="en-GB"/>
              </w:rPr>
              <w:t>Table 5.    Year</w:t>
            </w:r>
          </w:p>
        </w:tc>
        <w:tc>
          <w:tcPr>
            <w:tcW w:w="1842" w:type="dxa"/>
            <w:shd w:val="clear" w:color="auto" w:fill="D9D9D9"/>
          </w:tcPr>
          <w:p w14:paraId="72B8649E" w14:textId="77777777" w:rsidR="00F949C6" w:rsidRPr="00F949C6" w:rsidRDefault="00F949C6" w:rsidP="00F949C6">
            <w:pPr>
              <w:rPr>
                <w:rFonts w:eastAsia="Times New Roman" w:cs="Arial"/>
                <w:b/>
                <w:szCs w:val="24"/>
                <w:lang w:eastAsia="en-GB"/>
              </w:rPr>
            </w:pPr>
            <w:r w:rsidRPr="00F949C6">
              <w:rPr>
                <w:rFonts w:eastAsia="Times New Roman" w:cs="Arial"/>
                <w:b/>
                <w:szCs w:val="24"/>
                <w:lang w:eastAsia="en-GB"/>
              </w:rPr>
              <w:t>Dwellings on sites of less than 5 dwellings excluding No-Apps</w:t>
            </w:r>
          </w:p>
        </w:tc>
        <w:tc>
          <w:tcPr>
            <w:tcW w:w="1842" w:type="dxa"/>
            <w:shd w:val="clear" w:color="auto" w:fill="D9D9D9"/>
          </w:tcPr>
          <w:p w14:paraId="26F8F218" w14:textId="77777777" w:rsidR="00F949C6" w:rsidRPr="00F949C6" w:rsidRDefault="00F949C6" w:rsidP="00F949C6">
            <w:pPr>
              <w:rPr>
                <w:rFonts w:eastAsia="Times New Roman" w:cs="Arial"/>
                <w:b/>
                <w:szCs w:val="24"/>
                <w:lang w:eastAsia="en-GB"/>
              </w:rPr>
            </w:pPr>
            <w:r w:rsidRPr="00F949C6">
              <w:rPr>
                <w:rFonts w:eastAsia="Times New Roman" w:cs="Arial"/>
                <w:b/>
                <w:szCs w:val="24"/>
                <w:lang w:eastAsia="en-GB"/>
              </w:rPr>
              <w:t>Dwellings on No-Apps</w:t>
            </w:r>
          </w:p>
        </w:tc>
        <w:tc>
          <w:tcPr>
            <w:tcW w:w="1842" w:type="dxa"/>
            <w:shd w:val="clear" w:color="auto" w:fill="D9D9D9"/>
          </w:tcPr>
          <w:p w14:paraId="376C3D63" w14:textId="77777777" w:rsidR="00F949C6" w:rsidRPr="00F949C6" w:rsidRDefault="00F949C6" w:rsidP="00F949C6">
            <w:pPr>
              <w:rPr>
                <w:rFonts w:eastAsia="Times New Roman" w:cs="Arial"/>
                <w:b/>
                <w:szCs w:val="24"/>
                <w:lang w:eastAsia="en-GB"/>
              </w:rPr>
            </w:pPr>
            <w:r w:rsidRPr="00F949C6">
              <w:rPr>
                <w:rFonts w:eastAsia="Times New Roman" w:cs="Arial"/>
                <w:b/>
                <w:szCs w:val="24"/>
                <w:lang w:eastAsia="en-GB"/>
              </w:rPr>
              <w:t>Total</w:t>
            </w:r>
          </w:p>
        </w:tc>
      </w:tr>
      <w:tr w:rsidR="00F949C6" w:rsidRPr="00F949C6" w14:paraId="2AE6CE3F" w14:textId="77777777" w:rsidTr="00ED2C1B">
        <w:tc>
          <w:tcPr>
            <w:tcW w:w="1875" w:type="dxa"/>
          </w:tcPr>
          <w:p w14:paraId="0183B9A4" w14:textId="77777777" w:rsidR="00F949C6" w:rsidRPr="00F949C6" w:rsidRDefault="00F949C6" w:rsidP="00F949C6">
            <w:pPr>
              <w:rPr>
                <w:rFonts w:eastAsia="Times New Roman" w:cs="Arial"/>
                <w:szCs w:val="24"/>
                <w:lang w:eastAsia="en-GB"/>
              </w:rPr>
            </w:pPr>
            <w:r w:rsidRPr="00F949C6">
              <w:rPr>
                <w:rFonts w:eastAsia="Times New Roman" w:cs="Arial"/>
                <w:szCs w:val="24"/>
                <w:lang w:eastAsia="en-GB"/>
              </w:rPr>
              <w:t>2014/15</w:t>
            </w:r>
          </w:p>
        </w:tc>
        <w:tc>
          <w:tcPr>
            <w:tcW w:w="1842" w:type="dxa"/>
          </w:tcPr>
          <w:p w14:paraId="35756E0B"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115</w:t>
            </w:r>
          </w:p>
        </w:tc>
        <w:tc>
          <w:tcPr>
            <w:tcW w:w="1842" w:type="dxa"/>
          </w:tcPr>
          <w:p w14:paraId="750B6EF1"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22</w:t>
            </w:r>
          </w:p>
        </w:tc>
        <w:tc>
          <w:tcPr>
            <w:tcW w:w="1842" w:type="dxa"/>
          </w:tcPr>
          <w:p w14:paraId="52ABFBC6"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137</w:t>
            </w:r>
          </w:p>
        </w:tc>
      </w:tr>
      <w:tr w:rsidR="00F949C6" w:rsidRPr="00F949C6" w14:paraId="7AAF4176" w14:textId="77777777" w:rsidTr="00ED2C1B">
        <w:tc>
          <w:tcPr>
            <w:tcW w:w="1875" w:type="dxa"/>
          </w:tcPr>
          <w:p w14:paraId="73830F44" w14:textId="77777777" w:rsidR="00F949C6" w:rsidRPr="00F949C6" w:rsidRDefault="00F949C6" w:rsidP="00F949C6">
            <w:pPr>
              <w:rPr>
                <w:rFonts w:eastAsia="Times New Roman" w:cs="Arial"/>
                <w:szCs w:val="24"/>
                <w:lang w:eastAsia="en-GB"/>
              </w:rPr>
            </w:pPr>
            <w:r w:rsidRPr="00F949C6">
              <w:rPr>
                <w:rFonts w:eastAsia="Times New Roman" w:cs="Arial"/>
                <w:szCs w:val="24"/>
                <w:lang w:eastAsia="en-GB"/>
              </w:rPr>
              <w:t>2015/16</w:t>
            </w:r>
          </w:p>
        </w:tc>
        <w:tc>
          <w:tcPr>
            <w:tcW w:w="1842" w:type="dxa"/>
          </w:tcPr>
          <w:p w14:paraId="05ED8F61"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117</w:t>
            </w:r>
          </w:p>
        </w:tc>
        <w:tc>
          <w:tcPr>
            <w:tcW w:w="1842" w:type="dxa"/>
          </w:tcPr>
          <w:p w14:paraId="05A23078"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22</w:t>
            </w:r>
          </w:p>
        </w:tc>
        <w:tc>
          <w:tcPr>
            <w:tcW w:w="1842" w:type="dxa"/>
          </w:tcPr>
          <w:p w14:paraId="3A2A0FDC"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139</w:t>
            </w:r>
          </w:p>
        </w:tc>
      </w:tr>
      <w:tr w:rsidR="00F949C6" w:rsidRPr="00F949C6" w14:paraId="7CACF20D" w14:textId="77777777" w:rsidTr="00ED2C1B">
        <w:tc>
          <w:tcPr>
            <w:tcW w:w="1875" w:type="dxa"/>
          </w:tcPr>
          <w:p w14:paraId="306F4434" w14:textId="77777777" w:rsidR="00F949C6" w:rsidRPr="00F949C6" w:rsidRDefault="00F949C6" w:rsidP="00F949C6">
            <w:pPr>
              <w:rPr>
                <w:rFonts w:eastAsia="Times New Roman" w:cs="Arial"/>
                <w:szCs w:val="24"/>
                <w:lang w:eastAsia="en-GB"/>
              </w:rPr>
            </w:pPr>
            <w:r w:rsidRPr="00F949C6">
              <w:rPr>
                <w:rFonts w:eastAsia="Times New Roman" w:cs="Arial"/>
                <w:szCs w:val="24"/>
                <w:lang w:eastAsia="en-GB"/>
              </w:rPr>
              <w:t>2016/17</w:t>
            </w:r>
          </w:p>
        </w:tc>
        <w:tc>
          <w:tcPr>
            <w:tcW w:w="1842" w:type="dxa"/>
          </w:tcPr>
          <w:p w14:paraId="37984DF1"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122</w:t>
            </w:r>
          </w:p>
        </w:tc>
        <w:tc>
          <w:tcPr>
            <w:tcW w:w="1842" w:type="dxa"/>
          </w:tcPr>
          <w:p w14:paraId="68F2E23A"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22</w:t>
            </w:r>
          </w:p>
        </w:tc>
        <w:tc>
          <w:tcPr>
            <w:tcW w:w="1842" w:type="dxa"/>
          </w:tcPr>
          <w:p w14:paraId="48DDB671"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144</w:t>
            </w:r>
          </w:p>
        </w:tc>
      </w:tr>
      <w:tr w:rsidR="00F949C6" w:rsidRPr="00F949C6" w14:paraId="3CC66759" w14:textId="77777777" w:rsidTr="00ED2C1B">
        <w:tc>
          <w:tcPr>
            <w:tcW w:w="1875" w:type="dxa"/>
          </w:tcPr>
          <w:p w14:paraId="11CED73C" w14:textId="77777777" w:rsidR="00F949C6" w:rsidRPr="00F949C6" w:rsidRDefault="00F949C6" w:rsidP="00F949C6">
            <w:pPr>
              <w:rPr>
                <w:rFonts w:eastAsia="Times New Roman" w:cs="Arial"/>
                <w:szCs w:val="24"/>
                <w:lang w:eastAsia="en-GB"/>
              </w:rPr>
            </w:pPr>
            <w:r w:rsidRPr="00F949C6">
              <w:rPr>
                <w:rFonts w:eastAsia="Times New Roman" w:cs="Arial"/>
                <w:szCs w:val="24"/>
                <w:lang w:eastAsia="en-GB"/>
              </w:rPr>
              <w:t>2017/18</w:t>
            </w:r>
          </w:p>
        </w:tc>
        <w:tc>
          <w:tcPr>
            <w:tcW w:w="1842" w:type="dxa"/>
          </w:tcPr>
          <w:p w14:paraId="4723CBAC"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89</w:t>
            </w:r>
          </w:p>
        </w:tc>
        <w:tc>
          <w:tcPr>
            <w:tcW w:w="1842" w:type="dxa"/>
          </w:tcPr>
          <w:p w14:paraId="43496C23"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22</w:t>
            </w:r>
          </w:p>
        </w:tc>
        <w:tc>
          <w:tcPr>
            <w:tcW w:w="1842" w:type="dxa"/>
          </w:tcPr>
          <w:p w14:paraId="72C64EB5"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111</w:t>
            </w:r>
          </w:p>
        </w:tc>
      </w:tr>
      <w:tr w:rsidR="00F949C6" w:rsidRPr="00F949C6" w14:paraId="1B581E11" w14:textId="77777777" w:rsidTr="00ED2C1B">
        <w:tc>
          <w:tcPr>
            <w:tcW w:w="1875" w:type="dxa"/>
          </w:tcPr>
          <w:p w14:paraId="227782E5" w14:textId="77777777" w:rsidR="00F949C6" w:rsidRPr="00F949C6" w:rsidRDefault="00F949C6" w:rsidP="00F949C6">
            <w:pPr>
              <w:rPr>
                <w:rFonts w:eastAsia="Times New Roman" w:cs="Arial"/>
                <w:szCs w:val="24"/>
                <w:lang w:eastAsia="en-GB"/>
              </w:rPr>
            </w:pPr>
            <w:r w:rsidRPr="00F949C6">
              <w:rPr>
                <w:rFonts w:eastAsia="Times New Roman" w:cs="Arial"/>
                <w:szCs w:val="24"/>
                <w:lang w:eastAsia="en-GB"/>
              </w:rPr>
              <w:t>2018/19</w:t>
            </w:r>
          </w:p>
        </w:tc>
        <w:tc>
          <w:tcPr>
            <w:tcW w:w="1842" w:type="dxa"/>
          </w:tcPr>
          <w:p w14:paraId="5DE5628E"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61</w:t>
            </w:r>
          </w:p>
        </w:tc>
        <w:tc>
          <w:tcPr>
            <w:tcW w:w="1842" w:type="dxa"/>
          </w:tcPr>
          <w:p w14:paraId="4402D9D9"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22</w:t>
            </w:r>
          </w:p>
        </w:tc>
        <w:tc>
          <w:tcPr>
            <w:tcW w:w="1842" w:type="dxa"/>
          </w:tcPr>
          <w:p w14:paraId="3C6C21C4"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83</w:t>
            </w:r>
          </w:p>
        </w:tc>
      </w:tr>
      <w:tr w:rsidR="00F949C6" w:rsidRPr="00F949C6" w14:paraId="7C5C6F20" w14:textId="77777777" w:rsidTr="00ED2C1B">
        <w:tc>
          <w:tcPr>
            <w:tcW w:w="1875" w:type="dxa"/>
          </w:tcPr>
          <w:p w14:paraId="1E863F0E" w14:textId="77777777" w:rsidR="00F949C6" w:rsidRPr="00F949C6" w:rsidRDefault="00F949C6" w:rsidP="00F949C6">
            <w:pPr>
              <w:rPr>
                <w:rFonts w:eastAsia="Times New Roman" w:cs="Arial"/>
                <w:szCs w:val="24"/>
                <w:lang w:eastAsia="en-GB"/>
              </w:rPr>
            </w:pPr>
            <w:r w:rsidRPr="00F949C6">
              <w:rPr>
                <w:rFonts w:eastAsia="Times New Roman" w:cs="Arial"/>
                <w:szCs w:val="24"/>
                <w:lang w:eastAsia="en-GB"/>
              </w:rPr>
              <w:t>2019/20</w:t>
            </w:r>
          </w:p>
        </w:tc>
        <w:tc>
          <w:tcPr>
            <w:tcW w:w="1842" w:type="dxa"/>
          </w:tcPr>
          <w:p w14:paraId="1F2DBD80"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57</w:t>
            </w:r>
          </w:p>
        </w:tc>
        <w:tc>
          <w:tcPr>
            <w:tcW w:w="1842" w:type="dxa"/>
          </w:tcPr>
          <w:p w14:paraId="38CBA0EE"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22</w:t>
            </w:r>
          </w:p>
        </w:tc>
        <w:tc>
          <w:tcPr>
            <w:tcW w:w="1842" w:type="dxa"/>
          </w:tcPr>
          <w:p w14:paraId="76E9A499"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79</w:t>
            </w:r>
          </w:p>
        </w:tc>
      </w:tr>
      <w:tr w:rsidR="00F949C6" w:rsidRPr="00F949C6" w14:paraId="54BC6F89" w14:textId="77777777" w:rsidTr="00ED2C1B">
        <w:tc>
          <w:tcPr>
            <w:tcW w:w="1875" w:type="dxa"/>
          </w:tcPr>
          <w:p w14:paraId="01200E0C" w14:textId="77777777" w:rsidR="00F949C6" w:rsidRPr="00F949C6" w:rsidRDefault="00F949C6" w:rsidP="00F949C6">
            <w:pPr>
              <w:rPr>
                <w:rFonts w:eastAsia="Times New Roman" w:cs="Arial"/>
                <w:szCs w:val="24"/>
                <w:lang w:eastAsia="en-GB"/>
              </w:rPr>
            </w:pPr>
            <w:r w:rsidRPr="00F949C6">
              <w:rPr>
                <w:rFonts w:eastAsia="Times New Roman" w:cs="Arial"/>
                <w:szCs w:val="24"/>
                <w:lang w:eastAsia="en-GB"/>
              </w:rPr>
              <w:t>2020/21</w:t>
            </w:r>
          </w:p>
        </w:tc>
        <w:tc>
          <w:tcPr>
            <w:tcW w:w="1842" w:type="dxa"/>
          </w:tcPr>
          <w:p w14:paraId="45C799BB"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65</w:t>
            </w:r>
          </w:p>
        </w:tc>
        <w:tc>
          <w:tcPr>
            <w:tcW w:w="1842" w:type="dxa"/>
          </w:tcPr>
          <w:p w14:paraId="15617DB1"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22</w:t>
            </w:r>
          </w:p>
        </w:tc>
        <w:tc>
          <w:tcPr>
            <w:tcW w:w="1842" w:type="dxa"/>
          </w:tcPr>
          <w:p w14:paraId="581FBDAD"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87</w:t>
            </w:r>
          </w:p>
        </w:tc>
      </w:tr>
      <w:tr w:rsidR="00F949C6" w:rsidRPr="00F949C6" w14:paraId="3AA81534" w14:textId="77777777" w:rsidTr="00ED2C1B">
        <w:tc>
          <w:tcPr>
            <w:tcW w:w="1875" w:type="dxa"/>
          </w:tcPr>
          <w:p w14:paraId="5C0FC4DE" w14:textId="77777777" w:rsidR="00F949C6" w:rsidRPr="00F949C6" w:rsidRDefault="00F949C6" w:rsidP="00F949C6">
            <w:pPr>
              <w:rPr>
                <w:rFonts w:eastAsia="Times New Roman" w:cs="Arial"/>
                <w:szCs w:val="24"/>
                <w:lang w:eastAsia="en-GB"/>
              </w:rPr>
            </w:pPr>
            <w:r w:rsidRPr="00F949C6">
              <w:rPr>
                <w:rFonts w:eastAsia="Times New Roman" w:cs="Arial"/>
                <w:szCs w:val="24"/>
                <w:lang w:eastAsia="en-GB"/>
              </w:rPr>
              <w:t>2021/22</w:t>
            </w:r>
          </w:p>
        </w:tc>
        <w:tc>
          <w:tcPr>
            <w:tcW w:w="1842" w:type="dxa"/>
          </w:tcPr>
          <w:p w14:paraId="64005A47"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68</w:t>
            </w:r>
          </w:p>
        </w:tc>
        <w:tc>
          <w:tcPr>
            <w:tcW w:w="1842" w:type="dxa"/>
          </w:tcPr>
          <w:p w14:paraId="7C9449A1"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22</w:t>
            </w:r>
          </w:p>
        </w:tc>
        <w:tc>
          <w:tcPr>
            <w:tcW w:w="1842" w:type="dxa"/>
          </w:tcPr>
          <w:p w14:paraId="5FD99EA5"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90</w:t>
            </w:r>
          </w:p>
        </w:tc>
      </w:tr>
      <w:tr w:rsidR="00F949C6" w:rsidRPr="00F949C6" w14:paraId="1670BAEC" w14:textId="77777777" w:rsidTr="00ED2C1B">
        <w:trPr>
          <w:trHeight w:val="260"/>
        </w:trPr>
        <w:tc>
          <w:tcPr>
            <w:tcW w:w="1875" w:type="dxa"/>
          </w:tcPr>
          <w:p w14:paraId="5D424FFE" w14:textId="77777777" w:rsidR="00F949C6" w:rsidRPr="00F949C6" w:rsidRDefault="00F949C6" w:rsidP="00F949C6">
            <w:pPr>
              <w:rPr>
                <w:rFonts w:eastAsia="Times New Roman" w:cs="Arial"/>
                <w:szCs w:val="24"/>
                <w:lang w:eastAsia="en-GB"/>
              </w:rPr>
            </w:pPr>
            <w:r w:rsidRPr="00F949C6">
              <w:rPr>
                <w:rFonts w:eastAsia="Times New Roman" w:cs="Arial"/>
                <w:szCs w:val="24"/>
                <w:lang w:eastAsia="en-GB"/>
              </w:rPr>
              <w:t>2022/23</w:t>
            </w:r>
          </w:p>
        </w:tc>
        <w:tc>
          <w:tcPr>
            <w:tcW w:w="1842" w:type="dxa"/>
          </w:tcPr>
          <w:p w14:paraId="5403B6E3"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82</w:t>
            </w:r>
          </w:p>
        </w:tc>
        <w:tc>
          <w:tcPr>
            <w:tcW w:w="1842" w:type="dxa"/>
          </w:tcPr>
          <w:p w14:paraId="2D8C06B8"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22</w:t>
            </w:r>
          </w:p>
        </w:tc>
        <w:tc>
          <w:tcPr>
            <w:tcW w:w="1842" w:type="dxa"/>
          </w:tcPr>
          <w:p w14:paraId="6FEA9C07" w14:textId="77777777" w:rsidR="00F949C6" w:rsidRPr="00F949C6" w:rsidRDefault="00F949C6" w:rsidP="00F949C6">
            <w:pPr>
              <w:jc w:val="center"/>
              <w:rPr>
                <w:rFonts w:eastAsia="Times New Roman" w:cs="Arial"/>
                <w:szCs w:val="24"/>
                <w:lang w:eastAsia="en-GB"/>
              </w:rPr>
            </w:pPr>
            <w:r w:rsidRPr="00F949C6">
              <w:rPr>
                <w:rFonts w:eastAsia="Times New Roman" w:cs="Arial"/>
                <w:szCs w:val="24"/>
                <w:lang w:eastAsia="en-GB"/>
              </w:rPr>
              <w:t>104</w:t>
            </w:r>
          </w:p>
        </w:tc>
      </w:tr>
      <w:tr w:rsidR="00F949C6" w:rsidRPr="00F949C6" w14:paraId="0C57AA0D" w14:textId="77777777" w:rsidTr="00ED2C1B">
        <w:tc>
          <w:tcPr>
            <w:tcW w:w="1875" w:type="dxa"/>
          </w:tcPr>
          <w:p w14:paraId="7DBFA54E" w14:textId="77777777" w:rsidR="00F949C6" w:rsidRPr="00F949C6" w:rsidRDefault="00F949C6" w:rsidP="00F949C6">
            <w:pPr>
              <w:rPr>
                <w:rFonts w:eastAsia="Times New Roman" w:cs="Arial"/>
                <w:bCs/>
                <w:szCs w:val="24"/>
                <w:lang w:eastAsia="en-GB"/>
              </w:rPr>
            </w:pPr>
            <w:r w:rsidRPr="00F949C6">
              <w:rPr>
                <w:rFonts w:eastAsia="Times New Roman" w:cs="Arial"/>
                <w:bCs/>
                <w:szCs w:val="24"/>
                <w:lang w:eastAsia="en-GB"/>
              </w:rPr>
              <w:t>2023/24</w:t>
            </w:r>
          </w:p>
        </w:tc>
        <w:tc>
          <w:tcPr>
            <w:tcW w:w="1842" w:type="dxa"/>
          </w:tcPr>
          <w:p w14:paraId="3C359CAB" w14:textId="77777777" w:rsidR="00F949C6" w:rsidRPr="00F949C6" w:rsidRDefault="00F949C6" w:rsidP="00F949C6">
            <w:pPr>
              <w:jc w:val="center"/>
              <w:rPr>
                <w:rFonts w:eastAsia="Times New Roman" w:cs="Arial"/>
                <w:bCs/>
                <w:szCs w:val="24"/>
                <w:lang w:eastAsia="en-GB"/>
              </w:rPr>
            </w:pPr>
            <w:r w:rsidRPr="00F949C6">
              <w:rPr>
                <w:rFonts w:eastAsia="Times New Roman" w:cs="Arial"/>
                <w:bCs/>
                <w:szCs w:val="24"/>
                <w:lang w:eastAsia="en-GB"/>
              </w:rPr>
              <w:t>82</w:t>
            </w:r>
          </w:p>
        </w:tc>
        <w:tc>
          <w:tcPr>
            <w:tcW w:w="1842" w:type="dxa"/>
          </w:tcPr>
          <w:p w14:paraId="6FC8255C" w14:textId="77777777" w:rsidR="00F949C6" w:rsidRPr="00F949C6" w:rsidRDefault="00F949C6" w:rsidP="00F949C6">
            <w:pPr>
              <w:jc w:val="center"/>
              <w:rPr>
                <w:rFonts w:eastAsia="Times New Roman" w:cs="Arial"/>
                <w:bCs/>
                <w:szCs w:val="24"/>
                <w:lang w:eastAsia="en-GB"/>
              </w:rPr>
            </w:pPr>
            <w:r w:rsidRPr="00F949C6">
              <w:rPr>
                <w:rFonts w:eastAsia="Times New Roman" w:cs="Arial"/>
                <w:bCs/>
                <w:szCs w:val="24"/>
                <w:lang w:eastAsia="en-GB"/>
              </w:rPr>
              <w:t>22</w:t>
            </w:r>
          </w:p>
        </w:tc>
        <w:tc>
          <w:tcPr>
            <w:tcW w:w="1842" w:type="dxa"/>
          </w:tcPr>
          <w:p w14:paraId="6C4E2112" w14:textId="77777777" w:rsidR="00F949C6" w:rsidRPr="00F949C6" w:rsidRDefault="00F949C6" w:rsidP="00F949C6">
            <w:pPr>
              <w:jc w:val="center"/>
              <w:rPr>
                <w:rFonts w:eastAsia="Times New Roman" w:cs="Arial"/>
                <w:bCs/>
                <w:szCs w:val="24"/>
                <w:lang w:eastAsia="en-GB"/>
              </w:rPr>
            </w:pPr>
            <w:r w:rsidRPr="00F949C6">
              <w:rPr>
                <w:rFonts w:eastAsia="Times New Roman" w:cs="Arial"/>
                <w:bCs/>
                <w:szCs w:val="24"/>
                <w:lang w:eastAsia="en-GB"/>
              </w:rPr>
              <w:t>104</w:t>
            </w:r>
          </w:p>
        </w:tc>
      </w:tr>
      <w:tr w:rsidR="00F949C6" w:rsidRPr="00F949C6" w14:paraId="69022A61" w14:textId="77777777" w:rsidTr="00ED2C1B">
        <w:tc>
          <w:tcPr>
            <w:tcW w:w="1875" w:type="dxa"/>
          </w:tcPr>
          <w:p w14:paraId="1A23679A" w14:textId="77777777" w:rsidR="00F949C6" w:rsidRPr="00F949C6" w:rsidRDefault="00F949C6" w:rsidP="00F949C6">
            <w:pPr>
              <w:rPr>
                <w:rFonts w:eastAsia="Times New Roman" w:cs="Arial"/>
                <w:bCs/>
                <w:szCs w:val="24"/>
                <w:lang w:eastAsia="en-GB"/>
              </w:rPr>
            </w:pPr>
            <w:r w:rsidRPr="00F949C6">
              <w:rPr>
                <w:rFonts w:eastAsia="Times New Roman" w:cs="Arial"/>
                <w:bCs/>
                <w:szCs w:val="24"/>
                <w:lang w:eastAsia="en-GB"/>
              </w:rPr>
              <w:t>2024/25</w:t>
            </w:r>
          </w:p>
        </w:tc>
        <w:tc>
          <w:tcPr>
            <w:tcW w:w="1842" w:type="dxa"/>
          </w:tcPr>
          <w:p w14:paraId="5B4A3F3C" w14:textId="77777777" w:rsidR="00F949C6" w:rsidRPr="00F949C6" w:rsidRDefault="00F949C6" w:rsidP="00F949C6">
            <w:pPr>
              <w:jc w:val="center"/>
              <w:rPr>
                <w:rFonts w:eastAsia="Times New Roman" w:cs="Arial"/>
                <w:b/>
                <w:szCs w:val="24"/>
                <w:lang w:eastAsia="en-GB"/>
              </w:rPr>
            </w:pPr>
            <w:r w:rsidRPr="00F949C6">
              <w:rPr>
                <w:rFonts w:eastAsia="Times New Roman" w:cs="Arial"/>
                <w:b/>
                <w:szCs w:val="24"/>
                <w:lang w:eastAsia="en-GB"/>
              </w:rPr>
              <w:t>70</w:t>
            </w:r>
          </w:p>
        </w:tc>
        <w:tc>
          <w:tcPr>
            <w:tcW w:w="1842" w:type="dxa"/>
          </w:tcPr>
          <w:p w14:paraId="4A68B4CB" w14:textId="77777777" w:rsidR="00F949C6" w:rsidRPr="00F949C6" w:rsidRDefault="00F949C6" w:rsidP="00F949C6">
            <w:pPr>
              <w:jc w:val="center"/>
              <w:rPr>
                <w:rFonts w:eastAsia="Times New Roman" w:cs="Arial"/>
                <w:b/>
                <w:szCs w:val="24"/>
                <w:lang w:eastAsia="en-GB"/>
              </w:rPr>
            </w:pPr>
            <w:r w:rsidRPr="00F949C6">
              <w:rPr>
                <w:rFonts w:eastAsia="Times New Roman" w:cs="Arial"/>
                <w:b/>
                <w:szCs w:val="24"/>
                <w:lang w:eastAsia="en-GB"/>
              </w:rPr>
              <w:t>22</w:t>
            </w:r>
          </w:p>
        </w:tc>
        <w:tc>
          <w:tcPr>
            <w:tcW w:w="1842" w:type="dxa"/>
          </w:tcPr>
          <w:p w14:paraId="2DEC9AFA" w14:textId="77777777" w:rsidR="00F949C6" w:rsidRPr="00F949C6" w:rsidRDefault="00F949C6" w:rsidP="00F949C6">
            <w:pPr>
              <w:jc w:val="center"/>
              <w:rPr>
                <w:rFonts w:eastAsia="Times New Roman" w:cs="Arial"/>
                <w:b/>
                <w:szCs w:val="24"/>
                <w:lang w:eastAsia="en-GB"/>
              </w:rPr>
            </w:pPr>
            <w:r w:rsidRPr="00F949C6">
              <w:rPr>
                <w:rFonts w:eastAsia="Times New Roman" w:cs="Arial"/>
                <w:b/>
                <w:szCs w:val="24"/>
                <w:lang w:eastAsia="en-GB"/>
              </w:rPr>
              <w:t>92</w:t>
            </w:r>
          </w:p>
        </w:tc>
      </w:tr>
      <w:tr w:rsidR="00F949C6" w:rsidRPr="00F949C6" w14:paraId="53D919C6" w14:textId="77777777" w:rsidTr="00ED2C1B">
        <w:tc>
          <w:tcPr>
            <w:tcW w:w="1875" w:type="dxa"/>
            <w:shd w:val="clear" w:color="auto" w:fill="BDD6EE"/>
          </w:tcPr>
          <w:p w14:paraId="1320C8F9" w14:textId="77777777" w:rsidR="00F949C6" w:rsidRPr="00F949C6" w:rsidRDefault="00F949C6" w:rsidP="00F949C6">
            <w:pPr>
              <w:rPr>
                <w:rFonts w:eastAsia="Times New Roman" w:cs="Arial"/>
                <w:b/>
                <w:szCs w:val="24"/>
                <w:lang w:eastAsia="en-GB"/>
              </w:rPr>
            </w:pPr>
            <w:proofErr w:type="gramStart"/>
            <w:r w:rsidRPr="00F949C6">
              <w:rPr>
                <w:rFonts w:eastAsia="Times New Roman" w:cs="Arial"/>
                <w:b/>
                <w:szCs w:val="24"/>
                <w:lang w:eastAsia="en-GB"/>
              </w:rPr>
              <w:t>10 year</w:t>
            </w:r>
            <w:proofErr w:type="gramEnd"/>
            <w:r w:rsidRPr="00F949C6">
              <w:rPr>
                <w:rFonts w:eastAsia="Times New Roman" w:cs="Arial"/>
                <w:b/>
                <w:szCs w:val="24"/>
                <w:lang w:eastAsia="en-GB"/>
              </w:rPr>
              <w:t xml:space="preserve"> Average</w:t>
            </w:r>
          </w:p>
        </w:tc>
        <w:tc>
          <w:tcPr>
            <w:tcW w:w="1842" w:type="dxa"/>
            <w:shd w:val="clear" w:color="auto" w:fill="BDD6EE"/>
          </w:tcPr>
          <w:p w14:paraId="6BCAA3FD" w14:textId="77777777" w:rsidR="00F949C6" w:rsidRPr="00F949C6" w:rsidRDefault="00F949C6" w:rsidP="00F949C6">
            <w:pPr>
              <w:jc w:val="center"/>
              <w:rPr>
                <w:rFonts w:eastAsia="Times New Roman" w:cs="Arial"/>
                <w:b/>
                <w:szCs w:val="24"/>
                <w:lang w:eastAsia="en-GB"/>
              </w:rPr>
            </w:pPr>
            <w:r w:rsidRPr="00F949C6">
              <w:rPr>
                <w:rFonts w:eastAsia="Times New Roman" w:cs="Arial"/>
                <w:b/>
                <w:szCs w:val="24"/>
                <w:lang w:eastAsia="en-GB"/>
              </w:rPr>
              <w:t>81.3</w:t>
            </w:r>
          </w:p>
        </w:tc>
        <w:tc>
          <w:tcPr>
            <w:tcW w:w="1842" w:type="dxa"/>
            <w:shd w:val="clear" w:color="auto" w:fill="BDD6EE"/>
          </w:tcPr>
          <w:p w14:paraId="58020F34" w14:textId="77777777" w:rsidR="00F949C6" w:rsidRPr="00F949C6" w:rsidRDefault="00F949C6" w:rsidP="00F949C6">
            <w:pPr>
              <w:jc w:val="center"/>
              <w:rPr>
                <w:rFonts w:eastAsia="Times New Roman" w:cs="Arial"/>
                <w:b/>
                <w:szCs w:val="24"/>
                <w:lang w:eastAsia="en-GB"/>
              </w:rPr>
            </w:pPr>
            <w:r w:rsidRPr="00F949C6">
              <w:rPr>
                <w:rFonts w:eastAsia="Times New Roman" w:cs="Arial"/>
                <w:b/>
                <w:szCs w:val="24"/>
                <w:lang w:eastAsia="en-GB"/>
              </w:rPr>
              <w:t>22</w:t>
            </w:r>
          </w:p>
        </w:tc>
        <w:tc>
          <w:tcPr>
            <w:tcW w:w="1842" w:type="dxa"/>
            <w:shd w:val="clear" w:color="auto" w:fill="BDD6EE"/>
          </w:tcPr>
          <w:p w14:paraId="620E261D" w14:textId="77777777" w:rsidR="00F949C6" w:rsidRPr="00F949C6" w:rsidRDefault="00F949C6" w:rsidP="00F949C6">
            <w:pPr>
              <w:jc w:val="center"/>
              <w:rPr>
                <w:rFonts w:eastAsia="Times New Roman" w:cs="Arial"/>
                <w:b/>
                <w:szCs w:val="24"/>
                <w:lang w:eastAsia="en-GB"/>
              </w:rPr>
            </w:pPr>
            <w:r w:rsidRPr="00F949C6">
              <w:rPr>
                <w:rFonts w:eastAsia="Times New Roman" w:cs="Arial"/>
                <w:b/>
                <w:szCs w:val="24"/>
                <w:lang w:eastAsia="en-GB"/>
              </w:rPr>
              <w:t>103.3</w:t>
            </w:r>
          </w:p>
        </w:tc>
      </w:tr>
    </w:tbl>
    <w:p w14:paraId="4ABEA8B4" w14:textId="77777777" w:rsidR="00F949C6" w:rsidRPr="00F949C6" w:rsidRDefault="00F949C6" w:rsidP="00F949C6">
      <w:pPr>
        <w:ind w:left="360" w:hanging="360"/>
        <w:rPr>
          <w:rFonts w:eastAsia="Times New Roman" w:cs="Arial"/>
          <w:szCs w:val="24"/>
          <w:lang w:eastAsia="en-GB"/>
        </w:rPr>
      </w:pPr>
    </w:p>
    <w:p w14:paraId="0F5AF130" w14:textId="77777777" w:rsidR="00F949C6" w:rsidRPr="00F949C6" w:rsidRDefault="00F949C6" w:rsidP="00F949C6">
      <w:pPr>
        <w:ind w:left="360" w:hanging="360"/>
        <w:rPr>
          <w:rFonts w:eastAsia="Times New Roman" w:cs="Arial"/>
          <w:szCs w:val="24"/>
          <w:lang w:eastAsia="en-GB"/>
        </w:rPr>
      </w:pPr>
    </w:p>
    <w:p w14:paraId="0418C205" w14:textId="77777777" w:rsidR="003912AF" w:rsidRPr="007C0A40" w:rsidRDefault="003912AF" w:rsidP="003912AF">
      <w:pPr>
        <w:ind w:left="360" w:hanging="360"/>
        <w:rPr>
          <w:rFonts w:eastAsia="Times New Roman" w:cs="Arial"/>
          <w:szCs w:val="24"/>
          <w:lang w:eastAsia="en-GB"/>
        </w:rPr>
      </w:pPr>
    </w:p>
    <w:p w14:paraId="47FCE0DF" w14:textId="6A2AD790" w:rsidR="00F8048E" w:rsidRDefault="00192C52" w:rsidP="00F8048E">
      <w:pPr>
        <w:spacing w:after="240" w:line="216" w:lineRule="auto"/>
        <w:contextualSpacing/>
        <w:rPr>
          <w:rFonts w:eastAsia="Times New Roman" w:cs="Arial"/>
          <w:szCs w:val="24"/>
          <w:lang w:eastAsia="en-GB"/>
        </w:rPr>
      </w:pPr>
      <w:r w:rsidRPr="00192C52">
        <w:rPr>
          <w:rFonts w:eastAsia="Times New Roman" w:cs="Arial"/>
          <w:szCs w:val="24"/>
          <w:lang w:eastAsia="en-GB"/>
        </w:rPr>
        <w:t xml:space="preserve">Based on 10 years of past trends a windfall allowance of </w:t>
      </w:r>
      <w:r w:rsidR="00F949C6">
        <w:rPr>
          <w:rFonts w:eastAsia="Times New Roman" w:cs="Arial"/>
          <w:szCs w:val="24"/>
          <w:lang w:eastAsia="en-GB"/>
        </w:rPr>
        <w:t>685</w:t>
      </w:r>
      <w:r w:rsidRPr="00192C52">
        <w:rPr>
          <w:rFonts w:eastAsia="Times New Roman" w:cs="Arial"/>
          <w:szCs w:val="24"/>
          <w:lang w:eastAsia="en-GB"/>
        </w:rPr>
        <w:t xml:space="preserve"> dwellings per annum from year 4 onwards is used, this is based on workings in the Greater Nottingham Joint Methodology Report for SHLAAs Document – City Appendix</w:t>
      </w:r>
      <w:r>
        <w:rPr>
          <w:rFonts w:eastAsia="Times New Roman" w:cs="Arial"/>
          <w:szCs w:val="24"/>
          <w:lang w:eastAsia="en-GB"/>
        </w:rPr>
        <w:t>.</w:t>
      </w:r>
    </w:p>
    <w:p w14:paraId="13AAD53C" w14:textId="77777777" w:rsidR="00F949C6" w:rsidRPr="00F949C6" w:rsidRDefault="00F949C6" w:rsidP="00F949C6">
      <w:pPr>
        <w:ind w:left="360" w:hanging="360"/>
        <w:rPr>
          <w:rFonts w:eastAsia="Times New Roman" w:cs="Arial"/>
          <w:szCs w:val="24"/>
          <w:lang w:eastAsia="en-GB"/>
        </w:rPr>
      </w:pPr>
    </w:p>
    <w:p w14:paraId="1BC30D54" w14:textId="77777777" w:rsidR="00F949C6" w:rsidRPr="00F949C6" w:rsidRDefault="00F949C6" w:rsidP="00F949C6">
      <w:pPr>
        <w:spacing w:after="240" w:line="216" w:lineRule="auto"/>
        <w:contextualSpacing/>
        <w:rPr>
          <w:rFonts w:eastAsia="Calibri" w:cs="Arial"/>
          <w:szCs w:val="24"/>
          <w:lang w:eastAsia="en-GB"/>
        </w:rPr>
      </w:pPr>
    </w:p>
    <w:tbl>
      <w:tblPr>
        <w:tblW w:w="8364" w:type="dxa"/>
        <w:tblInd w:w="108" w:type="dxa"/>
        <w:tblLook w:val="04A0" w:firstRow="1" w:lastRow="0" w:firstColumn="1" w:lastColumn="0" w:noHBand="0" w:noVBand="1"/>
      </w:tblPr>
      <w:tblGrid>
        <w:gridCol w:w="4820"/>
        <w:gridCol w:w="3544"/>
      </w:tblGrid>
      <w:tr w:rsidR="00F949C6" w:rsidRPr="00F949C6" w14:paraId="45489996" w14:textId="77777777" w:rsidTr="00ED2C1B">
        <w:trPr>
          <w:trHeight w:val="1139"/>
        </w:trPr>
        <w:tc>
          <w:tcPr>
            <w:tcW w:w="482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24E321A4" w14:textId="77777777" w:rsidR="00F949C6" w:rsidRPr="00F949C6" w:rsidRDefault="00F949C6" w:rsidP="00F949C6">
            <w:pPr>
              <w:rPr>
                <w:rFonts w:eastAsia="Times New Roman" w:cs="Arial"/>
                <w:b/>
                <w:color w:val="000000"/>
                <w:szCs w:val="24"/>
                <w:lang w:eastAsia="en-GB"/>
              </w:rPr>
            </w:pPr>
            <w:r w:rsidRPr="00F949C6">
              <w:rPr>
                <w:rFonts w:eastAsia="Times New Roman" w:cs="Arial"/>
                <w:b/>
                <w:color w:val="000000"/>
                <w:szCs w:val="24"/>
                <w:lang w:eastAsia="en-GB"/>
              </w:rPr>
              <w:t>Time Period</w:t>
            </w:r>
          </w:p>
        </w:tc>
        <w:tc>
          <w:tcPr>
            <w:tcW w:w="3544" w:type="dxa"/>
            <w:tcBorders>
              <w:top w:val="single" w:sz="8" w:space="0" w:color="auto"/>
              <w:left w:val="nil"/>
              <w:bottom w:val="single" w:sz="8" w:space="0" w:color="auto"/>
              <w:right w:val="single" w:sz="8" w:space="0" w:color="auto"/>
            </w:tcBorders>
            <w:shd w:val="clear" w:color="auto" w:fill="D9D9D9"/>
            <w:noWrap/>
            <w:vAlign w:val="center"/>
            <w:hideMark/>
          </w:tcPr>
          <w:p w14:paraId="388E470D" w14:textId="77777777" w:rsidR="00F949C6" w:rsidRPr="00F949C6" w:rsidRDefault="00F949C6" w:rsidP="00F949C6">
            <w:pPr>
              <w:jc w:val="center"/>
              <w:rPr>
                <w:rFonts w:eastAsia="Times New Roman" w:cs="Arial"/>
                <w:b/>
                <w:color w:val="000000"/>
                <w:szCs w:val="24"/>
                <w:lang w:eastAsia="en-GB"/>
              </w:rPr>
            </w:pPr>
            <w:r w:rsidRPr="00F949C6">
              <w:rPr>
                <w:rFonts w:eastAsia="Times New Roman" w:cs="Arial"/>
                <w:b/>
                <w:color w:val="000000"/>
                <w:szCs w:val="24"/>
                <w:lang w:eastAsia="en-GB"/>
              </w:rPr>
              <w:t>Average Windfall Completions</w:t>
            </w:r>
          </w:p>
        </w:tc>
      </w:tr>
      <w:tr w:rsidR="00F949C6" w:rsidRPr="00F949C6" w14:paraId="6BBD26E3" w14:textId="77777777" w:rsidTr="00ED2C1B">
        <w:trPr>
          <w:trHeight w:val="450"/>
        </w:trPr>
        <w:tc>
          <w:tcPr>
            <w:tcW w:w="4820" w:type="dxa"/>
            <w:tcBorders>
              <w:top w:val="nil"/>
              <w:left w:val="single" w:sz="8" w:space="0" w:color="auto"/>
              <w:bottom w:val="single" w:sz="8" w:space="0" w:color="auto"/>
              <w:right w:val="single" w:sz="8" w:space="0" w:color="auto"/>
            </w:tcBorders>
            <w:vAlign w:val="center"/>
            <w:hideMark/>
          </w:tcPr>
          <w:p w14:paraId="0D38DD7F" w14:textId="77777777" w:rsidR="00F949C6" w:rsidRPr="00F949C6" w:rsidRDefault="00F949C6" w:rsidP="00F949C6">
            <w:pPr>
              <w:rPr>
                <w:rFonts w:eastAsia="Times New Roman" w:cs="Arial"/>
                <w:color w:val="000000"/>
                <w:szCs w:val="24"/>
                <w:lang w:eastAsia="en-GB"/>
              </w:rPr>
            </w:pPr>
            <w:r w:rsidRPr="00F949C6">
              <w:rPr>
                <w:rFonts w:eastAsia="Times New Roman" w:cs="Arial"/>
                <w:color w:val="000000"/>
                <w:szCs w:val="24"/>
                <w:lang w:eastAsia="en-GB"/>
              </w:rPr>
              <w:t>2014/15</w:t>
            </w:r>
          </w:p>
        </w:tc>
        <w:tc>
          <w:tcPr>
            <w:tcW w:w="3544" w:type="dxa"/>
            <w:tcBorders>
              <w:top w:val="nil"/>
              <w:left w:val="nil"/>
              <w:bottom w:val="single" w:sz="8" w:space="0" w:color="auto"/>
              <w:right w:val="single" w:sz="8" w:space="0" w:color="auto"/>
            </w:tcBorders>
            <w:vAlign w:val="center"/>
            <w:hideMark/>
          </w:tcPr>
          <w:p w14:paraId="599607FC" w14:textId="77777777" w:rsidR="00F949C6" w:rsidRPr="00F949C6" w:rsidRDefault="00F949C6" w:rsidP="00F949C6">
            <w:pPr>
              <w:jc w:val="right"/>
              <w:rPr>
                <w:rFonts w:eastAsia="Times New Roman" w:cs="Arial"/>
                <w:color w:val="000000"/>
                <w:szCs w:val="24"/>
                <w:lang w:eastAsia="en-GB"/>
              </w:rPr>
            </w:pPr>
            <w:r w:rsidRPr="00F949C6">
              <w:rPr>
                <w:rFonts w:eastAsia="Times New Roman" w:cs="Arial"/>
                <w:color w:val="000000"/>
                <w:szCs w:val="24"/>
                <w:lang w:eastAsia="en-GB"/>
              </w:rPr>
              <w:t>80</w:t>
            </w:r>
          </w:p>
        </w:tc>
      </w:tr>
      <w:tr w:rsidR="00F949C6" w:rsidRPr="00F949C6" w14:paraId="6414D938" w14:textId="77777777" w:rsidTr="00ED2C1B">
        <w:trPr>
          <w:trHeight w:val="450"/>
        </w:trPr>
        <w:tc>
          <w:tcPr>
            <w:tcW w:w="4820" w:type="dxa"/>
            <w:tcBorders>
              <w:top w:val="nil"/>
              <w:left w:val="single" w:sz="8" w:space="0" w:color="auto"/>
              <w:bottom w:val="single" w:sz="8" w:space="0" w:color="auto"/>
              <w:right w:val="single" w:sz="8" w:space="0" w:color="auto"/>
            </w:tcBorders>
            <w:vAlign w:val="center"/>
            <w:hideMark/>
          </w:tcPr>
          <w:p w14:paraId="5289B239" w14:textId="77777777" w:rsidR="00F949C6" w:rsidRPr="00F949C6" w:rsidRDefault="00F949C6" w:rsidP="00F949C6">
            <w:pPr>
              <w:rPr>
                <w:rFonts w:eastAsia="Times New Roman" w:cs="Arial"/>
                <w:color w:val="000000"/>
                <w:szCs w:val="24"/>
                <w:lang w:eastAsia="en-GB"/>
              </w:rPr>
            </w:pPr>
            <w:r w:rsidRPr="00F949C6">
              <w:rPr>
                <w:rFonts w:eastAsia="Times New Roman" w:cs="Arial"/>
                <w:color w:val="000000"/>
                <w:szCs w:val="24"/>
                <w:lang w:eastAsia="en-GB"/>
              </w:rPr>
              <w:t>2015/16</w:t>
            </w:r>
          </w:p>
        </w:tc>
        <w:tc>
          <w:tcPr>
            <w:tcW w:w="3544" w:type="dxa"/>
            <w:tcBorders>
              <w:top w:val="nil"/>
              <w:left w:val="nil"/>
              <w:bottom w:val="single" w:sz="8" w:space="0" w:color="auto"/>
              <w:right w:val="single" w:sz="8" w:space="0" w:color="auto"/>
            </w:tcBorders>
            <w:vAlign w:val="center"/>
            <w:hideMark/>
          </w:tcPr>
          <w:p w14:paraId="078713F2" w14:textId="77777777" w:rsidR="00F949C6" w:rsidRPr="00F949C6" w:rsidRDefault="00F949C6" w:rsidP="00F949C6">
            <w:pPr>
              <w:jc w:val="right"/>
              <w:rPr>
                <w:rFonts w:eastAsia="Times New Roman" w:cs="Arial"/>
                <w:color w:val="000000"/>
                <w:szCs w:val="24"/>
                <w:lang w:eastAsia="en-GB"/>
              </w:rPr>
            </w:pPr>
            <w:r w:rsidRPr="00F949C6">
              <w:rPr>
                <w:rFonts w:eastAsia="Times New Roman" w:cs="Arial"/>
                <w:color w:val="000000"/>
                <w:szCs w:val="24"/>
                <w:lang w:eastAsia="en-GB"/>
              </w:rPr>
              <w:t>301</w:t>
            </w:r>
          </w:p>
        </w:tc>
      </w:tr>
      <w:tr w:rsidR="00F949C6" w:rsidRPr="00F949C6" w14:paraId="312E1590" w14:textId="77777777" w:rsidTr="00ED2C1B">
        <w:trPr>
          <w:trHeight w:val="474"/>
        </w:trPr>
        <w:tc>
          <w:tcPr>
            <w:tcW w:w="4820" w:type="dxa"/>
            <w:tcBorders>
              <w:top w:val="nil"/>
              <w:left w:val="single" w:sz="8" w:space="0" w:color="auto"/>
              <w:bottom w:val="single" w:sz="8" w:space="0" w:color="auto"/>
              <w:right w:val="single" w:sz="8" w:space="0" w:color="auto"/>
            </w:tcBorders>
            <w:noWrap/>
            <w:vAlign w:val="center"/>
          </w:tcPr>
          <w:p w14:paraId="0EDE1CED" w14:textId="77777777" w:rsidR="00F949C6" w:rsidRPr="00F949C6" w:rsidRDefault="00F949C6" w:rsidP="00F949C6">
            <w:pPr>
              <w:rPr>
                <w:rFonts w:eastAsia="Times New Roman" w:cs="Arial"/>
                <w:color w:val="000000"/>
                <w:szCs w:val="24"/>
                <w:lang w:eastAsia="en-GB"/>
              </w:rPr>
            </w:pPr>
            <w:r w:rsidRPr="00F949C6">
              <w:rPr>
                <w:rFonts w:eastAsia="Times New Roman" w:cs="Arial"/>
                <w:color w:val="000000"/>
                <w:szCs w:val="24"/>
                <w:lang w:eastAsia="en-GB"/>
              </w:rPr>
              <w:lastRenderedPageBreak/>
              <w:t>2016/17</w:t>
            </w:r>
          </w:p>
        </w:tc>
        <w:tc>
          <w:tcPr>
            <w:tcW w:w="3544" w:type="dxa"/>
            <w:tcBorders>
              <w:top w:val="nil"/>
              <w:left w:val="nil"/>
              <w:bottom w:val="single" w:sz="8" w:space="0" w:color="auto"/>
              <w:right w:val="single" w:sz="8" w:space="0" w:color="auto"/>
            </w:tcBorders>
            <w:noWrap/>
            <w:vAlign w:val="center"/>
          </w:tcPr>
          <w:p w14:paraId="7A0872EE" w14:textId="77777777" w:rsidR="00F949C6" w:rsidRPr="00F949C6" w:rsidRDefault="00F949C6" w:rsidP="00F949C6">
            <w:pPr>
              <w:jc w:val="right"/>
              <w:rPr>
                <w:rFonts w:eastAsia="Times New Roman" w:cs="Arial"/>
                <w:color w:val="000000"/>
                <w:szCs w:val="24"/>
                <w:lang w:eastAsia="en-GB"/>
              </w:rPr>
            </w:pPr>
            <w:r w:rsidRPr="00F949C6">
              <w:rPr>
                <w:rFonts w:eastAsia="Times New Roman" w:cs="Arial"/>
                <w:color w:val="000000"/>
                <w:szCs w:val="24"/>
                <w:lang w:eastAsia="en-GB"/>
              </w:rPr>
              <w:t>382</w:t>
            </w:r>
          </w:p>
        </w:tc>
      </w:tr>
      <w:tr w:rsidR="00F949C6" w:rsidRPr="00F949C6" w14:paraId="62309F3E" w14:textId="77777777" w:rsidTr="00ED2C1B">
        <w:trPr>
          <w:trHeight w:val="474"/>
        </w:trPr>
        <w:tc>
          <w:tcPr>
            <w:tcW w:w="4820" w:type="dxa"/>
            <w:tcBorders>
              <w:top w:val="nil"/>
              <w:left w:val="single" w:sz="8" w:space="0" w:color="auto"/>
              <w:bottom w:val="single" w:sz="8" w:space="0" w:color="auto"/>
              <w:right w:val="single" w:sz="8" w:space="0" w:color="auto"/>
            </w:tcBorders>
            <w:noWrap/>
            <w:vAlign w:val="center"/>
          </w:tcPr>
          <w:p w14:paraId="4FFE0DF4" w14:textId="77777777" w:rsidR="00F949C6" w:rsidRPr="00F949C6" w:rsidRDefault="00F949C6" w:rsidP="00F949C6">
            <w:pPr>
              <w:rPr>
                <w:rFonts w:eastAsia="Times New Roman" w:cs="Arial"/>
                <w:color w:val="000000"/>
                <w:szCs w:val="24"/>
                <w:lang w:eastAsia="en-GB"/>
              </w:rPr>
            </w:pPr>
            <w:r w:rsidRPr="00F949C6">
              <w:rPr>
                <w:rFonts w:eastAsia="Times New Roman" w:cs="Arial"/>
                <w:color w:val="000000"/>
                <w:szCs w:val="24"/>
                <w:lang w:eastAsia="en-GB"/>
              </w:rPr>
              <w:t>2017/18</w:t>
            </w:r>
          </w:p>
        </w:tc>
        <w:tc>
          <w:tcPr>
            <w:tcW w:w="3544" w:type="dxa"/>
            <w:tcBorders>
              <w:top w:val="nil"/>
              <w:left w:val="nil"/>
              <w:bottom w:val="single" w:sz="8" w:space="0" w:color="auto"/>
              <w:right w:val="single" w:sz="8" w:space="0" w:color="auto"/>
            </w:tcBorders>
            <w:noWrap/>
            <w:vAlign w:val="center"/>
          </w:tcPr>
          <w:p w14:paraId="606A1EE8" w14:textId="77777777" w:rsidR="00F949C6" w:rsidRPr="00F949C6" w:rsidRDefault="00F949C6" w:rsidP="00F949C6">
            <w:pPr>
              <w:jc w:val="right"/>
              <w:rPr>
                <w:rFonts w:eastAsia="Times New Roman" w:cs="Arial"/>
                <w:color w:val="000000"/>
                <w:szCs w:val="24"/>
                <w:lang w:eastAsia="en-GB"/>
              </w:rPr>
            </w:pPr>
            <w:r w:rsidRPr="00F949C6">
              <w:rPr>
                <w:rFonts w:eastAsia="Times New Roman" w:cs="Arial"/>
                <w:color w:val="000000"/>
                <w:szCs w:val="24"/>
                <w:lang w:eastAsia="en-GB"/>
              </w:rPr>
              <w:t>580</w:t>
            </w:r>
          </w:p>
        </w:tc>
      </w:tr>
      <w:tr w:rsidR="00F949C6" w:rsidRPr="00F949C6" w14:paraId="2BCE71AF" w14:textId="77777777" w:rsidTr="00ED2C1B">
        <w:trPr>
          <w:trHeight w:val="474"/>
        </w:trPr>
        <w:tc>
          <w:tcPr>
            <w:tcW w:w="4820" w:type="dxa"/>
            <w:tcBorders>
              <w:top w:val="nil"/>
              <w:left w:val="single" w:sz="8" w:space="0" w:color="auto"/>
              <w:bottom w:val="single" w:sz="8" w:space="0" w:color="auto"/>
              <w:right w:val="single" w:sz="8" w:space="0" w:color="auto"/>
            </w:tcBorders>
            <w:noWrap/>
            <w:vAlign w:val="center"/>
          </w:tcPr>
          <w:p w14:paraId="7E59FC1D" w14:textId="77777777" w:rsidR="00F949C6" w:rsidRPr="00F949C6" w:rsidRDefault="00F949C6" w:rsidP="00F949C6">
            <w:pPr>
              <w:rPr>
                <w:rFonts w:eastAsia="Times New Roman" w:cs="Arial"/>
                <w:color w:val="000000"/>
                <w:szCs w:val="24"/>
                <w:lang w:eastAsia="en-GB"/>
              </w:rPr>
            </w:pPr>
            <w:r w:rsidRPr="00F949C6">
              <w:rPr>
                <w:rFonts w:eastAsia="Times New Roman" w:cs="Arial"/>
                <w:color w:val="000000"/>
                <w:szCs w:val="24"/>
                <w:lang w:eastAsia="en-GB"/>
              </w:rPr>
              <w:t>2018/19</w:t>
            </w:r>
          </w:p>
        </w:tc>
        <w:tc>
          <w:tcPr>
            <w:tcW w:w="3544" w:type="dxa"/>
            <w:tcBorders>
              <w:top w:val="nil"/>
              <w:left w:val="nil"/>
              <w:bottom w:val="single" w:sz="8" w:space="0" w:color="auto"/>
              <w:right w:val="single" w:sz="8" w:space="0" w:color="auto"/>
            </w:tcBorders>
            <w:noWrap/>
            <w:vAlign w:val="center"/>
          </w:tcPr>
          <w:p w14:paraId="5D29E8A2" w14:textId="77777777" w:rsidR="00F949C6" w:rsidRPr="00F949C6" w:rsidRDefault="00F949C6" w:rsidP="00F949C6">
            <w:pPr>
              <w:jc w:val="right"/>
              <w:rPr>
                <w:rFonts w:eastAsia="Times New Roman" w:cs="Arial"/>
                <w:color w:val="000000"/>
                <w:szCs w:val="24"/>
                <w:lang w:eastAsia="en-GB"/>
              </w:rPr>
            </w:pPr>
            <w:r w:rsidRPr="00F949C6">
              <w:rPr>
                <w:rFonts w:eastAsia="Times New Roman" w:cs="Arial"/>
                <w:color w:val="000000"/>
                <w:szCs w:val="24"/>
                <w:lang w:eastAsia="en-GB"/>
              </w:rPr>
              <w:t>733</w:t>
            </w:r>
          </w:p>
        </w:tc>
      </w:tr>
      <w:tr w:rsidR="00F949C6" w:rsidRPr="00F949C6" w14:paraId="14A82764" w14:textId="77777777" w:rsidTr="00ED2C1B">
        <w:trPr>
          <w:trHeight w:val="474"/>
        </w:trPr>
        <w:tc>
          <w:tcPr>
            <w:tcW w:w="4820" w:type="dxa"/>
            <w:tcBorders>
              <w:top w:val="nil"/>
              <w:left w:val="single" w:sz="8" w:space="0" w:color="auto"/>
              <w:bottom w:val="single" w:sz="8" w:space="0" w:color="auto"/>
              <w:right w:val="single" w:sz="8" w:space="0" w:color="auto"/>
            </w:tcBorders>
            <w:noWrap/>
            <w:vAlign w:val="center"/>
          </w:tcPr>
          <w:p w14:paraId="29EC1075" w14:textId="77777777" w:rsidR="00F949C6" w:rsidRPr="00F949C6" w:rsidRDefault="00F949C6" w:rsidP="00F949C6">
            <w:pPr>
              <w:rPr>
                <w:rFonts w:eastAsia="Times New Roman" w:cs="Arial"/>
                <w:color w:val="000000"/>
                <w:szCs w:val="24"/>
                <w:lang w:eastAsia="en-GB"/>
              </w:rPr>
            </w:pPr>
            <w:r w:rsidRPr="00F949C6">
              <w:rPr>
                <w:rFonts w:eastAsia="Times New Roman" w:cs="Arial"/>
                <w:color w:val="000000"/>
                <w:szCs w:val="24"/>
                <w:lang w:eastAsia="en-GB"/>
              </w:rPr>
              <w:t>2019/20</w:t>
            </w:r>
          </w:p>
        </w:tc>
        <w:tc>
          <w:tcPr>
            <w:tcW w:w="3544" w:type="dxa"/>
            <w:tcBorders>
              <w:top w:val="nil"/>
              <w:left w:val="nil"/>
              <w:bottom w:val="single" w:sz="8" w:space="0" w:color="auto"/>
              <w:right w:val="single" w:sz="8" w:space="0" w:color="auto"/>
            </w:tcBorders>
            <w:noWrap/>
            <w:vAlign w:val="center"/>
          </w:tcPr>
          <w:p w14:paraId="60400FB9" w14:textId="77777777" w:rsidR="00F949C6" w:rsidRPr="00F949C6" w:rsidRDefault="00F949C6" w:rsidP="00F949C6">
            <w:pPr>
              <w:jc w:val="right"/>
              <w:rPr>
                <w:rFonts w:eastAsia="Times New Roman" w:cs="Arial"/>
                <w:color w:val="000000"/>
                <w:szCs w:val="24"/>
                <w:lang w:eastAsia="en-GB"/>
              </w:rPr>
            </w:pPr>
            <w:r w:rsidRPr="00F949C6">
              <w:rPr>
                <w:rFonts w:eastAsia="Times New Roman" w:cs="Arial"/>
                <w:color w:val="000000"/>
                <w:szCs w:val="24"/>
                <w:lang w:eastAsia="en-GB"/>
              </w:rPr>
              <w:t>471</w:t>
            </w:r>
          </w:p>
        </w:tc>
      </w:tr>
      <w:tr w:rsidR="00F949C6" w:rsidRPr="00F949C6" w14:paraId="49BA2411" w14:textId="77777777" w:rsidTr="00ED2C1B">
        <w:trPr>
          <w:trHeight w:val="396"/>
        </w:trPr>
        <w:tc>
          <w:tcPr>
            <w:tcW w:w="4820" w:type="dxa"/>
            <w:tcBorders>
              <w:top w:val="nil"/>
              <w:left w:val="single" w:sz="8" w:space="0" w:color="auto"/>
              <w:bottom w:val="single" w:sz="8" w:space="0" w:color="auto"/>
              <w:right w:val="single" w:sz="8" w:space="0" w:color="auto"/>
            </w:tcBorders>
            <w:noWrap/>
            <w:vAlign w:val="center"/>
          </w:tcPr>
          <w:p w14:paraId="11FBF27C" w14:textId="77777777" w:rsidR="00F949C6" w:rsidRPr="00F949C6" w:rsidRDefault="00F949C6" w:rsidP="00F949C6">
            <w:pPr>
              <w:rPr>
                <w:rFonts w:eastAsia="Times New Roman" w:cs="Arial"/>
                <w:color w:val="000000"/>
                <w:szCs w:val="24"/>
                <w:lang w:eastAsia="en-GB"/>
              </w:rPr>
            </w:pPr>
            <w:r w:rsidRPr="00F949C6">
              <w:rPr>
                <w:rFonts w:eastAsia="Times New Roman" w:cs="Arial"/>
                <w:color w:val="000000"/>
                <w:szCs w:val="24"/>
                <w:lang w:eastAsia="en-GB"/>
              </w:rPr>
              <w:t>2020/21</w:t>
            </w:r>
          </w:p>
        </w:tc>
        <w:tc>
          <w:tcPr>
            <w:tcW w:w="3544" w:type="dxa"/>
            <w:tcBorders>
              <w:top w:val="nil"/>
              <w:left w:val="nil"/>
              <w:bottom w:val="single" w:sz="8" w:space="0" w:color="auto"/>
              <w:right w:val="single" w:sz="8" w:space="0" w:color="auto"/>
            </w:tcBorders>
            <w:noWrap/>
            <w:vAlign w:val="center"/>
          </w:tcPr>
          <w:p w14:paraId="099239A5" w14:textId="77777777" w:rsidR="00F949C6" w:rsidRPr="00F949C6" w:rsidRDefault="00F949C6" w:rsidP="00F949C6">
            <w:pPr>
              <w:jc w:val="right"/>
              <w:rPr>
                <w:rFonts w:eastAsia="Times New Roman" w:cs="Arial"/>
                <w:color w:val="000000"/>
                <w:szCs w:val="24"/>
                <w:lang w:eastAsia="en-GB"/>
              </w:rPr>
            </w:pPr>
            <w:r w:rsidRPr="00F949C6">
              <w:rPr>
                <w:rFonts w:eastAsia="Times New Roman" w:cs="Arial"/>
                <w:color w:val="000000"/>
                <w:szCs w:val="24"/>
                <w:lang w:eastAsia="en-GB"/>
              </w:rPr>
              <w:t>648</w:t>
            </w:r>
          </w:p>
        </w:tc>
      </w:tr>
      <w:tr w:rsidR="00F949C6" w:rsidRPr="00F949C6" w14:paraId="5C736426" w14:textId="77777777" w:rsidTr="00ED2C1B">
        <w:trPr>
          <w:trHeight w:val="417"/>
        </w:trPr>
        <w:tc>
          <w:tcPr>
            <w:tcW w:w="4820" w:type="dxa"/>
            <w:tcBorders>
              <w:top w:val="nil"/>
              <w:left w:val="single" w:sz="8" w:space="0" w:color="auto"/>
              <w:bottom w:val="single" w:sz="8" w:space="0" w:color="auto"/>
              <w:right w:val="single" w:sz="8" w:space="0" w:color="auto"/>
            </w:tcBorders>
            <w:noWrap/>
            <w:vAlign w:val="center"/>
          </w:tcPr>
          <w:p w14:paraId="050671B4" w14:textId="77777777" w:rsidR="00F949C6" w:rsidRPr="00F949C6" w:rsidRDefault="00F949C6" w:rsidP="00F949C6">
            <w:pPr>
              <w:rPr>
                <w:rFonts w:eastAsia="Times New Roman" w:cs="Arial"/>
                <w:color w:val="000000"/>
                <w:szCs w:val="24"/>
                <w:lang w:eastAsia="en-GB"/>
              </w:rPr>
            </w:pPr>
            <w:r w:rsidRPr="00F949C6">
              <w:rPr>
                <w:rFonts w:eastAsia="Times New Roman" w:cs="Arial"/>
                <w:color w:val="000000"/>
                <w:szCs w:val="24"/>
                <w:lang w:eastAsia="en-GB"/>
              </w:rPr>
              <w:t>2021/22</w:t>
            </w:r>
          </w:p>
        </w:tc>
        <w:tc>
          <w:tcPr>
            <w:tcW w:w="3544" w:type="dxa"/>
            <w:tcBorders>
              <w:top w:val="nil"/>
              <w:left w:val="nil"/>
              <w:bottom w:val="single" w:sz="8" w:space="0" w:color="auto"/>
              <w:right w:val="single" w:sz="8" w:space="0" w:color="auto"/>
            </w:tcBorders>
            <w:noWrap/>
            <w:vAlign w:val="center"/>
          </w:tcPr>
          <w:p w14:paraId="6344AB7A" w14:textId="77777777" w:rsidR="00F949C6" w:rsidRPr="00F949C6" w:rsidRDefault="00F949C6" w:rsidP="00F949C6">
            <w:pPr>
              <w:jc w:val="right"/>
              <w:rPr>
                <w:rFonts w:eastAsia="Times New Roman" w:cs="Arial"/>
                <w:color w:val="000000"/>
                <w:szCs w:val="24"/>
                <w:lang w:eastAsia="en-GB"/>
              </w:rPr>
            </w:pPr>
            <w:r w:rsidRPr="00F949C6">
              <w:rPr>
                <w:rFonts w:eastAsia="Times New Roman" w:cs="Arial"/>
                <w:color w:val="000000"/>
                <w:szCs w:val="24"/>
                <w:lang w:eastAsia="en-GB"/>
              </w:rPr>
              <w:t>740</w:t>
            </w:r>
          </w:p>
        </w:tc>
      </w:tr>
      <w:tr w:rsidR="00F949C6" w:rsidRPr="00F949C6" w14:paraId="5456D818" w14:textId="77777777" w:rsidTr="00ED2C1B">
        <w:trPr>
          <w:trHeight w:val="417"/>
        </w:trPr>
        <w:tc>
          <w:tcPr>
            <w:tcW w:w="4820" w:type="dxa"/>
            <w:tcBorders>
              <w:top w:val="nil"/>
              <w:left w:val="single" w:sz="8" w:space="0" w:color="auto"/>
              <w:bottom w:val="single" w:sz="8" w:space="0" w:color="auto"/>
              <w:right w:val="single" w:sz="8" w:space="0" w:color="auto"/>
            </w:tcBorders>
            <w:noWrap/>
            <w:vAlign w:val="center"/>
          </w:tcPr>
          <w:p w14:paraId="51D5F72C" w14:textId="77777777" w:rsidR="00F949C6" w:rsidRPr="00F949C6" w:rsidRDefault="00F949C6" w:rsidP="00F949C6">
            <w:pPr>
              <w:rPr>
                <w:rFonts w:eastAsia="Times New Roman" w:cs="Arial"/>
                <w:color w:val="000000"/>
                <w:szCs w:val="24"/>
                <w:lang w:eastAsia="en-GB"/>
              </w:rPr>
            </w:pPr>
            <w:r w:rsidRPr="00F949C6">
              <w:rPr>
                <w:rFonts w:eastAsia="Times New Roman" w:cs="Arial"/>
                <w:color w:val="000000"/>
                <w:szCs w:val="24"/>
                <w:lang w:eastAsia="en-GB"/>
              </w:rPr>
              <w:t>2022/23</w:t>
            </w:r>
          </w:p>
        </w:tc>
        <w:tc>
          <w:tcPr>
            <w:tcW w:w="3544" w:type="dxa"/>
            <w:tcBorders>
              <w:top w:val="nil"/>
              <w:left w:val="nil"/>
              <w:bottom w:val="single" w:sz="8" w:space="0" w:color="auto"/>
              <w:right w:val="single" w:sz="8" w:space="0" w:color="auto"/>
            </w:tcBorders>
            <w:noWrap/>
            <w:vAlign w:val="center"/>
          </w:tcPr>
          <w:p w14:paraId="18782602" w14:textId="77777777" w:rsidR="00F949C6" w:rsidRPr="00F949C6" w:rsidRDefault="00F949C6" w:rsidP="00F949C6">
            <w:pPr>
              <w:jc w:val="right"/>
              <w:rPr>
                <w:rFonts w:eastAsia="Times New Roman" w:cs="Arial"/>
                <w:color w:val="000000"/>
                <w:szCs w:val="24"/>
                <w:lang w:eastAsia="en-GB"/>
              </w:rPr>
            </w:pPr>
            <w:r w:rsidRPr="00F949C6">
              <w:rPr>
                <w:rFonts w:eastAsia="Times New Roman" w:cs="Arial"/>
                <w:color w:val="000000"/>
                <w:szCs w:val="24"/>
                <w:lang w:eastAsia="en-GB"/>
              </w:rPr>
              <w:t>829</w:t>
            </w:r>
          </w:p>
        </w:tc>
      </w:tr>
      <w:tr w:rsidR="00F949C6" w:rsidRPr="00F949C6" w14:paraId="652D3D61" w14:textId="77777777" w:rsidTr="00ED2C1B">
        <w:trPr>
          <w:trHeight w:val="417"/>
        </w:trPr>
        <w:tc>
          <w:tcPr>
            <w:tcW w:w="4820" w:type="dxa"/>
            <w:tcBorders>
              <w:top w:val="nil"/>
              <w:left w:val="single" w:sz="8" w:space="0" w:color="auto"/>
              <w:bottom w:val="single" w:sz="8" w:space="0" w:color="auto"/>
              <w:right w:val="single" w:sz="8" w:space="0" w:color="auto"/>
            </w:tcBorders>
            <w:noWrap/>
            <w:vAlign w:val="center"/>
          </w:tcPr>
          <w:p w14:paraId="22ACE17E" w14:textId="77777777" w:rsidR="00F949C6" w:rsidRPr="00F949C6" w:rsidRDefault="00F949C6" w:rsidP="00F949C6">
            <w:pPr>
              <w:rPr>
                <w:rFonts w:eastAsia="Times New Roman" w:cs="Arial"/>
                <w:color w:val="000000"/>
                <w:szCs w:val="24"/>
                <w:lang w:eastAsia="en-GB"/>
              </w:rPr>
            </w:pPr>
            <w:r w:rsidRPr="00F949C6">
              <w:rPr>
                <w:rFonts w:eastAsia="Times New Roman" w:cs="Arial"/>
                <w:color w:val="000000"/>
                <w:szCs w:val="24"/>
                <w:lang w:eastAsia="en-GB"/>
              </w:rPr>
              <w:t>2023/24</w:t>
            </w:r>
          </w:p>
        </w:tc>
        <w:tc>
          <w:tcPr>
            <w:tcW w:w="3544" w:type="dxa"/>
            <w:tcBorders>
              <w:top w:val="nil"/>
              <w:left w:val="nil"/>
              <w:bottom w:val="single" w:sz="8" w:space="0" w:color="auto"/>
              <w:right w:val="single" w:sz="8" w:space="0" w:color="auto"/>
            </w:tcBorders>
            <w:noWrap/>
            <w:vAlign w:val="center"/>
          </w:tcPr>
          <w:p w14:paraId="5D537145" w14:textId="77777777" w:rsidR="00F949C6" w:rsidRPr="00F949C6" w:rsidRDefault="00F949C6" w:rsidP="00F949C6">
            <w:pPr>
              <w:jc w:val="right"/>
              <w:rPr>
                <w:rFonts w:eastAsia="Times New Roman" w:cs="Arial"/>
                <w:color w:val="000000"/>
                <w:szCs w:val="24"/>
                <w:lang w:eastAsia="en-GB"/>
              </w:rPr>
            </w:pPr>
            <w:r w:rsidRPr="00F949C6">
              <w:rPr>
                <w:rFonts w:eastAsia="Times New Roman" w:cs="Arial"/>
                <w:color w:val="000000"/>
                <w:szCs w:val="24"/>
                <w:lang w:eastAsia="en-GB"/>
              </w:rPr>
              <w:t>1201</w:t>
            </w:r>
          </w:p>
        </w:tc>
      </w:tr>
      <w:tr w:rsidR="00F949C6" w:rsidRPr="00F949C6" w14:paraId="778E7FB5" w14:textId="77777777" w:rsidTr="00ED2C1B">
        <w:trPr>
          <w:trHeight w:val="417"/>
        </w:trPr>
        <w:tc>
          <w:tcPr>
            <w:tcW w:w="4820" w:type="dxa"/>
            <w:tcBorders>
              <w:top w:val="nil"/>
              <w:left w:val="single" w:sz="8" w:space="0" w:color="auto"/>
              <w:bottom w:val="single" w:sz="8" w:space="0" w:color="auto"/>
              <w:right w:val="single" w:sz="8" w:space="0" w:color="auto"/>
            </w:tcBorders>
            <w:noWrap/>
            <w:vAlign w:val="center"/>
          </w:tcPr>
          <w:p w14:paraId="13989FDD" w14:textId="77777777" w:rsidR="00F949C6" w:rsidRPr="00F949C6" w:rsidRDefault="00F949C6" w:rsidP="00F949C6">
            <w:pPr>
              <w:rPr>
                <w:rFonts w:eastAsia="Times New Roman" w:cs="Arial"/>
                <w:color w:val="000000"/>
                <w:szCs w:val="24"/>
                <w:lang w:eastAsia="en-GB"/>
              </w:rPr>
            </w:pPr>
            <w:r w:rsidRPr="00F949C6">
              <w:rPr>
                <w:rFonts w:eastAsia="Times New Roman" w:cs="Arial"/>
                <w:color w:val="000000"/>
                <w:szCs w:val="24"/>
                <w:lang w:eastAsia="en-GB"/>
              </w:rPr>
              <w:t>2024/25</w:t>
            </w:r>
          </w:p>
        </w:tc>
        <w:tc>
          <w:tcPr>
            <w:tcW w:w="3544" w:type="dxa"/>
            <w:tcBorders>
              <w:top w:val="nil"/>
              <w:left w:val="nil"/>
              <w:bottom w:val="single" w:sz="8" w:space="0" w:color="auto"/>
              <w:right w:val="single" w:sz="8" w:space="0" w:color="auto"/>
            </w:tcBorders>
            <w:noWrap/>
            <w:vAlign w:val="center"/>
          </w:tcPr>
          <w:p w14:paraId="61398ACB" w14:textId="77777777" w:rsidR="00F949C6" w:rsidRPr="00F949C6" w:rsidRDefault="00F949C6" w:rsidP="00F949C6">
            <w:pPr>
              <w:jc w:val="right"/>
              <w:rPr>
                <w:rFonts w:eastAsia="Times New Roman" w:cs="Arial"/>
                <w:color w:val="000000"/>
                <w:szCs w:val="24"/>
                <w:lang w:eastAsia="en-GB"/>
              </w:rPr>
            </w:pPr>
            <w:r w:rsidRPr="00F949C6">
              <w:rPr>
                <w:rFonts w:eastAsia="Times New Roman" w:cs="Arial"/>
                <w:color w:val="000000"/>
                <w:szCs w:val="24"/>
                <w:lang w:eastAsia="en-GB"/>
              </w:rPr>
              <w:t>970</w:t>
            </w:r>
          </w:p>
        </w:tc>
      </w:tr>
      <w:tr w:rsidR="00F949C6" w:rsidRPr="00F949C6" w14:paraId="7B8152D1" w14:textId="77777777" w:rsidTr="00ED2C1B">
        <w:trPr>
          <w:trHeight w:val="417"/>
        </w:trPr>
        <w:tc>
          <w:tcPr>
            <w:tcW w:w="4820" w:type="dxa"/>
            <w:tcBorders>
              <w:top w:val="nil"/>
              <w:left w:val="single" w:sz="8" w:space="0" w:color="auto"/>
              <w:bottom w:val="single" w:sz="8" w:space="0" w:color="auto"/>
              <w:right w:val="single" w:sz="8" w:space="0" w:color="auto"/>
            </w:tcBorders>
            <w:noWrap/>
            <w:vAlign w:val="center"/>
          </w:tcPr>
          <w:p w14:paraId="30C64D86" w14:textId="77777777" w:rsidR="00F949C6" w:rsidRPr="00F949C6" w:rsidRDefault="00F949C6" w:rsidP="00F949C6">
            <w:pPr>
              <w:rPr>
                <w:rFonts w:eastAsia="Times New Roman" w:cs="Arial"/>
                <w:color w:val="000000"/>
                <w:szCs w:val="24"/>
                <w:lang w:eastAsia="en-GB"/>
              </w:rPr>
            </w:pPr>
            <w:r w:rsidRPr="00F949C6">
              <w:rPr>
                <w:rFonts w:eastAsia="Times New Roman" w:cs="Arial"/>
                <w:color w:val="000000"/>
                <w:szCs w:val="24"/>
                <w:lang w:eastAsia="en-GB"/>
              </w:rPr>
              <w:t>Total 10 yrs</w:t>
            </w:r>
          </w:p>
        </w:tc>
        <w:tc>
          <w:tcPr>
            <w:tcW w:w="3544" w:type="dxa"/>
            <w:tcBorders>
              <w:top w:val="nil"/>
              <w:left w:val="nil"/>
              <w:bottom w:val="single" w:sz="8" w:space="0" w:color="auto"/>
              <w:right w:val="single" w:sz="8" w:space="0" w:color="auto"/>
            </w:tcBorders>
            <w:noWrap/>
            <w:vAlign w:val="center"/>
          </w:tcPr>
          <w:p w14:paraId="4298D071" w14:textId="77777777" w:rsidR="00F949C6" w:rsidRPr="00F949C6" w:rsidRDefault="00F949C6" w:rsidP="00F949C6">
            <w:pPr>
              <w:jc w:val="right"/>
              <w:rPr>
                <w:rFonts w:eastAsia="Times New Roman" w:cs="Arial"/>
                <w:color w:val="000000"/>
                <w:szCs w:val="24"/>
                <w:lang w:eastAsia="en-GB"/>
              </w:rPr>
            </w:pPr>
            <w:r w:rsidRPr="00F949C6">
              <w:rPr>
                <w:rFonts w:eastAsia="Times New Roman" w:cs="Arial"/>
                <w:color w:val="000000"/>
                <w:szCs w:val="24"/>
                <w:lang w:eastAsia="en-GB"/>
              </w:rPr>
              <w:t>6855</w:t>
            </w:r>
          </w:p>
        </w:tc>
      </w:tr>
      <w:tr w:rsidR="00F949C6" w:rsidRPr="00F949C6" w14:paraId="35EF9780" w14:textId="77777777" w:rsidTr="00ED2C1B">
        <w:trPr>
          <w:trHeight w:val="546"/>
        </w:trPr>
        <w:tc>
          <w:tcPr>
            <w:tcW w:w="4820" w:type="dxa"/>
            <w:tcBorders>
              <w:top w:val="nil"/>
              <w:left w:val="single" w:sz="8" w:space="0" w:color="auto"/>
              <w:bottom w:val="single" w:sz="8" w:space="0" w:color="auto"/>
              <w:right w:val="single" w:sz="8" w:space="0" w:color="auto"/>
            </w:tcBorders>
            <w:shd w:val="clear" w:color="auto" w:fill="BDD6EE"/>
            <w:vAlign w:val="center"/>
            <w:hideMark/>
          </w:tcPr>
          <w:p w14:paraId="2B531EFA" w14:textId="77777777" w:rsidR="00F949C6" w:rsidRPr="00F949C6" w:rsidRDefault="00F949C6" w:rsidP="00F949C6">
            <w:pPr>
              <w:rPr>
                <w:rFonts w:eastAsia="Times New Roman" w:cs="Arial"/>
                <w:b/>
                <w:szCs w:val="24"/>
                <w:lang w:eastAsia="en-GB"/>
              </w:rPr>
            </w:pPr>
            <w:r w:rsidRPr="00F949C6">
              <w:rPr>
                <w:rFonts w:eastAsia="Times New Roman" w:cs="Arial"/>
                <w:b/>
                <w:szCs w:val="24"/>
                <w:lang w:eastAsia="en-GB"/>
              </w:rPr>
              <w:t>Average over 10 years</w:t>
            </w:r>
          </w:p>
        </w:tc>
        <w:tc>
          <w:tcPr>
            <w:tcW w:w="3544" w:type="dxa"/>
            <w:tcBorders>
              <w:top w:val="nil"/>
              <w:left w:val="nil"/>
              <w:bottom w:val="single" w:sz="8" w:space="0" w:color="auto"/>
              <w:right w:val="single" w:sz="8" w:space="0" w:color="auto"/>
            </w:tcBorders>
            <w:shd w:val="clear" w:color="auto" w:fill="BDD6EE"/>
            <w:noWrap/>
            <w:vAlign w:val="center"/>
            <w:hideMark/>
          </w:tcPr>
          <w:p w14:paraId="2ED82AD2" w14:textId="77777777" w:rsidR="00F949C6" w:rsidRPr="00F949C6" w:rsidRDefault="00F949C6" w:rsidP="00F949C6">
            <w:pPr>
              <w:jc w:val="right"/>
              <w:rPr>
                <w:rFonts w:eastAsia="Times New Roman" w:cs="Arial"/>
                <w:b/>
                <w:sz w:val="22"/>
                <w:lang w:eastAsia="en-GB"/>
              </w:rPr>
            </w:pPr>
            <w:r w:rsidRPr="00F949C6">
              <w:rPr>
                <w:rFonts w:eastAsia="Times New Roman" w:cs="Arial"/>
                <w:b/>
                <w:sz w:val="22"/>
                <w:lang w:eastAsia="en-GB"/>
              </w:rPr>
              <w:t>685.5</w:t>
            </w:r>
          </w:p>
        </w:tc>
      </w:tr>
    </w:tbl>
    <w:p w14:paraId="4393E1D7" w14:textId="77777777" w:rsidR="00F949C6" w:rsidRPr="00F949C6" w:rsidRDefault="00F949C6" w:rsidP="00F949C6">
      <w:pPr>
        <w:ind w:left="360" w:hanging="360"/>
        <w:rPr>
          <w:rFonts w:eastAsia="Times New Roman" w:cs="Arial"/>
          <w:b/>
          <w:bCs/>
          <w:szCs w:val="24"/>
          <w:u w:val="single"/>
          <w:lang w:eastAsia="en-GB"/>
        </w:rPr>
      </w:pPr>
    </w:p>
    <w:p w14:paraId="7A462EEE" w14:textId="28E762B0" w:rsidR="002B4244" w:rsidRDefault="002B4244">
      <w:pPr>
        <w:spacing w:after="200" w:line="276" w:lineRule="auto"/>
        <w:rPr>
          <w:b/>
          <w:u w:val="single"/>
        </w:rPr>
      </w:pPr>
    </w:p>
    <w:p w14:paraId="10C270E8" w14:textId="693EC0C6" w:rsidR="000B3629" w:rsidRPr="000B3629" w:rsidRDefault="000B3629" w:rsidP="00C11C15">
      <w:pPr>
        <w:pStyle w:val="NoSpacing"/>
        <w:rPr>
          <w:b/>
          <w:u w:val="single"/>
        </w:rPr>
      </w:pPr>
      <w:r w:rsidRPr="000B3629">
        <w:rPr>
          <w:b/>
          <w:u w:val="single"/>
        </w:rPr>
        <w:t xml:space="preserve">Non-implementation </w:t>
      </w:r>
      <w:r w:rsidR="00B80390">
        <w:rPr>
          <w:b/>
          <w:u w:val="single"/>
        </w:rPr>
        <w:t xml:space="preserve">/ Lapse </w:t>
      </w:r>
      <w:r w:rsidRPr="000B3629">
        <w:rPr>
          <w:b/>
          <w:u w:val="single"/>
        </w:rPr>
        <w:t>rates</w:t>
      </w:r>
    </w:p>
    <w:p w14:paraId="0E7237CC" w14:textId="77777777" w:rsidR="000B3629" w:rsidRDefault="000B3629" w:rsidP="00C11C15">
      <w:pPr>
        <w:pStyle w:val="NoSpacing"/>
        <w:rPr>
          <w:szCs w:val="24"/>
        </w:rPr>
      </w:pPr>
    </w:p>
    <w:p w14:paraId="4ED33379" w14:textId="77777777" w:rsidR="009C3884" w:rsidRDefault="009C3884" w:rsidP="009C3884">
      <w:pPr>
        <w:pStyle w:val="NoSpacing"/>
      </w:pPr>
      <w:r>
        <w:t>See paragraphs 47-48 of the joint SHLAA m</w:t>
      </w:r>
      <w:r w:rsidRPr="002D0A11">
        <w:t xml:space="preserve">ethodology </w:t>
      </w:r>
      <w:r>
        <w:t>report.</w:t>
      </w:r>
    </w:p>
    <w:p w14:paraId="176A82CD" w14:textId="77777777" w:rsidR="009C3884" w:rsidRDefault="009C3884" w:rsidP="00C11C15">
      <w:pPr>
        <w:pStyle w:val="NoSpacing"/>
        <w:rPr>
          <w:szCs w:val="24"/>
        </w:rPr>
      </w:pPr>
    </w:p>
    <w:p w14:paraId="6C289DC7" w14:textId="77777777" w:rsidR="00F8048E" w:rsidRDefault="00F8048E" w:rsidP="00F8048E">
      <w:pPr>
        <w:rPr>
          <w:rFonts w:eastAsia="Calibri" w:cs="Arial"/>
          <w:sz w:val="22"/>
        </w:rPr>
      </w:pPr>
      <w:r>
        <w:rPr>
          <w:rFonts w:eastAsia="Calibri" w:cs="Arial"/>
          <w:sz w:val="22"/>
        </w:rPr>
        <w:t>D</w:t>
      </w:r>
      <w:r w:rsidRPr="00E92FBB">
        <w:rPr>
          <w:rFonts w:eastAsia="Calibri" w:cs="Arial"/>
          <w:sz w:val="22"/>
        </w:rPr>
        <w:t xml:space="preserve">o not usually count any applications </w:t>
      </w:r>
      <w:r>
        <w:rPr>
          <w:rFonts w:eastAsia="Calibri" w:cs="Arial"/>
          <w:sz w:val="22"/>
        </w:rPr>
        <w:t xml:space="preserve">that </w:t>
      </w:r>
      <w:r w:rsidRPr="00E92FBB">
        <w:rPr>
          <w:rFonts w:eastAsia="Calibri" w:cs="Arial"/>
          <w:sz w:val="22"/>
        </w:rPr>
        <w:t>have lapsed</w:t>
      </w:r>
      <w:r>
        <w:rPr>
          <w:rFonts w:eastAsia="Calibri" w:cs="Arial"/>
          <w:sz w:val="22"/>
        </w:rPr>
        <w:t xml:space="preserve"> as deliverable or developable</w:t>
      </w:r>
    </w:p>
    <w:p w14:paraId="6D39DB0B" w14:textId="77777777" w:rsidR="00F8048E" w:rsidRDefault="00F8048E" w:rsidP="00F8048E">
      <w:pPr>
        <w:rPr>
          <w:rFonts w:eastAsia="Calibri" w:cs="Arial"/>
          <w:sz w:val="22"/>
        </w:rPr>
      </w:pPr>
    </w:p>
    <w:p w14:paraId="5F9529A8" w14:textId="10656B42" w:rsidR="00F8048E" w:rsidRDefault="00F8048E" w:rsidP="00F8048E">
      <w:pPr>
        <w:rPr>
          <w:rFonts w:eastAsia="Calibri" w:cs="Arial"/>
          <w:sz w:val="22"/>
        </w:rPr>
      </w:pPr>
      <w:r>
        <w:rPr>
          <w:rFonts w:eastAsia="Calibri" w:cs="Arial"/>
          <w:sz w:val="22"/>
        </w:rPr>
        <w:t>The City have</w:t>
      </w:r>
      <w:r w:rsidRPr="00E92FBB">
        <w:rPr>
          <w:rFonts w:eastAsia="Calibri" w:cs="Arial"/>
          <w:sz w:val="22"/>
        </w:rPr>
        <w:t xml:space="preserve"> divided the </w:t>
      </w:r>
      <w:r>
        <w:rPr>
          <w:rFonts w:eastAsia="Calibri" w:cs="Arial"/>
          <w:sz w:val="22"/>
        </w:rPr>
        <w:t xml:space="preserve">average </w:t>
      </w:r>
      <w:r w:rsidRPr="00E92FBB">
        <w:rPr>
          <w:rFonts w:eastAsia="Calibri" w:cs="Arial"/>
          <w:sz w:val="22"/>
        </w:rPr>
        <w:t>number of dwellings lapsed eac</w:t>
      </w:r>
      <w:r>
        <w:rPr>
          <w:rFonts w:eastAsia="Calibri" w:cs="Arial"/>
          <w:sz w:val="22"/>
        </w:rPr>
        <w:t xml:space="preserve">h year </w:t>
      </w:r>
      <w:r w:rsidR="00F17FD9">
        <w:rPr>
          <w:rFonts w:eastAsia="Calibri" w:cs="Arial"/>
          <w:sz w:val="22"/>
        </w:rPr>
        <w:t>to 20</w:t>
      </w:r>
      <w:r w:rsidR="00A20EB9">
        <w:rPr>
          <w:rFonts w:eastAsia="Calibri" w:cs="Arial"/>
          <w:sz w:val="22"/>
        </w:rPr>
        <w:t>2</w:t>
      </w:r>
      <w:r w:rsidR="00F17FD9">
        <w:rPr>
          <w:rFonts w:eastAsia="Calibri" w:cs="Arial"/>
          <w:sz w:val="22"/>
        </w:rPr>
        <w:t>2</w:t>
      </w:r>
    </w:p>
    <w:p w14:paraId="786C0B30" w14:textId="104BD9D2" w:rsidR="00F8048E" w:rsidRPr="00E92FBB" w:rsidRDefault="00F8048E" w:rsidP="00F8048E">
      <w:pPr>
        <w:rPr>
          <w:rFonts w:eastAsia="Calibri" w:cs="Arial"/>
          <w:sz w:val="22"/>
        </w:rPr>
      </w:pPr>
      <w:r>
        <w:rPr>
          <w:rFonts w:eastAsia="Calibri" w:cs="Arial"/>
          <w:sz w:val="22"/>
        </w:rPr>
        <w:t xml:space="preserve"> by the average number of dwellings with planning permission exc</w:t>
      </w:r>
      <w:r w:rsidR="00F17FD9">
        <w:rPr>
          <w:rFonts w:eastAsia="Calibri" w:cs="Arial"/>
          <w:sz w:val="22"/>
        </w:rPr>
        <w:t>luding</w:t>
      </w:r>
      <w:r>
        <w:rPr>
          <w:rFonts w:eastAsia="Calibri" w:cs="Arial"/>
          <w:sz w:val="22"/>
        </w:rPr>
        <w:t xml:space="preserve"> those under construction</w:t>
      </w:r>
      <w:r w:rsidRPr="00E92FBB">
        <w:rPr>
          <w:rFonts w:eastAsia="Calibri" w:cs="Arial"/>
          <w:sz w:val="22"/>
        </w:rPr>
        <w:t xml:space="preserve">. </w:t>
      </w:r>
    </w:p>
    <w:p w14:paraId="63F625A0" w14:textId="77777777" w:rsidR="00F8048E" w:rsidRDefault="00F8048E" w:rsidP="00F8048E">
      <w:pPr>
        <w:rPr>
          <w:rFonts w:eastAsia="Calibri" w:cs="Arial"/>
          <w:sz w:val="22"/>
        </w:rPr>
      </w:pPr>
    </w:p>
    <w:p w14:paraId="750E4842" w14:textId="77777777" w:rsidR="00F8048E" w:rsidRDefault="00F8048E" w:rsidP="00F8048E">
      <w:pPr>
        <w:rPr>
          <w:rFonts w:eastAsia="Calibri" w:cs="Arial"/>
          <w:sz w:val="22"/>
        </w:rPr>
      </w:pPr>
      <w:r w:rsidRPr="001E5A12">
        <w:rPr>
          <w:rFonts w:eastAsia="Calibri" w:cs="Arial"/>
          <w:sz w:val="22"/>
        </w:rPr>
        <w:t xml:space="preserve">There is detailed scrutiny especially of sites over 10 </w:t>
      </w:r>
      <w:proofErr w:type="gramStart"/>
      <w:r w:rsidRPr="001E5A12">
        <w:rPr>
          <w:rFonts w:eastAsia="Calibri" w:cs="Arial"/>
          <w:sz w:val="22"/>
        </w:rPr>
        <w:t>dwellings .</w:t>
      </w:r>
      <w:proofErr w:type="gramEnd"/>
    </w:p>
    <w:p w14:paraId="3FF703B6" w14:textId="77777777" w:rsidR="00F8048E" w:rsidRDefault="00F8048E" w:rsidP="00F8048E">
      <w:pPr>
        <w:rPr>
          <w:rFonts w:eastAsia="Calibri" w:cs="Arial"/>
          <w:sz w:val="22"/>
        </w:rPr>
      </w:pPr>
    </w:p>
    <w:p w14:paraId="02564127" w14:textId="77777777" w:rsidR="00F8048E" w:rsidRDefault="00F8048E" w:rsidP="00F8048E">
      <w:pPr>
        <w:rPr>
          <w:rFonts w:cs="Arial"/>
        </w:rPr>
      </w:pPr>
      <w:r w:rsidRPr="00E92FBB">
        <w:rPr>
          <w:rFonts w:cs="Arial"/>
        </w:rPr>
        <w:t>ARUP have applied an assumption that roughly half of planning permissions are unimplemented at any point in time, and that the non-implementation rate of 5% would therefore apply to half of the total dwellings with planning permission.</w:t>
      </w:r>
    </w:p>
    <w:p w14:paraId="26CF68AF" w14:textId="77777777" w:rsidR="00F949C6" w:rsidRDefault="00F949C6" w:rsidP="00F949C6">
      <w:pPr>
        <w:pStyle w:val="NoSpacing"/>
      </w:pPr>
    </w:p>
    <w:p w14:paraId="7071A059" w14:textId="77777777" w:rsidR="00F949C6" w:rsidRPr="00F949C6" w:rsidRDefault="00F949C6" w:rsidP="00F949C6">
      <w:pPr>
        <w:pStyle w:val="NoSpacing"/>
      </w:pPr>
    </w:p>
    <w:tbl>
      <w:tblPr>
        <w:tblStyle w:val="TableGrid"/>
        <w:tblW w:w="7650" w:type="dxa"/>
        <w:tblLook w:val="04A0" w:firstRow="1" w:lastRow="0" w:firstColumn="1" w:lastColumn="0" w:noHBand="0" w:noVBand="1"/>
      </w:tblPr>
      <w:tblGrid>
        <w:gridCol w:w="1333"/>
        <w:gridCol w:w="2268"/>
        <w:gridCol w:w="4049"/>
      </w:tblGrid>
      <w:tr w:rsidR="00F8048E" w:rsidRPr="00B84484" w14:paraId="12D8A233" w14:textId="77777777" w:rsidTr="001E50CB">
        <w:trPr>
          <w:trHeight w:val="996"/>
        </w:trPr>
        <w:tc>
          <w:tcPr>
            <w:tcW w:w="1333" w:type="dxa"/>
            <w:hideMark/>
          </w:tcPr>
          <w:p w14:paraId="420E1516" w14:textId="77777777" w:rsidR="00F8048E" w:rsidRPr="00B84484" w:rsidRDefault="00F8048E" w:rsidP="00CB6587">
            <w:pPr>
              <w:spacing w:after="120" w:line="260" w:lineRule="exact"/>
              <w:rPr>
                <w:rFonts w:cs="Arial"/>
                <w:color w:val="000000"/>
                <w:szCs w:val="24"/>
              </w:rPr>
            </w:pPr>
            <w:r w:rsidRPr="00B84484">
              <w:rPr>
                <w:rFonts w:cs="Arial"/>
                <w:color w:val="000000"/>
                <w:szCs w:val="24"/>
              </w:rPr>
              <w:t> </w:t>
            </w:r>
          </w:p>
        </w:tc>
        <w:tc>
          <w:tcPr>
            <w:tcW w:w="2268" w:type="dxa"/>
            <w:hideMark/>
          </w:tcPr>
          <w:p w14:paraId="314BD55F" w14:textId="77777777" w:rsidR="00F8048E" w:rsidRPr="00B84484" w:rsidRDefault="00F8048E" w:rsidP="00CB6587">
            <w:pPr>
              <w:spacing w:after="120" w:line="260" w:lineRule="exact"/>
              <w:rPr>
                <w:rFonts w:cs="Arial"/>
                <w:color w:val="000000"/>
                <w:szCs w:val="24"/>
              </w:rPr>
            </w:pPr>
            <w:r w:rsidRPr="00B84484">
              <w:rPr>
                <w:rFonts w:cs="Arial"/>
                <w:color w:val="000000"/>
                <w:szCs w:val="24"/>
              </w:rPr>
              <w:t>lapsed dwellings</w:t>
            </w:r>
          </w:p>
        </w:tc>
        <w:tc>
          <w:tcPr>
            <w:tcW w:w="4049" w:type="dxa"/>
            <w:hideMark/>
          </w:tcPr>
          <w:p w14:paraId="454568F7" w14:textId="77777777" w:rsidR="00F8048E" w:rsidRPr="00B84484" w:rsidRDefault="00F8048E" w:rsidP="00CB6587">
            <w:pPr>
              <w:spacing w:after="120" w:line="260" w:lineRule="exact"/>
              <w:rPr>
                <w:rFonts w:cs="Arial"/>
                <w:color w:val="000000"/>
                <w:szCs w:val="24"/>
              </w:rPr>
            </w:pPr>
            <w:r w:rsidRPr="00B84484">
              <w:rPr>
                <w:rFonts w:cs="Arial"/>
                <w:color w:val="000000"/>
                <w:szCs w:val="24"/>
              </w:rPr>
              <w:t xml:space="preserve">number of dwellings with planning permission </w:t>
            </w:r>
            <w:proofErr w:type="spellStart"/>
            <w:r w:rsidRPr="00B84484">
              <w:rPr>
                <w:rFonts w:cs="Arial"/>
                <w:color w:val="000000"/>
                <w:szCs w:val="24"/>
              </w:rPr>
              <w:t>exc</w:t>
            </w:r>
            <w:proofErr w:type="spellEnd"/>
            <w:r w:rsidRPr="00B84484">
              <w:rPr>
                <w:rFonts w:cs="Arial"/>
                <w:color w:val="000000"/>
                <w:szCs w:val="24"/>
              </w:rPr>
              <w:t xml:space="preserve"> those under construction. </w:t>
            </w:r>
          </w:p>
        </w:tc>
      </w:tr>
      <w:tr w:rsidR="00F8048E" w:rsidRPr="00B84484" w14:paraId="2ECB5D4A" w14:textId="77777777" w:rsidTr="001E50CB">
        <w:trPr>
          <w:trHeight w:val="596"/>
        </w:trPr>
        <w:tc>
          <w:tcPr>
            <w:tcW w:w="1333" w:type="dxa"/>
            <w:hideMark/>
          </w:tcPr>
          <w:p w14:paraId="1BD34988" w14:textId="77777777" w:rsidR="00F8048E" w:rsidRPr="00B84484" w:rsidRDefault="00F8048E" w:rsidP="00CB6587">
            <w:pPr>
              <w:spacing w:after="120" w:line="260" w:lineRule="exact"/>
              <w:rPr>
                <w:rFonts w:cs="Arial"/>
                <w:szCs w:val="24"/>
              </w:rPr>
            </w:pPr>
            <w:r w:rsidRPr="00B84484">
              <w:rPr>
                <w:rFonts w:cs="Arial"/>
                <w:szCs w:val="24"/>
              </w:rPr>
              <w:t>2009-10</w:t>
            </w:r>
          </w:p>
        </w:tc>
        <w:tc>
          <w:tcPr>
            <w:tcW w:w="2268" w:type="dxa"/>
            <w:hideMark/>
          </w:tcPr>
          <w:p w14:paraId="13B8B96E" w14:textId="77777777" w:rsidR="00F8048E" w:rsidRPr="00B84484" w:rsidRDefault="00F8048E" w:rsidP="00CB6587">
            <w:pPr>
              <w:spacing w:after="120" w:line="260" w:lineRule="exact"/>
              <w:rPr>
                <w:rFonts w:cs="Arial"/>
                <w:color w:val="000000"/>
                <w:szCs w:val="24"/>
              </w:rPr>
            </w:pPr>
            <w:r w:rsidRPr="00B84484">
              <w:rPr>
                <w:rFonts w:cs="Arial"/>
                <w:color w:val="000000"/>
                <w:szCs w:val="24"/>
              </w:rPr>
              <w:t>no data</w:t>
            </w:r>
          </w:p>
        </w:tc>
        <w:tc>
          <w:tcPr>
            <w:tcW w:w="4049" w:type="dxa"/>
            <w:noWrap/>
            <w:hideMark/>
          </w:tcPr>
          <w:p w14:paraId="30AE6E54" w14:textId="77777777" w:rsidR="00F8048E" w:rsidRPr="00B84484" w:rsidRDefault="00F8048E" w:rsidP="00CB6587">
            <w:pPr>
              <w:spacing w:after="120" w:line="260" w:lineRule="exact"/>
              <w:jc w:val="right"/>
              <w:rPr>
                <w:rFonts w:cs="Arial"/>
                <w:color w:val="000000"/>
                <w:szCs w:val="24"/>
              </w:rPr>
            </w:pPr>
            <w:r w:rsidRPr="00B84484">
              <w:rPr>
                <w:rFonts w:cs="Arial"/>
                <w:color w:val="000000"/>
                <w:szCs w:val="24"/>
              </w:rPr>
              <w:t>4937</w:t>
            </w:r>
          </w:p>
        </w:tc>
      </w:tr>
      <w:tr w:rsidR="00F8048E" w:rsidRPr="00B84484" w14:paraId="096BB059" w14:textId="77777777" w:rsidTr="001E50CB">
        <w:trPr>
          <w:trHeight w:val="548"/>
        </w:trPr>
        <w:tc>
          <w:tcPr>
            <w:tcW w:w="1333" w:type="dxa"/>
            <w:hideMark/>
          </w:tcPr>
          <w:p w14:paraId="4AC6B261" w14:textId="77777777" w:rsidR="00F8048E" w:rsidRPr="00B84484" w:rsidRDefault="00F8048E" w:rsidP="00CB6587">
            <w:pPr>
              <w:spacing w:after="120" w:line="260" w:lineRule="exact"/>
              <w:rPr>
                <w:rFonts w:cs="Arial"/>
                <w:color w:val="000000"/>
                <w:szCs w:val="24"/>
              </w:rPr>
            </w:pPr>
            <w:r w:rsidRPr="00B84484">
              <w:rPr>
                <w:rFonts w:cs="Arial"/>
                <w:color w:val="000000"/>
                <w:szCs w:val="24"/>
              </w:rPr>
              <w:t>2010-11</w:t>
            </w:r>
          </w:p>
        </w:tc>
        <w:tc>
          <w:tcPr>
            <w:tcW w:w="2268" w:type="dxa"/>
            <w:hideMark/>
          </w:tcPr>
          <w:p w14:paraId="43B60C8E" w14:textId="77777777" w:rsidR="00F8048E" w:rsidRPr="00B84484" w:rsidRDefault="00F8048E" w:rsidP="00CB6587">
            <w:pPr>
              <w:spacing w:after="120" w:line="260" w:lineRule="exact"/>
              <w:rPr>
                <w:rFonts w:cs="Arial"/>
                <w:color w:val="000000"/>
                <w:szCs w:val="24"/>
              </w:rPr>
            </w:pPr>
            <w:r w:rsidRPr="00B84484">
              <w:rPr>
                <w:rFonts w:cs="Arial"/>
                <w:color w:val="000000"/>
                <w:szCs w:val="24"/>
              </w:rPr>
              <w:t>no data</w:t>
            </w:r>
          </w:p>
        </w:tc>
        <w:tc>
          <w:tcPr>
            <w:tcW w:w="4049" w:type="dxa"/>
            <w:noWrap/>
            <w:hideMark/>
          </w:tcPr>
          <w:p w14:paraId="3A0C6AD8" w14:textId="77777777" w:rsidR="00F8048E" w:rsidRPr="00B84484" w:rsidRDefault="00F8048E" w:rsidP="00CB6587">
            <w:pPr>
              <w:spacing w:after="120" w:line="260" w:lineRule="exact"/>
              <w:jc w:val="right"/>
              <w:rPr>
                <w:rFonts w:cs="Arial"/>
                <w:color w:val="000000"/>
                <w:szCs w:val="24"/>
              </w:rPr>
            </w:pPr>
            <w:r w:rsidRPr="00B84484">
              <w:rPr>
                <w:rFonts w:cs="Arial"/>
                <w:color w:val="000000"/>
                <w:szCs w:val="24"/>
              </w:rPr>
              <w:t>4758</w:t>
            </w:r>
          </w:p>
        </w:tc>
      </w:tr>
      <w:tr w:rsidR="00F8048E" w:rsidRPr="00B84484" w14:paraId="110D4E1F" w14:textId="77777777" w:rsidTr="001E50CB">
        <w:trPr>
          <w:trHeight w:val="556"/>
        </w:trPr>
        <w:tc>
          <w:tcPr>
            <w:tcW w:w="1333" w:type="dxa"/>
            <w:hideMark/>
          </w:tcPr>
          <w:p w14:paraId="0358EB93" w14:textId="77777777" w:rsidR="00F8048E" w:rsidRPr="00B84484" w:rsidRDefault="00F8048E" w:rsidP="00CB6587">
            <w:pPr>
              <w:spacing w:after="120" w:line="260" w:lineRule="exact"/>
              <w:rPr>
                <w:rFonts w:cs="Arial"/>
                <w:szCs w:val="24"/>
              </w:rPr>
            </w:pPr>
            <w:r w:rsidRPr="00B84484">
              <w:rPr>
                <w:rFonts w:cs="Arial"/>
                <w:szCs w:val="24"/>
              </w:rPr>
              <w:t>2011-12</w:t>
            </w:r>
          </w:p>
        </w:tc>
        <w:tc>
          <w:tcPr>
            <w:tcW w:w="2268" w:type="dxa"/>
            <w:hideMark/>
          </w:tcPr>
          <w:p w14:paraId="05522472" w14:textId="77777777" w:rsidR="00F8048E" w:rsidRPr="00B84484" w:rsidRDefault="00F8048E" w:rsidP="00CB6587">
            <w:pPr>
              <w:spacing w:after="120" w:line="260" w:lineRule="exact"/>
              <w:jc w:val="right"/>
              <w:rPr>
                <w:rFonts w:cs="Arial"/>
                <w:color w:val="000000"/>
                <w:szCs w:val="24"/>
              </w:rPr>
            </w:pPr>
            <w:r w:rsidRPr="00B84484">
              <w:rPr>
                <w:rFonts w:cs="Arial"/>
                <w:color w:val="000000"/>
                <w:szCs w:val="24"/>
              </w:rPr>
              <w:t>330</w:t>
            </w:r>
          </w:p>
        </w:tc>
        <w:tc>
          <w:tcPr>
            <w:tcW w:w="4049" w:type="dxa"/>
            <w:noWrap/>
            <w:hideMark/>
          </w:tcPr>
          <w:p w14:paraId="3B4CEC2D" w14:textId="77777777" w:rsidR="00F8048E" w:rsidRPr="00B84484" w:rsidRDefault="00F8048E" w:rsidP="00CB6587">
            <w:pPr>
              <w:spacing w:after="120" w:line="260" w:lineRule="exact"/>
              <w:jc w:val="right"/>
              <w:rPr>
                <w:rFonts w:cs="Arial"/>
                <w:color w:val="000000"/>
                <w:szCs w:val="24"/>
              </w:rPr>
            </w:pPr>
            <w:r w:rsidRPr="00B84484">
              <w:rPr>
                <w:rFonts w:cs="Arial"/>
                <w:color w:val="000000"/>
                <w:szCs w:val="24"/>
              </w:rPr>
              <w:t>4180</w:t>
            </w:r>
          </w:p>
        </w:tc>
      </w:tr>
      <w:tr w:rsidR="00F8048E" w:rsidRPr="00B84484" w14:paraId="6E313512" w14:textId="77777777" w:rsidTr="001E50CB">
        <w:trPr>
          <w:trHeight w:val="562"/>
        </w:trPr>
        <w:tc>
          <w:tcPr>
            <w:tcW w:w="1333" w:type="dxa"/>
            <w:hideMark/>
          </w:tcPr>
          <w:p w14:paraId="467AB196" w14:textId="77777777" w:rsidR="00F8048E" w:rsidRPr="00B84484" w:rsidRDefault="00F8048E" w:rsidP="00CB6587">
            <w:pPr>
              <w:spacing w:after="120" w:line="260" w:lineRule="exact"/>
              <w:rPr>
                <w:rFonts w:cs="Arial"/>
                <w:szCs w:val="24"/>
              </w:rPr>
            </w:pPr>
            <w:r w:rsidRPr="00B84484">
              <w:rPr>
                <w:rFonts w:cs="Arial"/>
                <w:szCs w:val="24"/>
              </w:rPr>
              <w:t>2012-13</w:t>
            </w:r>
          </w:p>
        </w:tc>
        <w:tc>
          <w:tcPr>
            <w:tcW w:w="2268" w:type="dxa"/>
            <w:hideMark/>
          </w:tcPr>
          <w:p w14:paraId="6BFB956A" w14:textId="77777777" w:rsidR="00F8048E" w:rsidRPr="00B84484" w:rsidRDefault="00F8048E" w:rsidP="00CB6587">
            <w:pPr>
              <w:spacing w:after="120" w:line="260" w:lineRule="exact"/>
              <w:jc w:val="right"/>
              <w:rPr>
                <w:rFonts w:cs="Arial"/>
                <w:color w:val="000000"/>
                <w:szCs w:val="24"/>
              </w:rPr>
            </w:pPr>
            <w:r w:rsidRPr="00B84484">
              <w:rPr>
                <w:rFonts w:cs="Arial"/>
                <w:color w:val="000000"/>
                <w:szCs w:val="24"/>
              </w:rPr>
              <w:t>69</w:t>
            </w:r>
          </w:p>
        </w:tc>
        <w:tc>
          <w:tcPr>
            <w:tcW w:w="4049" w:type="dxa"/>
            <w:noWrap/>
            <w:hideMark/>
          </w:tcPr>
          <w:p w14:paraId="2DA0001D" w14:textId="77777777" w:rsidR="00F8048E" w:rsidRPr="00B84484" w:rsidRDefault="00F8048E" w:rsidP="00CB6587">
            <w:pPr>
              <w:spacing w:after="120" w:line="260" w:lineRule="exact"/>
              <w:jc w:val="right"/>
              <w:rPr>
                <w:rFonts w:cs="Arial"/>
                <w:color w:val="000000"/>
                <w:szCs w:val="24"/>
              </w:rPr>
            </w:pPr>
            <w:r w:rsidRPr="00B84484">
              <w:rPr>
                <w:rFonts w:cs="Arial"/>
                <w:color w:val="000000"/>
                <w:szCs w:val="24"/>
              </w:rPr>
              <w:t>4746</w:t>
            </w:r>
          </w:p>
        </w:tc>
      </w:tr>
      <w:tr w:rsidR="00F8048E" w:rsidRPr="00B84484" w14:paraId="28F10C03" w14:textId="77777777" w:rsidTr="001E50CB">
        <w:trPr>
          <w:trHeight w:val="558"/>
        </w:trPr>
        <w:tc>
          <w:tcPr>
            <w:tcW w:w="1333" w:type="dxa"/>
            <w:hideMark/>
          </w:tcPr>
          <w:p w14:paraId="70CDD9E3" w14:textId="77777777" w:rsidR="00F8048E" w:rsidRPr="00B84484" w:rsidRDefault="00F8048E" w:rsidP="00CB6587">
            <w:pPr>
              <w:spacing w:after="120" w:line="260" w:lineRule="exact"/>
              <w:rPr>
                <w:rFonts w:cs="Arial"/>
                <w:szCs w:val="24"/>
              </w:rPr>
            </w:pPr>
            <w:r w:rsidRPr="00B84484">
              <w:rPr>
                <w:rFonts w:cs="Arial"/>
                <w:szCs w:val="24"/>
              </w:rPr>
              <w:lastRenderedPageBreak/>
              <w:t>2013-14</w:t>
            </w:r>
          </w:p>
        </w:tc>
        <w:tc>
          <w:tcPr>
            <w:tcW w:w="2268" w:type="dxa"/>
            <w:hideMark/>
          </w:tcPr>
          <w:p w14:paraId="242CDE77" w14:textId="77777777" w:rsidR="00F8048E" w:rsidRPr="00B84484" w:rsidRDefault="00F8048E" w:rsidP="00CB6587">
            <w:pPr>
              <w:spacing w:after="120" w:line="260" w:lineRule="exact"/>
              <w:jc w:val="right"/>
              <w:rPr>
                <w:rFonts w:cs="Arial"/>
                <w:color w:val="000000"/>
                <w:szCs w:val="24"/>
              </w:rPr>
            </w:pPr>
            <w:r w:rsidRPr="00B84484">
              <w:rPr>
                <w:rFonts w:cs="Arial"/>
                <w:color w:val="000000"/>
                <w:szCs w:val="24"/>
              </w:rPr>
              <w:t>0</w:t>
            </w:r>
          </w:p>
        </w:tc>
        <w:tc>
          <w:tcPr>
            <w:tcW w:w="4049" w:type="dxa"/>
            <w:noWrap/>
            <w:hideMark/>
          </w:tcPr>
          <w:p w14:paraId="685F3E97" w14:textId="77777777" w:rsidR="00F8048E" w:rsidRPr="00B84484" w:rsidRDefault="00F8048E" w:rsidP="00CB6587">
            <w:pPr>
              <w:spacing w:after="120" w:line="260" w:lineRule="exact"/>
              <w:jc w:val="right"/>
              <w:rPr>
                <w:rFonts w:cs="Arial"/>
                <w:color w:val="000000"/>
                <w:szCs w:val="24"/>
              </w:rPr>
            </w:pPr>
            <w:r w:rsidRPr="00B84484">
              <w:rPr>
                <w:rFonts w:cs="Arial"/>
                <w:color w:val="000000"/>
                <w:szCs w:val="24"/>
              </w:rPr>
              <w:t>3899</w:t>
            </w:r>
          </w:p>
        </w:tc>
      </w:tr>
      <w:tr w:rsidR="00F8048E" w:rsidRPr="00B84484" w14:paraId="0C7C86D1" w14:textId="77777777" w:rsidTr="001E50CB">
        <w:trPr>
          <w:trHeight w:val="550"/>
        </w:trPr>
        <w:tc>
          <w:tcPr>
            <w:tcW w:w="1333" w:type="dxa"/>
            <w:hideMark/>
          </w:tcPr>
          <w:p w14:paraId="42668ACF" w14:textId="77777777" w:rsidR="00F8048E" w:rsidRPr="00B84484" w:rsidRDefault="00F8048E" w:rsidP="00CB6587">
            <w:pPr>
              <w:spacing w:after="120" w:line="260" w:lineRule="exact"/>
              <w:rPr>
                <w:rFonts w:cs="Arial"/>
                <w:szCs w:val="24"/>
              </w:rPr>
            </w:pPr>
            <w:r w:rsidRPr="00B84484">
              <w:rPr>
                <w:rFonts w:cs="Arial"/>
                <w:szCs w:val="24"/>
              </w:rPr>
              <w:t>2014-15</w:t>
            </w:r>
          </w:p>
        </w:tc>
        <w:tc>
          <w:tcPr>
            <w:tcW w:w="2268" w:type="dxa"/>
            <w:hideMark/>
          </w:tcPr>
          <w:p w14:paraId="72E7F81E" w14:textId="77777777" w:rsidR="00F8048E" w:rsidRPr="00B84484" w:rsidRDefault="00F8048E" w:rsidP="00CB6587">
            <w:pPr>
              <w:spacing w:after="120" w:line="260" w:lineRule="exact"/>
              <w:jc w:val="right"/>
              <w:rPr>
                <w:rFonts w:cs="Arial"/>
                <w:color w:val="000000"/>
                <w:szCs w:val="24"/>
              </w:rPr>
            </w:pPr>
            <w:r w:rsidRPr="00B84484">
              <w:rPr>
                <w:rFonts w:cs="Arial"/>
                <w:color w:val="000000"/>
                <w:szCs w:val="24"/>
              </w:rPr>
              <w:t>91</w:t>
            </w:r>
          </w:p>
        </w:tc>
        <w:tc>
          <w:tcPr>
            <w:tcW w:w="4049" w:type="dxa"/>
            <w:noWrap/>
            <w:hideMark/>
          </w:tcPr>
          <w:p w14:paraId="48269DB2" w14:textId="77777777" w:rsidR="00F8048E" w:rsidRPr="00B84484" w:rsidRDefault="00F8048E" w:rsidP="00CB6587">
            <w:pPr>
              <w:spacing w:after="120" w:line="260" w:lineRule="exact"/>
              <w:jc w:val="right"/>
              <w:rPr>
                <w:rFonts w:cs="Arial"/>
                <w:color w:val="000000"/>
                <w:szCs w:val="24"/>
              </w:rPr>
            </w:pPr>
            <w:r w:rsidRPr="00B84484">
              <w:rPr>
                <w:rFonts w:cs="Arial"/>
                <w:color w:val="000000"/>
                <w:szCs w:val="24"/>
              </w:rPr>
              <w:t>3660</w:t>
            </w:r>
          </w:p>
        </w:tc>
      </w:tr>
      <w:tr w:rsidR="00F8048E" w:rsidRPr="00B84484" w14:paraId="3780C736" w14:textId="77777777" w:rsidTr="001E50CB">
        <w:trPr>
          <w:trHeight w:val="560"/>
        </w:trPr>
        <w:tc>
          <w:tcPr>
            <w:tcW w:w="1333" w:type="dxa"/>
            <w:hideMark/>
          </w:tcPr>
          <w:p w14:paraId="204CA88A" w14:textId="77777777" w:rsidR="00F8048E" w:rsidRPr="00B84484" w:rsidRDefault="00F8048E" w:rsidP="00CB6587">
            <w:pPr>
              <w:spacing w:after="120" w:line="260" w:lineRule="exact"/>
              <w:rPr>
                <w:rFonts w:cs="Arial"/>
                <w:szCs w:val="24"/>
              </w:rPr>
            </w:pPr>
            <w:r w:rsidRPr="00B84484">
              <w:rPr>
                <w:rFonts w:cs="Arial"/>
                <w:szCs w:val="24"/>
              </w:rPr>
              <w:t>2015-16</w:t>
            </w:r>
          </w:p>
        </w:tc>
        <w:tc>
          <w:tcPr>
            <w:tcW w:w="2268" w:type="dxa"/>
            <w:hideMark/>
          </w:tcPr>
          <w:p w14:paraId="37EA7AD8" w14:textId="77777777" w:rsidR="00F8048E" w:rsidRPr="00B84484" w:rsidRDefault="00F8048E" w:rsidP="00CB6587">
            <w:pPr>
              <w:spacing w:after="120" w:line="260" w:lineRule="exact"/>
              <w:jc w:val="right"/>
              <w:rPr>
                <w:rFonts w:cs="Arial"/>
                <w:color w:val="000000"/>
                <w:szCs w:val="24"/>
              </w:rPr>
            </w:pPr>
            <w:r w:rsidRPr="00B84484">
              <w:rPr>
                <w:rFonts w:cs="Arial"/>
                <w:color w:val="000000"/>
                <w:szCs w:val="24"/>
              </w:rPr>
              <w:t>94</w:t>
            </w:r>
          </w:p>
        </w:tc>
        <w:tc>
          <w:tcPr>
            <w:tcW w:w="4049" w:type="dxa"/>
            <w:noWrap/>
            <w:hideMark/>
          </w:tcPr>
          <w:p w14:paraId="39777999" w14:textId="77777777" w:rsidR="00F8048E" w:rsidRPr="00B84484" w:rsidRDefault="00F8048E" w:rsidP="00CB6587">
            <w:pPr>
              <w:spacing w:after="120" w:line="260" w:lineRule="exact"/>
              <w:jc w:val="right"/>
              <w:rPr>
                <w:rFonts w:cs="Arial"/>
                <w:color w:val="000000"/>
                <w:szCs w:val="24"/>
              </w:rPr>
            </w:pPr>
            <w:r w:rsidRPr="00B84484">
              <w:rPr>
                <w:rFonts w:cs="Arial"/>
                <w:color w:val="000000"/>
                <w:szCs w:val="24"/>
              </w:rPr>
              <w:t>3860</w:t>
            </w:r>
          </w:p>
        </w:tc>
      </w:tr>
      <w:tr w:rsidR="00F8048E" w:rsidRPr="00B84484" w14:paraId="5A36BC01" w14:textId="77777777" w:rsidTr="001E50CB">
        <w:trPr>
          <w:trHeight w:val="554"/>
        </w:trPr>
        <w:tc>
          <w:tcPr>
            <w:tcW w:w="1333" w:type="dxa"/>
            <w:hideMark/>
          </w:tcPr>
          <w:p w14:paraId="62673A48" w14:textId="77777777" w:rsidR="00F8048E" w:rsidRPr="00B84484" w:rsidRDefault="00F8048E" w:rsidP="00CB6587">
            <w:pPr>
              <w:spacing w:after="120" w:line="260" w:lineRule="exact"/>
              <w:rPr>
                <w:rFonts w:cs="Arial"/>
                <w:szCs w:val="24"/>
              </w:rPr>
            </w:pPr>
            <w:r w:rsidRPr="00B84484">
              <w:rPr>
                <w:rFonts w:cs="Arial"/>
                <w:szCs w:val="24"/>
              </w:rPr>
              <w:t>2016-17</w:t>
            </w:r>
          </w:p>
        </w:tc>
        <w:tc>
          <w:tcPr>
            <w:tcW w:w="2268" w:type="dxa"/>
            <w:hideMark/>
          </w:tcPr>
          <w:p w14:paraId="2D33C9ED" w14:textId="77777777" w:rsidR="00F8048E" w:rsidRPr="00B84484" w:rsidRDefault="00F8048E" w:rsidP="00CB6587">
            <w:pPr>
              <w:spacing w:after="120" w:line="260" w:lineRule="exact"/>
              <w:jc w:val="right"/>
              <w:rPr>
                <w:rFonts w:cs="Arial"/>
                <w:color w:val="000000"/>
                <w:szCs w:val="24"/>
              </w:rPr>
            </w:pPr>
            <w:r w:rsidRPr="00B84484">
              <w:rPr>
                <w:rFonts w:cs="Arial"/>
                <w:color w:val="000000"/>
                <w:szCs w:val="24"/>
              </w:rPr>
              <w:t>2</w:t>
            </w:r>
          </w:p>
        </w:tc>
        <w:tc>
          <w:tcPr>
            <w:tcW w:w="4049" w:type="dxa"/>
            <w:noWrap/>
            <w:hideMark/>
          </w:tcPr>
          <w:p w14:paraId="36D666E9" w14:textId="77777777" w:rsidR="00F8048E" w:rsidRPr="00B84484" w:rsidRDefault="00F8048E" w:rsidP="00CB6587">
            <w:pPr>
              <w:spacing w:after="120" w:line="260" w:lineRule="exact"/>
              <w:jc w:val="right"/>
              <w:rPr>
                <w:rFonts w:cs="Arial"/>
                <w:color w:val="000000"/>
                <w:szCs w:val="24"/>
              </w:rPr>
            </w:pPr>
            <w:r w:rsidRPr="00B84484">
              <w:rPr>
                <w:rFonts w:cs="Arial"/>
                <w:color w:val="000000"/>
                <w:szCs w:val="24"/>
              </w:rPr>
              <w:t>3948</w:t>
            </w:r>
          </w:p>
        </w:tc>
      </w:tr>
      <w:tr w:rsidR="00F8048E" w:rsidRPr="00B84484" w14:paraId="3EC9B2B3" w14:textId="77777777" w:rsidTr="001E50CB">
        <w:trPr>
          <w:trHeight w:val="562"/>
        </w:trPr>
        <w:tc>
          <w:tcPr>
            <w:tcW w:w="1333" w:type="dxa"/>
            <w:hideMark/>
          </w:tcPr>
          <w:p w14:paraId="00D75785" w14:textId="77777777" w:rsidR="00F8048E" w:rsidRPr="00B84484" w:rsidRDefault="00F8048E" w:rsidP="00CB6587">
            <w:pPr>
              <w:spacing w:after="120" w:line="260" w:lineRule="exact"/>
              <w:rPr>
                <w:rFonts w:cs="Arial"/>
                <w:szCs w:val="24"/>
              </w:rPr>
            </w:pPr>
            <w:r w:rsidRPr="00B84484">
              <w:rPr>
                <w:rFonts w:cs="Arial"/>
                <w:szCs w:val="24"/>
              </w:rPr>
              <w:t>2017-18</w:t>
            </w:r>
          </w:p>
        </w:tc>
        <w:tc>
          <w:tcPr>
            <w:tcW w:w="2268" w:type="dxa"/>
            <w:hideMark/>
          </w:tcPr>
          <w:p w14:paraId="60454508" w14:textId="77777777" w:rsidR="00F8048E" w:rsidRPr="00B84484" w:rsidRDefault="00F8048E" w:rsidP="00CB6587">
            <w:pPr>
              <w:spacing w:after="120" w:line="260" w:lineRule="exact"/>
              <w:jc w:val="right"/>
              <w:rPr>
                <w:rFonts w:cs="Arial"/>
                <w:color w:val="000000"/>
                <w:szCs w:val="24"/>
              </w:rPr>
            </w:pPr>
            <w:r w:rsidRPr="00B84484">
              <w:rPr>
                <w:rFonts w:cs="Arial"/>
                <w:color w:val="000000"/>
                <w:szCs w:val="24"/>
              </w:rPr>
              <w:t>16</w:t>
            </w:r>
          </w:p>
        </w:tc>
        <w:tc>
          <w:tcPr>
            <w:tcW w:w="4049" w:type="dxa"/>
            <w:noWrap/>
            <w:hideMark/>
          </w:tcPr>
          <w:p w14:paraId="5C763B31" w14:textId="77777777" w:rsidR="00F8048E" w:rsidRPr="00B84484" w:rsidRDefault="00F8048E" w:rsidP="00CB6587">
            <w:pPr>
              <w:spacing w:after="120" w:line="260" w:lineRule="exact"/>
              <w:jc w:val="right"/>
              <w:rPr>
                <w:rFonts w:cs="Arial"/>
                <w:color w:val="000000"/>
                <w:szCs w:val="24"/>
              </w:rPr>
            </w:pPr>
            <w:r w:rsidRPr="00B84484">
              <w:rPr>
                <w:rFonts w:cs="Arial"/>
                <w:color w:val="000000"/>
                <w:szCs w:val="24"/>
              </w:rPr>
              <w:t>4655</w:t>
            </w:r>
          </w:p>
        </w:tc>
      </w:tr>
      <w:tr w:rsidR="00F8048E" w:rsidRPr="00B84484" w14:paraId="067D3085" w14:textId="77777777" w:rsidTr="001E50CB">
        <w:trPr>
          <w:trHeight w:val="556"/>
        </w:trPr>
        <w:tc>
          <w:tcPr>
            <w:tcW w:w="1333" w:type="dxa"/>
            <w:hideMark/>
          </w:tcPr>
          <w:p w14:paraId="5AD94615" w14:textId="77777777" w:rsidR="00F8048E" w:rsidRPr="00B84484" w:rsidRDefault="00F8048E" w:rsidP="00CB6587">
            <w:pPr>
              <w:spacing w:after="120" w:line="260" w:lineRule="exact"/>
              <w:rPr>
                <w:rFonts w:cs="Arial"/>
                <w:szCs w:val="24"/>
              </w:rPr>
            </w:pPr>
            <w:r w:rsidRPr="00B84484">
              <w:rPr>
                <w:rFonts w:cs="Arial"/>
                <w:szCs w:val="24"/>
              </w:rPr>
              <w:t>2018-19</w:t>
            </w:r>
          </w:p>
        </w:tc>
        <w:tc>
          <w:tcPr>
            <w:tcW w:w="2268" w:type="dxa"/>
            <w:hideMark/>
          </w:tcPr>
          <w:p w14:paraId="5C62714A" w14:textId="77777777" w:rsidR="00F8048E" w:rsidRPr="00B84484" w:rsidRDefault="00F8048E" w:rsidP="00CB6587">
            <w:pPr>
              <w:spacing w:after="120" w:line="260" w:lineRule="exact"/>
              <w:jc w:val="right"/>
              <w:rPr>
                <w:rFonts w:cs="Arial"/>
                <w:color w:val="000000"/>
                <w:szCs w:val="24"/>
              </w:rPr>
            </w:pPr>
            <w:r w:rsidRPr="00B84484">
              <w:rPr>
                <w:rFonts w:cs="Arial"/>
                <w:color w:val="000000"/>
                <w:szCs w:val="24"/>
              </w:rPr>
              <w:t>94</w:t>
            </w:r>
          </w:p>
        </w:tc>
        <w:tc>
          <w:tcPr>
            <w:tcW w:w="4049" w:type="dxa"/>
            <w:noWrap/>
            <w:hideMark/>
          </w:tcPr>
          <w:p w14:paraId="47A0FFAB" w14:textId="77777777" w:rsidR="00F8048E" w:rsidRPr="00B84484" w:rsidRDefault="00F8048E" w:rsidP="00CB6587">
            <w:pPr>
              <w:spacing w:after="120" w:line="260" w:lineRule="exact"/>
              <w:jc w:val="right"/>
              <w:rPr>
                <w:rFonts w:cs="Arial"/>
                <w:color w:val="000000"/>
                <w:szCs w:val="24"/>
              </w:rPr>
            </w:pPr>
            <w:r w:rsidRPr="00B84484">
              <w:rPr>
                <w:rFonts w:cs="Arial"/>
                <w:color w:val="000000"/>
                <w:szCs w:val="24"/>
              </w:rPr>
              <w:t>4669</w:t>
            </w:r>
          </w:p>
        </w:tc>
      </w:tr>
      <w:tr w:rsidR="00465D63" w:rsidRPr="00B84484" w14:paraId="2EDB80D8" w14:textId="77777777" w:rsidTr="001E50CB">
        <w:trPr>
          <w:trHeight w:val="550"/>
        </w:trPr>
        <w:tc>
          <w:tcPr>
            <w:tcW w:w="1333" w:type="dxa"/>
            <w:hideMark/>
          </w:tcPr>
          <w:p w14:paraId="0BBB194A" w14:textId="40DF50CF" w:rsidR="00465D63" w:rsidRPr="00B84484" w:rsidRDefault="00465D63" w:rsidP="00465D63">
            <w:pPr>
              <w:spacing w:after="120" w:line="260" w:lineRule="exact"/>
              <w:rPr>
                <w:rFonts w:cs="Arial"/>
                <w:color w:val="000000"/>
                <w:szCs w:val="24"/>
              </w:rPr>
            </w:pPr>
            <w:r>
              <w:rPr>
                <w:rFonts w:cs="Arial"/>
                <w:sz w:val="20"/>
                <w:szCs w:val="20"/>
              </w:rPr>
              <w:t>2019-20</w:t>
            </w:r>
          </w:p>
        </w:tc>
        <w:tc>
          <w:tcPr>
            <w:tcW w:w="2268" w:type="dxa"/>
            <w:hideMark/>
          </w:tcPr>
          <w:p w14:paraId="23C5DD7D" w14:textId="522BFCAD" w:rsidR="00465D63" w:rsidRPr="00B84484" w:rsidRDefault="00465D63" w:rsidP="00465D63">
            <w:pPr>
              <w:spacing w:after="120" w:line="260" w:lineRule="exact"/>
              <w:jc w:val="right"/>
              <w:rPr>
                <w:rFonts w:cs="Arial"/>
                <w:color w:val="000000"/>
                <w:szCs w:val="24"/>
              </w:rPr>
            </w:pPr>
            <w:r>
              <w:rPr>
                <w:rFonts w:ascii="Calibri" w:hAnsi="Calibri" w:cs="Calibri"/>
                <w:color w:val="000000"/>
                <w:sz w:val="22"/>
              </w:rPr>
              <w:t>121</w:t>
            </w:r>
          </w:p>
        </w:tc>
        <w:tc>
          <w:tcPr>
            <w:tcW w:w="4049" w:type="dxa"/>
            <w:hideMark/>
          </w:tcPr>
          <w:p w14:paraId="78CEC153" w14:textId="7C894CC4" w:rsidR="00465D63" w:rsidRPr="00B84484" w:rsidRDefault="00465D63" w:rsidP="00465D63">
            <w:pPr>
              <w:spacing w:after="120" w:line="260" w:lineRule="exact"/>
              <w:jc w:val="right"/>
              <w:rPr>
                <w:rFonts w:cs="Arial"/>
                <w:color w:val="000000"/>
                <w:szCs w:val="24"/>
              </w:rPr>
            </w:pPr>
            <w:r>
              <w:rPr>
                <w:rFonts w:ascii="Calibri" w:hAnsi="Calibri" w:cs="Calibri"/>
                <w:color w:val="000000"/>
                <w:sz w:val="22"/>
              </w:rPr>
              <w:t>7414</w:t>
            </w:r>
          </w:p>
        </w:tc>
      </w:tr>
      <w:tr w:rsidR="00465D63" w:rsidRPr="00B84484" w14:paraId="4565D45E" w14:textId="77777777" w:rsidTr="001E50CB">
        <w:trPr>
          <w:trHeight w:val="558"/>
        </w:trPr>
        <w:tc>
          <w:tcPr>
            <w:tcW w:w="1333" w:type="dxa"/>
            <w:noWrap/>
            <w:hideMark/>
          </w:tcPr>
          <w:p w14:paraId="35EAA354" w14:textId="3A52E5D4" w:rsidR="00465D63" w:rsidRPr="00B84484" w:rsidRDefault="00465D63" w:rsidP="00465D63">
            <w:pPr>
              <w:spacing w:after="120" w:line="260" w:lineRule="exact"/>
              <w:rPr>
                <w:rFonts w:cs="Arial"/>
                <w:color w:val="000000"/>
                <w:szCs w:val="24"/>
              </w:rPr>
            </w:pPr>
            <w:r>
              <w:rPr>
                <w:rFonts w:cs="Arial"/>
                <w:sz w:val="20"/>
                <w:szCs w:val="20"/>
              </w:rPr>
              <w:t>2020-21</w:t>
            </w:r>
          </w:p>
        </w:tc>
        <w:tc>
          <w:tcPr>
            <w:tcW w:w="2268" w:type="dxa"/>
            <w:noWrap/>
            <w:hideMark/>
          </w:tcPr>
          <w:p w14:paraId="0588A496" w14:textId="1947BBC7" w:rsidR="00465D63" w:rsidRPr="00B84484" w:rsidRDefault="00465D63" w:rsidP="00465D63">
            <w:pPr>
              <w:spacing w:after="120" w:line="260" w:lineRule="exact"/>
              <w:jc w:val="right"/>
              <w:rPr>
                <w:rFonts w:cs="Arial"/>
                <w:color w:val="000000"/>
                <w:szCs w:val="24"/>
              </w:rPr>
            </w:pPr>
            <w:r>
              <w:rPr>
                <w:rFonts w:ascii="Calibri" w:hAnsi="Calibri" w:cs="Calibri"/>
                <w:color w:val="000000"/>
                <w:sz w:val="22"/>
              </w:rPr>
              <w:t>84</w:t>
            </w:r>
          </w:p>
        </w:tc>
        <w:tc>
          <w:tcPr>
            <w:tcW w:w="4049" w:type="dxa"/>
            <w:noWrap/>
            <w:hideMark/>
          </w:tcPr>
          <w:p w14:paraId="661EC483" w14:textId="6FFB78E3" w:rsidR="00465D63" w:rsidRPr="00B84484" w:rsidRDefault="00465D63" w:rsidP="00465D63">
            <w:pPr>
              <w:spacing w:after="120" w:line="260" w:lineRule="exact"/>
              <w:jc w:val="right"/>
              <w:rPr>
                <w:rFonts w:cs="Arial"/>
                <w:color w:val="000000"/>
                <w:szCs w:val="24"/>
              </w:rPr>
            </w:pPr>
            <w:r>
              <w:rPr>
                <w:rFonts w:ascii="Calibri" w:hAnsi="Calibri" w:cs="Calibri"/>
                <w:color w:val="000000"/>
                <w:sz w:val="22"/>
              </w:rPr>
              <w:t>7260</w:t>
            </w:r>
          </w:p>
        </w:tc>
      </w:tr>
      <w:tr w:rsidR="00F17FD9" w:rsidRPr="00B84484" w14:paraId="4EC216E9" w14:textId="77777777" w:rsidTr="001E50CB">
        <w:trPr>
          <w:trHeight w:val="550"/>
        </w:trPr>
        <w:tc>
          <w:tcPr>
            <w:tcW w:w="1333" w:type="dxa"/>
          </w:tcPr>
          <w:p w14:paraId="068E26B8" w14:textId="3FD50770" w:rsidR="00F17FD9" w:rsidRDefault="00F17FD9" w:rsidP="00465D63">
            <w:pPr>
              <w:spacing w:after="120" w:line="260" w:lineRule="exact"/>
              <w:rPr>
                <w:rFonts w:ascii="Calibri" w:hAnsi="Calibri" w:cs="Calibri"/>
                <w:color w:val="000000"/>
                <w:sz w:val="22"/>
              </w:rPr>
            </w:pPr>
            <w:r>
              <w:rPr>
                <w:rFonts w:ascii="Calibri" w:hAnsi="Calibri" w:cs="Calibri"/>
                <w:color w:val="000000"/>
                <w:sz w:val="22"/>
              </w:rPr>
              <w:t>2021-22</w:t>
            </w:r>
          </w:p>
        </w:tc>
        <w:tc>
          <w:tcPr>
            <w:tcW w:w="2268" w:type="dxa"/>
          </w:tcPr>
          <w:p w14:paraId="16700F14" w14:textId="5C867EFD" w:rsidR="00F17FD9" w:rsidRDefault="00636248" w:rsidP="00465D63">
            <w:pPr>
              <w:spacing w:after="120" w:line="260" w:lineRule="exact"/>
              <w:jc w:val="right"/>
              <w:rPr>
                <w:rFonts w:ascii="Calibri" w:hAnsi="Calibri" w:cs="Calibri"/>
                <w:color w:val="000000"/>
                <w:sz w:val="22"/>
              </w:rPr>
            </w:pPr>
            <w:r>
              <w:rPr>
                <w:rFonts w:ascii="Calibri" w:hAnsi="Calibri" w:cs="Calibri"/>
                <w:color w:val="000000"/>
                <w:sz w:val="22"/>
              </w:rPr>
              <w:t>64</w:t>
            </w:r>
          </w:p>
        </w:tc>
        <w:tc>
          <w:tcPr>
            <w:tcW w:w="4049" w:type="dxa"/>
          </w:tcPr>
          <w:p w14:paraId="63FF2883" w14:textId="6A10A83C" w:rsidR="00F17FD9" w:rsidRDefault="00636248" w:rsidP="00465D63">
            <w:pPr>
              <w:spacing w:after="120" w:line="260" w:lineRule="exact"/>
              <w:jc w:val="right"/>
              <w:rPr>
                <w:rFonts w:ascii="Calibri" w:hAnsi="Calibri" w:cs="Calibri"/>
                <w:color w:val="000000"/>
                <w:sz w:val="22"/>
              </w:rPr>
            </w:pPr>
            <w:r>
              <w:rPr>
                <w:rFonts w:ascii="Calibri" w:hAnsi="Calibri" w:cs="Calibri"/>
                <w:color w:val="000000"/>
                <w:sz w:val="22"/>
              </w:rPr>
              <w:t>7937</w:t>
            </w:r>
          </w:p>
        </w:tc>
      </w:tr>
      <w:tr w:rsidR="00465D63" w:rsidRPr="00B84484" w14:paraId="7F1B87B9" w14:textId="77777777" w:rsidTr="001E50CB">
        <w:trPr>
          <w:trHeight w:val="550"/>
        </w:trPr>
        <w:tc>
          <w:tcPr>
            <w:tcW w:w="1333" w:type="dxa"/>
            <w:hideMark/>
          </w:tcPr>
          <w:p w14:paraId="3FAA1AD7" w14:textId="468155ED" w:rsidR="00465D63" w:rsidRPr="00B84484" w:rsidRDefault="00465D63" w:rsidP="00465D63">
            <w:pPr>
              <w:spacing w:after="120" w:line="260" w:lineRule="exact"/>
              <w:rPr>
                <w:rFonts w:cs="Arial"/>
                <w:color w:val="000000"/>
                <w:szCs w:val="24"/>
              </w:rPr>
            </w:pPr>
            <w:r>
              <w:rPr>
                <w:rFonts w:ascii="Calibri" w:hAnsi="Calibri" w:cs="Calibri"/>
                <w:color w:val="000000"/>
                <w:sz w:val="22"/>
              </w:rPr>
              <w:t>20</w:t>
            </w:r>
            <w:r w:rsidR="00B80390">
              <w:rPr>
                <w:rFonts w:ascii="Calibri" w:hAnsi="Calibri" w:cs="Calibri"/>
                <w:color w:val="000000"/>
                <w:sz w:val="22"/>
              </w:rPr>
              <w:t>2</w:t>
            </w:r>
            <w:r w:rsidR="00F17FD9">
              <w:rPr>
                <w:rFonts w:ascii="Calibri" w:hAnsi="Calibri" w:cs="Calibri"/>
                <w:color w:val="000000"/>
                <w:sz w:val="22"/>
              </w:rPr>
              <w:t>2</w:t>
            </w:r>
            <w:r>
              <w:rPr>
                <w:rFonts w:ascii="Calibri" w:hAnsi="Calibri" w:cs="Calibri"/>
                <w:color w:val="000000"/>
                <w:sz w:val="22"/>
              </w:rPr>
              <w:t>-</w:t>
            </w:r>
            <w:r w:rsidR="00B80390">
              <w:rPr>
                <w:rFonts w:ascii="Calibri" w:hAnsi="Calibri" w:cs="Calibri"/>
                <w:color w:val="000000"/>
                <w:sz w:val="22"/>
              </w:rPr>
              <w:t>23</w:t>
            </w:r>
          </w:p>
        </w:tc>
        <w:tc>
          <w:tcPr>
            <w:tcW w:w="2268" w:type="dxa"/>
            <w:hideMark/>
          </w:tcPr>
          <w:p w14:paraId="7BD486CA" w14:textId="5BB96C2E" w:rsidR="00465D63" w:rsidRPr="00B84484" w:rsidRDefault="00E70B8D" w:rsidP="00465D63">
            <w:pPr>
              <w:spacing w:after="120" w:line="260" w:lineRule="exact"/>
              <w:jc w:val="right"/>
              <w:rPr>
                <w:rFonts w:cs="Arial"/>
                <w:color w:val="000000"/>
                <w:szCs w:val="24"/>
              </w:rPr>
            </w:pPr>
            <w:r>
              <w:rPr>
                <w:rFonts w:ascii="Calibri" w:hAnsi="Calibri" w:cs="Calibri"/>
                <w:color w:val="000000"/>
                <w:sz w:val="22"/>
              </w:rPr>
              <w:t>133</w:t>
            </w:r>
          </w:p>
        </w:tc>
        <w:tc>
          <w:tcPr>
            <w:tcW w:w="4049" w:type="dxa"/>
            <w:hideMark/>
          </w:tcPr>
          <w:p w14:paraId="2343E7AC" w14:textId="6B27424C" w:rsidR="00465D63" w:rsidRPr="00B84484" w:rsidRDefault="00E70B8D" w:rsidP="00465D63">
            <w:pPr>
              <w:spacing w:after="120" w:line="260" w:lineRule="exact"/>
              <w:jc w:val="right"/>
              <w:rPr>
                <w:rFonts w:cs="Arial"/>
                <w:color w:val="000000"/>
                <w:szCs w:val="24"/>
              </w:rPr>
            </w:pPr>
            <w:r>
              <w:rPr>
                <w:rFonts w:ascii="Calibri" w:hAnsi="Calibri" w:cs="Calibri"/>
                <w:color w:val="000000"/>
                <w:sz w:val="22"/>
              </w:rPr>
              <w:t>5916</w:t>
            </w:r>
          </w:p>
        </w:tc>
      </w:tr>
      <w:tr w:rsidR="00192C52" w:rsidRPr="00F949C6" w14:paraId="182990A8" w14:textId="77777777" w:rsidTr="001E50CB">
        <w:trPr>
          <w:trHeight w:val="550"/>
        </w:trPr>
        <w:tc>
          <w:tcPr>
            <w:tcW w:w="1333" w:type="dxa"/>
          </w:tcPr>
          <w:p w14:paraId="68792785" w14:textId="72066278" w:rsidR="00192C52" w:rsidRPr="00F949C6" w:rsidRDefault="00192C52" w:rsidP="00465D63">
            <w:pPr>
              <w:spacing w:after="120" w:line="260" w:lineRule="exact"/>
              <w:rPr>
                <w:rFonts w:ascii="Calibri" w:hAnsi="Calibri" w:cs="Calibri"/>
                <w:color w:val="000000"/>
                <w:sz w:val="22"/>
              </w:rPr>
            </w:pPr>
            <w:r w:rsidRPr="00F949C6">
              <w:rPr>
                <w:rFonts w:ascii="Calibri" w:hAnsi="Calibri" w:cs="Calibri"/>
                <w:color w:val="000000"/>
                <w:sz w:val="22"/>
              </w:rPr>
              <w:t>2023-24</w:t>
            </w:r>
          </w:p>
        </w:tc>
        <w:tc>
          <w:tcPr>
            <w:tcW w:w="2268" w:type="dxa"/>
          </w:tcPr>
          <w:p w14:paraId="0AEE0C43" w14:textId="04FF6CA0" w:rsidR="00192C52" w:rsidRPr="00F949C6" w:rsidRDefault="00192C52" w:rsidP="00465D63">
            <w:pPr>
              <w:spacing w:after="120" w:line="260" w:lineRule="exact"/>
              <w:jc w:val="right"/>
              <w:rPr>
                <w:rFonts w:ascii="Calibri" w:hAnsi="Calibri" w:cs="Calibri"/>
                <w:color w:val="000000"/>
                <w:sz w:val="22"/>
              </w:rPr>
            </w:pPr>
            <w:r w:rsidRPr="00F949C6">
              <w:rPr>
                <w:rFonts w:ascii="Calibri" w:hAnsi="Calibri" w:cs="Calibri"/>
                <w:color w:val="000000"/>
                <w:sz w:val="22"/>
              </w:rPr>
              <w:t>684</w:t>
            </w:r>
          </w:p>
        </w:tc>
        <w:tc>
          <w:tcPr>
            <w:tcW w:w="4049" w:type="dxa"/>
          </w:tcPr>
          <w:p w14:paraId="69590BE0" w14:textId="0AD2C1AD" w:rsidR="00192C52" w:rsidRPr="00F949C6" w:rsidRDefault="00192C52" w:rsidP="00465D63">
            <w:pPr>
              <w:spacing w:after="120" w:line="260" w:lineRule="exact"/>
              <w:jc w:val="right"/>
              <w:rPr>
                <w:rFonts w:ascii="Calibri" w:hAnsi="Calibri" w:cs="Calibri"/>
                <w:color w:val="000000"/>
                <w:sz w:val="22"/>
              </w:rPr>
            </w:pPr>
            <w:r w:rsidRPr="00F949C6">
              <w:rPr>
                <w:rFonts w:ascii="Calibri" w:hAnsi="Calibri" w:cs="Calibri"/>
                <w:color w:val="000000"/>
                <w:sz w:val="22"/>
              </w:rPr>
              <w:t>4470</w:t>
            </w:r>
          </w:p>
        </w:tc>
      </w:tr>
      <w:tr w:rsidR="00B80390" w:rsidRPr="00F949C6" w14:paraId="06702B16" w14:textId="77777777" w:rsidTr="001E50CB">
        <w:trPr>
          <w:trHeight w:val="550"/>
        </w:trPr>
        <w:tc>
          <w:tcPr>
            <w:tcW w:w="1333" w:type="dxa"/>
          </w:tcPr>
          <w:p w14:paraId="7BAD279E" w14:textId="623F5DE3" w:rsidR="00B80390" w:rsidRPr="00F949C6" w:rsidRDefault="00F949C6" w:rsidP="00465D63">
            <w:pPr>
              <w:spacing w:after="120" w:line="260" w:lineRule="exact"/>
              <w:rPr>
                <w:rFonts w:ascii="Calibri" w:hAnsi="Calibri" w:cs="Calibri"/>
                <w:color w:val="000000"/>
                <w:sz w:val="22"/>
              </w:rPr>
            </w:pPr>
            <w:r w:rsidRPr="00F949C6">
              <w:rPr>
                <w:rFonts w:ascii="Calibri" w:hAnsi="Calibri" w:cs="Calibri"/>
                <w:color w:val="000000"/>
                <w:sz w:val="22"/>
              </w:rPr>
              <w:t>2024-25</w:t>
            </w:r>
          </w:p>
        </w:tc>
        <w:tc>
          <w:tcPr>
            <w:tcW w:w="2268" w:type="dxa"/>
          </w:tcPr>
          <w:p w14:paraId="3CD5C053" w14:textId="28504E7D" w:rsidR="00B80390" w:rsidRPr="00F949C6" w:rsidRDefault="00192C52" w:rsidP="00465D63">
            <w:pPr>
              <w:spacing w:after="120" w:line="260" w:lineRule="exact"/>
              <w:jc w:val="right"/>
              <w:rPr>
                <w:rFonts w:ascii="Calibri" w:hAnsi="Calibri" w:cs="Calibri"/>
                <w:color w:val="000000"/>
                <w:sz w:val="22"/>
              </w:rPr>
            </w:pPr>
            <w:r w:rsidRPr="00F949C6">
              <w:rPr>
                <w:rFonts w:ascii="Calibri" w:hAnsi="Calibri" w:cs="Calibri"/>
                <w:color w:val="000000"/>
                <w:sz w:val="22"/>
              </w:rPr>
              <w:t>1</w:t>
            </w:r>
            <w:r w:rsidR="00F949C6" w:rsidRPr="00F949C6">
              <w:rPr>
                <w:rFonts w:ascii="Calibri" w:hAnsi="Calibri" w:cs="Calibri"/>
                <w:color w:val="000000"/>
                <w:sz w:val="22"/>
              </w:rPr>
              <w:t>158</w:t>
            </w:r>
          </w:p>
        </w:tc>
        <w:tc>
          <w:tcPr>
            <w:tcW w:w="4049" w:type="dxa"/>
          </w:tcPr>
          <w:p w14:paraId="6F400797" w14:textId="484C1C78" w:rsidR="00B80390" w:rsidRPr="00F949C6" w:rsidRDefault="00F949C6" w:rsidP="00465D63">
            <w:pPr>
              <w:spacing w:after="120" w:line="260" w:lineRule="exact"/>
              <w:jc w:val="right"/>
              <w:rPr>
                <w:rFonts w:ascii="Calibri" w:hAnsi="Calibri" w:cs="Calibri"/>
                <w:color w:val="000000"/>
                <w:sz w:val="22"/>
              </w:rPr>
            </w:pPr>
            <w:r w:rsidRPr="00F949C6">
              <w:rPr>
                <w:rFonts w:ascii="Calibri" w:hAnsi="Calibri" w:cs="Calibri"/>
                <w:color w:val="000000"/>
                <w:sz w:val="22"/>
              </w:rPr>
              <w:t>4309</w:t>
            </w:r>
          </w:p>
        </w:tc>
      </w:tr>
      <w:tr w:rsidR="00465D63" w:rsidRPr="00F949C6" w14:paraId="7523E487" w14:textId="77777777" w:rsidTr="001E50CB">
        <w:trPr>
          <w:trHeight w:val="558"/>
        </w:trPr>
        <w:tc>
          <w:tcPr>
            <w:tcW w:w="1333" w:type="dxa"/>
            <w:noWrap/>
            <w:hideMark/>
          </w:tcPr>
          <w:p w14:paraId="5E32C708" w14:textId="7F857A13" w:rsidR="00465D63" w:rsidRPr="00F949C6" w:rsidRDefault="00F949C6" w:rsidP="00465D63">
            <w:pPr>
              <w:spacing w:after="120" w:line="260" w:lineRule="exact"/>
              <w:rPr>
                <w:rFonts w:cs="Arial"/>
                <w:color w:val="000000"/>
                <w:szCs w:val="24"/>
              </w:rPr>
            </w:pPr>
            <w:r w:rsidRPr="00F949C6">
              <w:rPr>
                <w:rFonts w:cs="Arial"/>
                <w:color w:val="000000"/>
                <w:szCs w:val="24"/>
              </w:rPr>
              <w:t xml:space="preserve">2015-25 </w:t>
            </w:r>
            <w:proofErr w:type="gramStart"/>
            <w:r w:rsidR="00FC68A3" w:rsidRPr="00F949C6">
              <w:rPr>
                <w:rFonts w:cs="Arial"/>
                <w:color w:val="000000"/>
                <w:szCs w:val="24"/>
              </w:rPr>
              <w:t>10 year</w:t>
            </w:r>
            <w:proofErr w:type="gramEnd"/>
            <w:r w:rsidR="00FC68A3" w:rsidRPr="00F949C6">
              <w:rPr>
                <w:rFonts w:cs="Arial"/>
                <w:color w:val="000000"/>
                <w:szCs w:val="24"/>
              </w:rPr>
              <w:t xml:space="preserve"> </w:t>
            </w:r>
            <w:r w:rsidR="001E50CB" w:rsidRPr="00F949C6">
              <w:rPr>
                <w:rFonts w:cs="Arial"/>
                <w:color w:val="000000"/>
                <w:szCs w:val="24"/>
              </w:rPr>
              <w:t>Average</w:t>
            </w:r>
          </w:p>
        </w:tc>
        <w:tc>
          <w:tcPr>
            <w:tcW w:w="2268" w:type="dxa"/>
            <w:noWrap/>
            <w:hideMark/>
          </w:tcPr>
          <w:p w14:paraId="5D0A5D70" w14:textId="7FA80444" w:rsidR="00465D63" w:rsidRPr="00F949C6" w:rsidRDefault="00F949C6" w:rsidP="00465D63">
            <w:pPr>
              <w:spacing w:after="120" w:line="260" w:lineRule="exact"/>
              <w:jc w:val="right"/>
              <w:rPr>
                <w:rFonts w:cs="Arial"/>
                <w:color w:val="000000"/>
                <w:szCs w:val="24"/>
              </w:rPr>
            </w:pPr>
            <w:r w:rsidRPr="00F949C6">
              <w:rPr>
                <w:rFonts w:ascii="Calibri" w:hAnsi="Calibri" w:cs="Calibri"/>
                <w:color w:val="000000"/>
                <w:sz w:val="22"/>
              </w:rPr>
              <w:t>245.0</w:t>
            </w:r>
          </w:p>
        </w:tc>
        <w:tc>
          <w:tcPr>
            <w:tcW w:w="4049" w:type="dxa"/>
            <w:noWrap/>
            <w:hideMark/>
          </w:tcPr>
          <w:p w14:paraId="71AF823A" w14:textId="2170CE53" w:rsidR="00465D63" w:rsidRPr="00F949C6" w:rsidRDefault="00636248" w:rsidP="00465D63">
            <w:pPr>
              <w:spacing w:after="120" w:line="260" w:lineRule="exact"/>
              <w:jc w:val="right"/>
              <w:rPr>
                <w:rFonts w:cs="Arial"/>
                <w:color w:val="000000"/>
                <w:szCs w:val="24"/>
              </w:rPr>
            </w:pPr>
            <w:r w:rsidRPr="00F949C6">
              <w:rPr>
                <w:rFonts w:ascii="Calibri" w:hAnsi="Calibri" w:cs="Calibri"/>
                <w:color w:val="000000"/>
                <w:sz w:val="22"/>
              </w:rPr>
              <w:t>5</w:t>
            </w:r>
            <w:r w:rsidR="00F949C6" w:rsidRPr="00F949C6">
              <w:rPr>
                <w:rFonts w:ascii="Calibri" w:hAnsi="Calibri" w:cs="Calibri"/>
                <w:color w:val="000000"/>
                <w:sz w:val="22"/>
              </w:rPr>
              <w:t>443.9</w:t>
            </w:r>
          </w:p>
        </w:tc>
      </w:tr>
    </w:tbl>
    <w:p w14:paraId="6E9100DF" w14:textId="77777777" w:rsidR="00F8048E" w:rsidRPr="00F949C6" w:rsidRDefault="00F8048E" w:rsidP="00F8048E">
      <w:pPr>
        <w:rPr>
          <w:rFonts w:cs="Arial"/>
        </w:rPr>
      </w:pPr>
    </w:p>
    <w:p w14:paraId="3BD80CDD" w14:textId="6B93190F" w:rsidR="00716DDF" w:rsidRDefault="00F8048E" w:rsidP="00636248">
      <w:r w:rsidRPr="00F949C6">
        <w:rPr>
          <w:rFonts w:cs="Arial"/>
        </w:rPr>
        <w:t xml:space="preserve">This gives a non-implementation rate of </w:t>
      </w:r>
      <w:r w:rsidR="00F949C6" w:rsidRPr="00F949C6">
        <w:rPr>
          <w:rFonts w:cs="Arial"/>
        </w:rPr>
        <w:t>4.5</w:t>
      </w:r>
      <w:r w:rsidR="00A547B0" w:rsidRPr="00F949C6">
        <w:rPr>
          <w:rFonts w:cs="Arial"/>
        </w:rPr>
        <w:t>%</w:t>
      </w:r>
      <w:r w:rsidR="00636248" w:rsidRPr="00F949C6">
        <w:t>.</w:t>
      </w:r>
    </w:p>
    <w:p w14:paraId="448644E3" w14:textId="6E0D97B2" w:rsidR="00E70B8D" w:rsidRDefault="00E70B8D" w:rsidP="00E70B8D">
      <w:pPr>
        <w:pStyle w:val="NoSpacing"/>
      </w:pPr>
    </w:p>
    <w:p w14:paraId="1A8182B3" w14:textId="77777777" w:rsidR="00E70B8D" w:rsidRPr="00E70B8D" w:rsidRDefault="00E70B8D" w:rsidP="00E70B8D">
      <w:pPr>
        <w:pStyle w:val="NoSpacing"/>
      </w:pPr>
    </w:p>
    <w:sectPr w:rsidR="00E70B8D" w:rsidRPr="00E70B8D" w:rsidSect="00F80DD9">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7825" w14:textId="77777777" w:rsidR="00CD5D58" w:rsidRDefault="00CD5D58" w:rsidP="00CD5D58">
      <w:r>
        <w:separator/>
      </w:r>
    </w:p>
  </w:endnote>
  <w:endnote w:type="continuationSeparator" w:id="0">
    <w:p w14:paraId="3A2FE95B" w14:textId="77777777" w:rsidR="00CD5D58" w:rsidRDefault="00CD5D58" w:rsidP="00CD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884844"/>
      <w:docPartObj>
        <w:docPartGallery w:val="Page Numbers (Bottom of Page)"/>
        <w:docPartUnique/>
      </w:docPartObj>
    </w:sdtPr>
    <w:sdtEndPr>
      <w:rPr>
        <w:noProof/>
      </w:rPr>
    </w:sdtEndPr>
    <w:sdtContent>
      <w:p w14:paraId="466676E9" w14:textId="52D65D67" w:rsidR="00F80DD9" w:rsidRDefault="00F80DD9">
        <w:pPr>
          <w:pStyle w:val="Footer"/>
          <w:jc w:val="right"/>
        </w:pPr>
        <w:r>
          <w:fldChar w:fldCharType="begin"/>
        </w:r>
        <w:r>
          <w:instrText xml:space="preserve"> PAGE   \* MERGEFORMAT </w:instrText>
        </w:r>
        <w:r>
          <w:fldChar w:fldCharType="separate"/>
        </w:r>
        <w:r w:rsidR="001E50CB">
          <w:rPr>
            <w:noProof/>
          </w:rPr>
          <w:t>5</w:t>
        </w:r>
        <w:r>
          <w:rPr>
            <w:noProof/>
          </w:rPr>
          <w:fldChar w:fldCharType="end"/>
        </w:r>
      </w:p>
    </w:sdtContent>
  </w:sdt>
  <w:p w14:paraId="63EC9C90" w14:textId="77777777" w:rsidR="00F80DD9" w:rsidRDefault="00F80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D8B8" w14:textId="77777777" w:rsidR="00CD5D58" w:rsidRDefault="00CD5D58" w:rsidP="00CD5D58">
      <w:r>
        <w:separator/>
      </w:r>
    </w:p>
  </w:footnote>
  <w:footnote w:type="continuationSeparator" w:id="0">
    <w:p w14:paraId="7FE22E19" w14:textId="77777777" w:rsidR="00CD5D58" w:rsidRDefault="00CD5D58" w:rsidP="00CD5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95C91"/>
    <w:multiLevelType w:val="hybridMultilevel"/>
    <w:tmpl w:val="F266D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5E77D2"/>
    <w:multiLevelType w:val="hybridMultilevel"/>
    <w:tmpl w:val="24869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25B2A"/>
    <w:multiLevelType w:val="hybridMultilevel"/>
    <w:tmpl w:val="40E4F9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7232D4B"/>
    <w:multiLevelType w:val="hybridMultilevel"/>
    <w:tmpl w:val="0CBCE768"/>
    <w:lvl w:ilvl="0" w:tplc="5EA203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1B0BEC"/>
    <w:multiLevelType w:val="hybridMultilevel"/>
    <w:tmpl w:val="1AD2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E5197"/>
    <w:multiLevelType w:val="hybridMultilevel"/>
    <w:tmpl w:val="A7F62D2E"/>
    <w:lvl w:ilvl="0" w:tplc="805CBD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4BF03AD"/>
    <w:multiLevelType w:val="hybridMultilevel"/>
    <w:tmpl w:val="9F7CE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21A6E79"/>
    <w:multiLevelType w:val="hybridMultilevel"/>
    <w:tmpl w:val="04BAB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4C260F9"/>
    <w:multiLevelType w:val="hybridMultilevel"/>
    <w:tmpl w:val="16F87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8A211BC"/>
    <w:multiLevelType w:val="hybridMultilevel"/>
    <w:tmpl w:val="FB1E6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451E37"/>
    <w:multiLevelType w:val="hybridMultilevel"/>
    <w:tmpl w:val="931E6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EA322A"/>
    <w:multiLevelType w:val="hybridMultilevel"/>
    <w:tmpl w:val="64E03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07264054">
    <w:abstractNumId w:val="1"/>
  </w:num>
  <w:num w:numId="2" w16cid:durableId="1464423632">
    <w:abstractNumId w:val="2"/>
  </w:num>
  <w:num w:numId="3" w16cid:durableId="1337416182">
    <w:abstractNumId w:val="3"/>
  </w:num>
  <w:num w:numId="4" w16cid:durableId="615218510">
    <w:abstractNumId w:val="6"/>
  </w:num>
  <w:num w:numId="5" w16cid:durableId="1778793053">
    <w:abstractNumId w:val="11"/>
  </w:num>
  <w:num w:numId="6" w16cid:durableId="1811246706">
    <w:abstractNumId w:val="4"/>
  </w:num>
  <w:num w:numId="7" w16cid:durableId="239482338">
    <w:abstractNumId w:val="10"/>
  </w:num>
  <w:num w:numId="8" w16cid:durableId="1507938436">
    <w:abstractNumId w:val="5"/>
  </w:num>
  <w:num w:numId="9" w16cid:durableId="502428144">
    <w:abstractNumId w:val="0"/>
  </w:num>
  <w:num w:numId="10" w16cid:durableId="1486166054">
    <w:abstractNumId w:val="8"/>
  </w:num>
  <w:num w:numId="11" w16cid:durableId="2114789237">
    <w:abstractNumId w:val="7"/>
  </w:num>
  <w:num w:numId="12" w16cid:durableId="328951129">
    <w:abstractNumId w:val="0"/>
  </w:num>
  <w:num w:numId="13" w16cid:durableId="1925412894">
    <w:abstractNumId w:val="9"/>
  </w:num>
  <w:num w:numId="14" w16cid:durableId="2023968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15"/>
    <w:rsid w:val="00003CC8"/>
    <w:rsid w:val="00015F56"/>
    <w:rsid w:val="00054C82"/>
    <w:rsid w:val="00061200"/>
    <w:rsid w:val="000B264A"/>
    <w:rsid w:val="000B3629"/>
    <w:rsid w:val="000F625E"/>
    <w:rsid w:val="001031FF"/>
    <w:rsid w:val="00113460"/>
    <w:rsid w:val="001657C9"/>
    <w:rsid w:val="001879D7"/>
    <w:rsid w:val="00192C52"/>
    <w:rsid w:val="001975F7"/>
    <w:rsid w:val="001A0B3A"/>
    <w:rsid w:val="001B5640"/>
    <w:rsid w:val="001B7A9D"/>
    <w:rsid w:val="001D35B8"/>
    <w:rsid w:val="001D4032"/>
    <w:rsid w:val="001E000C"/>
    <w:rsid w:val="001E3A68"/>
    <w:rsid w:val="001E4C01"/>
    <w:rsid w:val="001E50CB"/>
    <w:rsid w:val="001E7C34"/>
    <w:rsid w:val="001F3A08"/>
    <w:rsid w:val="00277EDF"/>
    <w:rsid w:val="00284C1C"/>
    <w:rsid w:val="002A36C5"/>
    <w:rsid w:val="002B4244"/>
    <w:rsid w:val="003004A1"/>
    <w:rsid w:val="0030556E"/>
    <w:rsid w:val="00317F35"/>
    <w:rsid w:val="00326CDB"/>
    <w:rsid w:val="003312A1"/>
    <w:rsid w:val="003403B2"/>
    <w:rsid w:val="003436FF"/>
    <w:rsid w:val="00357158"/>
    <w:rsid w:val="0036486F"/>
    <w:rsid w:val="00364F03"/>
    <w:rsid w:val="003912AF"/>
    <w:rsid w:val="003919CF"/>
    <w:rsid w:val="00391FF8"/>
    <w:rsid w:val="00397CED"/>
    <w:rsid w:val="003F366C"/>
    <w:rsid w:val="003F4F96"/>
    <w:rsid w:val="003F54CC"/>
    <w:rsid w:val="004518D1"/>
    <w:rsid w:val="00465D63"/>
    <w:rsid w:val="00467F75"/>
    <w:rsid w:val="00473FD5"/>
    <w:rsid w:val="004857BD"/>
    <w:rsid w:val="00490730"/>
    <w:rsid w:val="004A0125"/>
    <w:rsid w:val="004B6278"/>
    <w:rsid w:val="004C3060"/>
    <w:rsid w:val="004D3F52"/>
    <w:rsid w:val="004E039A"/>
    <w:rsid w:val="004E6182"/>
    <w:rsid w:val="004F5050"/>
    <w:rsid w:val="005506AF"/>
    <w:rsid w:val="00550C59"/>
    <w:rsid w:val="00552664"/>
    <w:rsid w:val="005B4C4A"/>
    <w:rsid w:val="005C099A"/>
    <w:rsid w:val="00602656"/>
    <w:rsid w:val="00636248"/>
    <w:rsid w:val="006469BB"/>
    <w:rsid w:val="00646F9B"/>
    <w:rsid w:val="006C6DD6"/>
    <w:rsid w:val="006D56BD"/>
    <w:rsid w:val="006E085B"/>
    <w:rsid w:val="006F2384"/>
    <w:rsid w:val="007038DE"/>
    <w:rsid w:val="00705BA7"/>
    <w:rsid w:val="00706DFB"/>
    <w:rsid w:val="00716DDF"/>
    <w:rsid w:val="00722C4E"/>
    <w:rsid w:val="007270CC"/>
    <w:rsid w:val="00744BCA"/>
    <w:rsid w:val="00750BDB"/>
    <w:rsid w:val="007510A6"/>
    <w:rsid w:val="00751727"/>
    <w:rsid w:val="007546EA"/>
    <w:rsid w:val="007855A3"/>
    <w:rsid w:val="007C0A40"/>
    <w:rsid w:val="007D003F"/>
    <w:rsid w:val="007F19D1"/>
    <w:rsid w:val="00801059"/>
    <w:rsid w:val="0082585B"/>
    <w:rsid w:val="00853B2E"/>
    <w:rsid w:val="008571C1"/>
    <w:rsid w:val="008657A0"/>
    <w:rsid w:val="00882CD0"/>
    <w:rsid w:val="008843FC"/>
    <w:rsid w:val="008A75B4"/>
    <w:rsid w:val="008B28A6"/>
    <w:rsid w:val="008D3992"/>
    <w:rsid w:val="008E0B56"/>
    <w:rsid w:val="008E3D9C"/>
    <w:rsid w:val="008E6ED9"/>
    <w:rsid w:val="008F496A"/>
    <w:rsid w:val="00903D41"/>
    <w:rsid w:val="0090701C"/>
    <w:rsid w:val="00915F01"/>
    <w:rsid w:val="00936F67"/>
    <w:rsid w:val="00937870"/>
    <w:rsid w:val="00953616"/>
    <w:rsid w:val="00973DBD"/>
    <w:rsid w:val="009B16FD"/>
    <w:rsid w:val="009B234B"/>
    <w:rsid w:val="009B4420"/>
    <w:rsid w:val="009C3884"/>
    <w:rsid w:val="009F1B48"/>
    <w:rsid w:val="009F7553"/>
    <w:rsid w:val="00A20EB9"/>
    <w:rsid w:val="00A51F60"/>
    <w:rsid w:val="00A547B0"/>
    <w:rsid w:val="00A75B1A"/>
    <w:rsid w:val="00A76E12"/>
    <w:rsid w:val="00A843E5"/>
    <w:rsid w:val="00A903C8"/>
    <w:rsid w:val="00AC3E74"/>
    <w:rsid w:val="00AE372C"/>
    <w:rsid w:val="00AE5CCE"/>
    <w:rsid w:val="00B26D9B"/>
    <w:rsid w:val="00B323CE"/>
    <w:rsid w:val="00B60E4B"/>
    <w:rsid w:val="00B64B0D"/>
    <w:rsid w:val="00B6707C"/>
    <w:rsid w:val="00B80390"/>
    <w:rsid w:val="00B84484"/>
    <w:rsid w:val="00B97448"/>
    <w:rsid w:val="00BA10F0"/>
    <w:rsid w:val="00BA2E1E"/>
    <w:rsid w:val="00BA4455"/>
    <w:rsid w:val="00BB08B6"/>
    <w:rsid w:val="00BC515C"/>
    <w:rsid w:val="00BE4D80"/>
    <w:rsid w:val="00BE53A0"/>
    <w:rsid w:val="00BE7250"/>
    <w:rsid w:val="00BE7E2F"/>
    <w:rsid w:val="00C1157F"/>
    <w:rsid w:val="00C11C15"/>
    <w:rsid w:val="00C161B1"/>
    <w:rsid w:val="00C21820"/>
    <w:rsid w:val="00C402F4"/>
    <w:rsid w:val="00C65E8D"/>
    <w:rsid w:val="00C94D14"/>
    <w:rsid w:val="00C9752E"/>
    <w:rsid w:val="00C97D97"/>
    <w:rsid w:val="00CA49C1"/>
    <w:rsid w:val="00CC0B94"/>
    <w:rsid w:val="00CD5D58"/>
    <w:rsid w:val="00CF3C16"/>
    <w:rsid w:val="00D0179D"/>
    <w:rsid w:val="00D0215B"/>
    <w:rsid w:val="00D23CA9"/>
    <w:rsid w:val="00D34CFA"/>
    <w:rsid w:val="00DB63C0"/>
    <w:rsid w:val="00DD2949"/>
    <w:rsid w:val="00DE5628"/>
    <w:rsid w:val="00DE5BC8"/>
    <w:rsid w:val="00DF433B"/>
    <w:rsid w:val="00E10AF8"/>
    <w:rsid w:val="00E30484"/>
    <w:rsid w:val="00E3698C"/>
    <w:rsid w:val="00E5306A"/>
    <w:rsid w:val="00E6673A"/>
    <w:rsid w:val="00E70B8D"/>
    <w:rsid w:val="00E904DB"/>
    <w:rsid w:val="00E967E1"/>
    <w:rsid w:val="00EA707C"/>
    <w:rsid w:val="00EB67E4"/>
    <w:rsid w:val="00EE7972"/>
    <w:rsid w:val="00EF2B6A"/>
    <w:rsid w:val="00EF31AC"/>
    <w:rsid w:val="00EF4DD8"/>
    <w:rsid w:val="00F17FD9"/>
    <w:rsid w:val="00F2201C"/>
    <w:rsid w:val="00F30B06"/>
    <w:rsid w:val="00F448D9"/>
    <w:rsid w:val="00F70582"/>
    <w:rsid w:val="00F74427"/>
    <w:rsid w:val="00F8048E"/>
    <w:rsid w:val="00F80DD9"/>
    <w:rsid w:val="00F92C54"/>
    <w:rsid w:val="00F949C6"/>
    <w:rsid w:val="00FB5E23"/>
    <w:rsid w:val="00FC06ED"/>
    <w:rsid w:val="00FC0F97"/>
    <w:rsid w:val="00FC68A3"/>
    <w:rsid w:val="00FD22CD"/>
    <w:rsid w:val="00FD644A"/>
    <w:rsid w:val="00FE3F71"/>
    <w:rsid w:val="00FF2FF2"/>
    <w:rsid w:val="00FF3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9FBAD2D"/>
  <w15:chartTrackingRefBased/>
  <w15:docId w15:val="{F2F77AF4-21C6-4AAB-89AF-195862B0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B60E4B"/>
    <w:pPr>
      <w:spacing w:after="0" w:line="240" w:lineRule="auto"/>
    </w:pPr>
    <w:rPr>
      <w:rFonts w:ascii="Arial" w:hAnsi="Arial"/>
      <w:sz w:val="24"/>
    </w:rPr>
  </w:style>
  <w:style w:type="paragraph" w:styleId="Heading1">
    <w:name w:val="heading 1"/>
    <w:next w:val="NoSpacing"/>
    <w:link w:val="Heading1Char"/>
    <w:uiPriority w:val="9"/>
    <w:qFormat/>
    <w:rsid w:val="00B60E4B"/>
    <w:pPr>
      <w:keepNext/>
      <w:spacing w:before="240" w:after="60"/>
      <w:outlineLvl w:val="0"/>
    </w:pPr>
    <w:rPr>
      <w:rFonts w:ascii="Arial" w:eastAsiaTheme="majorEastAsia" w:hAnsi="Arial" w:cstheme="majorBidi"/>
      <w:b/>
      <w:bCs/>
      <w:kern w:val="32"/>
      <w:sz w:val="32"/>
      <w:szCs w:val="32"/>
    </w:rPr>
  </w:style>
  <w:style w:type="paragraph" w:styleId="Heading2">
    <w:name w:val="heading 2"/>
    <w:basedOn w:val="Normal"/>
    <w:next w:val="Normal"/>
    <w:link w:val="Heading2Char"/>
    <w:autoRedefine/>
    <w:uiPriority w:val="9"/>
    <w:unhideWhenUsed/>
    <w:qFormat/>
    <w:rsid w:val="00B60E4B"/>
    <w:pPr>
      <w:keepNext/>
      <w:keepLines/>
      <w:spacing w:before="200"/>
      <w:outlineLvl w:val="1"/>
    </w:pPr>
    <w:rPr>
      <w:rFonts w:ascii="Rockwell" w:eastAsiaTheme="majorEastAsia" w:hAnsi="Rockwell" w:cstheme="majorBidi"/>
      <w:b/>
      <w:bCs/>
      <w:sz w:val="26"/>
      <w:szCs w:val="26"/>
    </w:rPr>
  </w:style>
  <w:style w:type="paragraph" w:styleId="Heading3">
    <w:name w:val="heading 3"/>
    <w:basedOn w:val="Normal"/>
    <w:next w:val="Normal"/>
    <w:link w:val="Heading3Char"/>
    <w:uiPriority w:val="9"/>
    <w:semiHidden/>
    <w:unhideWhenUsed/>
    <w:qFormat/>
    <w:rsid w:val="00B60E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2C54"/>
    <w:pPr>
      <w:spacing w:after="0" w:line="240" w:lineRule="auto"/>
    </w:pPr>
    <w:rPr>
      <w:rFonts w:ascii="Arial" w:hAnsi="Arial"/>
      <w:sz w:val="24"/>
    </w:rPr>
  </w:style>
  <w:style w:type="character" w:customStyle="1" w:styleId="Heading1Char">
    <w:name w:val="Heading 1 Char"/>
    <w:basedOn w:val="DefaultParagraphFont"/>
    <w:link w:val="Heading1"/>
    <w:uiPriority w:val="9"/>
    <w:rsid w:val="00B60E4B"/>
    <w:rPr>
      <w:rFonts w:ascii="Arial" w:eastAsiaTheme="majorEastAsia" w:hAnsi="Arial" w:cstheme="majorBidi"/>
      <w:b/>
      <w:bCs/>
      <w:kern w:val="32"/>
      <w:sz w:val="32"/>
      <w:szCs w:val="32"/>
    </w:rPr>
  </w:style>
  <w:style w:type="character" w:customStyle="1" w:styleId="Heading2Char">
    <w:name w:val="Heading 2 Char"/>
    <w:basedOn w:val="DefaultParagraphFont"/>
    <w:link w:val="Heading2"/>
    <w:uiPriority w:val="9"/>
    <w:rsid w:val="00B60E4B"/>
    <w:rPr>
      <w:rFonts w:ascii="Rockwell" w:eastAsiaTheme="majorEastAsia" w:hAnsi="Rockwell" w:cstheme="majorBidi"/>
      <w:b/>
      <w:bCs/>
      <w:sz w:val="26"/>
      <w:szCs w:val="26"/>
    </w:rPr>
  </w:style>
  <w:style w:type="paragraph" w:styleId="ListParagraph">
    <w:name w:val="List Paragraph"/>
    <w:basedOn w:val="Normal"/>
    <w:uiPriority w:val="34"/>
    <w:qFormat/>
    <w:rsid w:val="00B60E4B"/>
    <w:pPr>
      <w:ind w:left="720"/>
      <w:contextualSpacing/>
    </w:pPr>
  </w:style>
  <w:style w:type="character" w:customStyle="1" w:styleId="Heading3Char">
    <w:name w:val="Heading 3 Char"/>
    <w:basedOn w:val="DefaultParagraphFont"/>
    <w:link w:val="Heading3"/>
    <w:uiPriority w:val="9"/>
    <w:semiHidden/>
    <w:rsid w:val="00B60E4B"/>
    <w:rPr>
      <w:rFonts w:asciiTheme="majorHAnsi" w:eastAsiaTheme="majorEastAsia" w:hAnsiTheme="majorHAnsi" w:cstheme="majorBidi"/>
      <w:b/>
      <w:bCs/>
      <w:color w:val="4F81BD" w:themeColor="accent1"/>
      <w:sz w:val="24"/>
    </w:rPr>
  </w:style>
  <w:style w:type="table" w:styleId="TableGrid">
    <w:name w:val="Table Grid"/>
    <w:basedOn w:val="TableNormal"/>
    <w:uiPriority w:val="59"/>
    <w:rsid w:val="004B6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58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85B"/>
    <w:rPr>
      <w:rFonts w:ascii="Segoe UI" w:hAnsi="Segoe UI" w:cs="Segoe UI"/>
      <w:sz w:val="18"/>
      <w:szCs w:val="18"/>
    </w:rPr>
  </w:style>
  <w:style w:type="paragraph" w:styleId="Title">
    <w:name w:val="Title"/>
    <w:basedOn w:val="Normal"/>
    <w:next w:val="Normal"/>
    <w:link w:val="TitleChar"/>
    <w:qFormat/>
    <w:rsid w:val="000B264A"/>
    <w:pPr>
      <w:contextualSpacing/>
    </w:pPr>
    <w:rPr>
      <w:rFonts w:eastAsiaTheme="majorEastAsia" w:cstheme="majorBidi"/>
      <w:b/>
      <w:spacing w:val="-10"/>
      <w:kern w:val="28"/>
      <w:sz w:val="60"/>
      <w:szCs w:val="56"/>
    </w:rPr>
  </w:style>
  <w:style w:type="character" w:customStyle="1" w:styleId="TitleChar">
    <w:name w:val="Title Char"/>
    <w:basedOn w:val="DefaultParagraphFont"/>
    <w:link w:val="Title"/>
    <w:rsid w:val="000B264A"/>
    <w:rPr>
      <w:rFonts w:ascii="Arial" w:eastAsiaTheme="majorEastAsia" w:hAnsi="Arial" w:cstheme="majorBidi"/>
      <w:b/>
      <w:spacing w:val="-10"/>
      <w:kern w:val="28"/>
      <w:sz w:val="60"/>
      <w:szCs w:val="56"/>
    </w:rPr>
  </w:style>
  <w:style w:type="character" w:styleId="CommentReference">
    <w:name w:val="annotation reference"/>
    <w:basedOn w:val="DefaultParagraphFont"/>
    <w:uiPriority w:val="99"/>
    <w:semiHidden/>
    <w:unhideWhenUsed/>
    <w:rsid w:val="000B264A"/>
    <w:rPr>
      <w:sz w:val="16"/>
      <w:szCs w:val="16"/>
    </w:rPr>
  </w:style>
  <w:style w:type="paragraph" w:styleId="CommentText">
    <w:name w:val="annotation text"/>
    <w:basedOn w:val="Normal"/>
    <w:link w:val="CommentTextChar"/>
    <w:uiPriority w:val="99"/>
    <w:semiHidden/>
    <w:unhideWhenUsed/>
    <w:rsid w:val="000B264A"/>
    <w:rPr>
      <w:sz w:val="20"/>
      <w:szCs w:val="20"/>
    </w:rPr>
  </w:style>
  <w:style w:type="character" w:customStyle="1" w:styleId="CommentTextChar">
    <w:name w:val="Comment Text Char"/>
    <w:basedOn w:val="DefaultParagraphFont"/>
    <w:link w:val="CommentText"/>
    <w:uiPriority w:val="99"/>
    <w:semiHidden/>
    <w:rsid w:val="000B264A"/>
    <w:rPr>
      <w:rFonts w:ascii="Arial" w:hAnsi="Arial"/>
      <w:sz w:val="20"/>
      <w:szCs w:val="20"/>
    </w:rPr>
  </w:style>
  <w:style w:type="paragraph" w:styleId="Caption">
    <w:name w:val="caption"/>
    <w:basedOn w:val="Normal"/>
    <w:next w:val="Normal"/>
    <w:uiPriority w:val="35"/>
    <w:unhideWhenUsed/>
    <w:qFormat/>
    <w:rsid w:val="003919CF"/>
    <w:pPr>
      <w:spacing w:after="200"/>
    </w:pPr>
    <w:rPr>
      <w:i/>
      <w:iCs/>
      <w:color w:val="1F497D" w:themeColor="text2"/>
      <w:sz w:val="18"/>
      <w:szCs w:val="18"/>
    </w:rPr>
  </w:style>
  <w:style w:type="paragraph" w:styleId="Header">
    <w:name w:val="header"/>
    <w:basedOn w:val="Normal"/>
    <w:link w:val="HeaderChar"/>
    <w:uiPriority w:val="99"/>
    <w:unhideWhenUsed/>
    <w:rsid w:val="00CD5D58"/>
    <w:pPr>
      <w:tabs>
        <w:tab w:val="center" w:pos="4513"/>
        <w:tab w:val="right" w:pos="9026"/>
      </w:tabs>
    </w:pPr>
  </w:style>
  <w:style w:type="character" w:customStyle="1" w:styleId="HeaderChar">
    <w:name w:val="Header Char"/>
    <w:basedOn w:val="DefaultParagraphFont"/>
    <w:link w:val="Header"/>
    <w:uiPriority w:val="99"/>
    <w:rsid w:val="00CD5D58"/>
    <w:rPr>
      <w:rFonts w:ascii="Arial" w:hAnsi="Arial"/>
      <w:sz w:val="24"/>
    </w:rPr>
  </w:style>
  <w:style w:type="paragraph" w:styleId="Footer">
    <w:name w:val="footer"/>
    <w:basedOn w:val="Normal"/>
    <w:link w:val="FooterChar"/>
    <w:uiPriority w:val="99"/>
    <w:unhideWhenUsed/>
    <w:rsid w:val="00CD5D58"/>
    <w:pPr>
      <w:tabs>
        <w:tab w:val="center" w:pos="4513"/>
        <w:tab w:val="right" w:pos="9026"/>
      </w:tabs>
    </w:pPr>
  </w:style>
  <w:style w:type="character" w:customStyle="1" w:styleId="FooterChar">
    <w:name w:val="Footer Char"/>
    <w:basedOn w:val="DefaultParagraphFont"/>
    <w:link w:val="Footer"/>
    <w:uiPriority w:val="99"/>
    <w:rsid w:val="00CD5D58"/>
    <w:rPr>
      <w:rFonts w:ascii="Arial" w:hAnsi="Arial"/>
      <w:sz w:val="24"/>
    </w:rPr>
  </w:style>
  <w:style w:type="character" w:customStyle="1" w:styleId="NoSpacingChar">
    <w:name w:val="No Spacing Char"/>
    <w:link w:val="NoSpacing"/>
    <w:uiPriority w:val="1"/>
    <w:rsid w:val="00BE4D80"/>
    <w:rPr>
      <w:rFonts w:ascii="Arial" w:hAnsi="Arial"/>
      <w:sz w:val="24"/>
    </w:rPr>
  </w:style>
  <w:style w:type="paragraph" w:styleId="CommentSubject">
    <w:name w:val="annotation subject"/>
    <w:basedOn w:val="CommentText"/>
    <w:next w:val="CommentText"/>
    <w:link w:val="CommentSubjectChar"/>
    <w:uiPriority w:val="99"/>
    <w:semiHidden/>
    <w:unhideWhenUsed/>
    <w:rsid w:val="009C3884"/>
    <w:rPr>
      <w:b/>
      <w:bCs/>
    </w:rPr>
  </w:style>
  <w:style w:type="character" w:customStyle="1" w:styleId="CommentSubjectChar">
    <w:name w:val="Comment Subject Char"/>
    <w:basedOn w:val="CommentTextChar"/>
    <w:link w:val="CommentSubject"/>
    <w:uiPriority w:val="99"/>
    <w:semiHidden/>
    <w:rsid w:val="009C388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219">
      <w:bodyDiv w:val="1"/>
      <w:marLeft w:val="0"/>
      <w:marRight w:val="0"/>
      <w:marTop w:val="0"/>
      <w:marBottom w:val="0"/>
      <w:divBdr>
        <w:top w:val="none" w:sz="0" w:space="0" w:color="auto"/>
        <w:left w:val="none" w:sz="0" w:space="0" w:color="auto"/>
        <w:bottom w:val="none" w:sz="0" w:space="0" w:color="auto"/>
        <w:right w:val="none" w:sz="0" w:space="0" w:color="auto"/>
      </w:divBdr>
    </w:div>
    <w:div w:id="292684940">
      <w:bodyDiv w:val="1"/>
      <w:marLeft w:val="0"/>
      <w:marRight w:val="0"/>
      <w:marTop w:val="0"/>
      <w:marBottom w:val="0"/>
      <w:divBdr>
        <w:top w:val="none" w:sz="0" w:space="0" w:color="auto"/>
        <w:left w:val="none" w:sz="0" w:space="0" w:color="auto"/>
        <w:bottom w:val="none" w:sz="0" w:space="0" w:color="auto"/>
        <w:right w:val="none" w:sz="0" w:space="0" w:color="auto"/>
      </w:divBdr>
    </w:div>
    <w:div w:id="329915271">
      <w:bodyDiv w:val="1"/>
      <w:marLeft w:val="0"/>
      <w:marRight w:val="0"/>
      <w:marTop w:val="0"/>
      <w:marBottom w:val="0"/>
      <w:divBdr>
        <w:top w:val="none" w:sz="0" w:space="0" w:color="auto"/>
        <w:left w:val="none" w:sz="0" w:space="0" w:color="auto"/>
        <w:bottom w:val="none" w:sz="0" w:space="0" w:color="auto"/>
        <w:right w:val="none" w:sz="0" w:space="0" w:color="auto"/>
      </w:divBdr>
    </w:div>
    <w:div w:id="445926947">
      <w:bodyDiv w:val="1"/>
      <w:marLeft w:val="0"/>
      <w:marRight w:val="0"/>
      <w:marTop w:val="0"/>
      <w:marBottom w:val="0"/>
      <w:divBdr>
        <w:top w:val="none" w:sz="0" w:space="0" w:color="auto"/>
        <w:left w:val="none" w:sz="0" w:space="0" w:color="auto"/>
        <w:bottom w:val="none" w:sz="0" w:space="0" w:color="auto"/>
        <w:right w:val="none" w:sz="0" w:space="0" w:color="auto"/>
      </w:divBdr>
    </w:div>
    <w:div w:id="687682739">
      <w:bodyDiv w:val="1"/>
      <w:marLeft w:val="0"/>
      <w:marRight w:val="0"/>
      <w:marTop w:val="0"/>
      <w:marBottom w:val="0"/>
      <w:divBdr>
        <w:top w:val="none" w:sz="0" w:space="0" w:color="auto"/>
        <w:left w:val="none" w:sz="0" w:space="0" w:color="auto"/>
        <w:bottom w:val="none" w:sz="0" w:space="0" w:color="auto"/>
        <w:right w:val="none" w:sz="0" w:space="0" w:color="auto"/>
      </w:divBdr>
    </w:div>
    <w:div w:id="863710782">
      <w:bodyDiv w:val="1"/>
      <w:marLeft w:val="0"/>
      <w:marRight w:val="0"/>
      <w:marTop w:val="0"/>
      <w:marBottom w:val="0"/>
      <w:divBdr>
        <w:top w:val="none" w:sz="0" w:space="0" w:color="auto"/>
        <w:left w:val="none" w:sz="0" w:space="0" w:color="auto"/>
        <w:bottom w:val="none" w:sz="0" w:space="0" w:color="auto"/>
        <w:right w:val="none" w:sz="0" w:space="0" w:color="auto"/>
      </w:divBdr>
    </w:div>
    <w:div w:id="969868235">
      <w:bodyDiv w:val="1"/>
      <w:marLeft w:val="0"/>
      <w:marRight w:val="0"/>
      <w:marTop w:val="0"/>
      <w:marBottom w:val="0"/>
      <w:divBdr>
        <w:top w:val="none" w:sz="0" w:space="0" w:color="auto"/>
        <w:left w:val="none" w:sz="0" w:space="0" w:color="auto"/>
        <w:bottom w:val="none" w:sz="0" w:space="0" w:color="auto"/>
        <w:right w:val="none" w:sz="0" w:space="0" w:color="auto"/>
      </w:divBdr>
    </w:div>
    <w:div w:id="1021397127">
      <w:bodyDiv w:val="1"/>
      <w:marLeft w:val="0"/>
      <w:marRight w:val="0"/>
      <w:marTop w:val="0"/>
      <w:marBottom w:val="0"/>
      <w:divBdr>
        <w:top w:val="none" w:sz="0" w:space="0" w:color="auto"/>
        <w:left w:val="none" w:sz="0" w:space="0" w:color="auto"/>
        <w:bottom w:val="none" w:sz="0" w:space="0" w:color="auto"/>
        <w:right w:val="none" w:sz="0" w:space="0" w:color="auto"/>
      </w:divBdr>
    </w:div>
    <w:div w:id="1247306011">
      <w:bodyDiv w:val="1"/>
      <w:marLeft w:val="0"/>
      <w:marRight w:val="0"/>
      <w:marTop w:val="0"/>
      <w:marBottom w:val="0"/>
      <w:divBdr>
        <w:top w:val="none" w:sz="0" w:space="0" w:color="auto"/>
        <w:left w:val="none" w:sz="0" w:space="0" w:color="auto"/>
        <w:bottom w:val="none" w:sz="0" w:space="0" w:color="auto"/>
        <w:right w:val="none" w:sz="0" w:space="0" w:color="auto"/>
      </w:divBdr>
    </w:div>
    <w:div w:id="1310598632">
      <w:bodyDiv w:val="1"/>
      <w:marLeft w:val="0"/>
      <w:marRight w:val="0"/>
      <w:marTop w:val="0"/>
      <w:marBottom w:val="0"/>
      <w:divBdr>
        <w:top w:val="none" w:sz="0" w:space="0" w:color="auto"/>
        <w:left w:val="none" w:sz="0" w:space="0" w:color="auto"/>
        <w:bottom w:val="none" w:sz="0" w:space="0" w:color="auto"/>
        <w:right w:val="none" w:sz="0" w:space="0" w:color="auto"/>
      </w:divBdr>
    </w:div>
    <w:div w:id="1370571947">
      <w:bodyDiv w:val="1"/>
      <w:marLeft w:val="0"/>
      <w:marRight w:val="0"/>
      <w:marTop w:val="0"/>
      <w:marBottom w:val="0"/>
      <w:divBdr>
        <w:top w:val="none" w:sz="0" w:space="0" w:color="auto"/>
        <w:left w:val="none" w:sz="0" w:space="0" w:color="auto"/>
        <w:bottom w:val="none" w:sz="0" w:space="0" w:color="auto"/>
        <w:right w:val="none" w:sz="0" w:space="0" w:color="auto"/>
      </w:divBdr>
    </w:div>
    <w:div w:id="1662005340">
      <w:bodyDiv w:val="1"/>
      <w:marLeft w:val="0"/>
      <w:marRight w:val="0"/>
      <w:marTop w:val="0"/>
      <w:marBottom w:val="0"/>
      <w:divBdr>
        <w:top w:val="none" w:sz="0" w:space="0" w:color="auto"/>
        <w:left w:val="none" w:sz="0" w:space="0" w:color="auto"/>
        <w:bottom w:val="none" w:sz="0" w:space="0" w:color="auto"/>
        <w:right w:val="none" w:sz="0" w:space="0" w:color="auto"/>
      </w:divBdr>
    </w:div>
    <w:div w:id="1689137493">
      <w:bodyDiv w:val="1"/>
      <w:marLeft w:val="0"/>
      <w:marRight w:val="0"/>
      <w:marTop w:val="0"/>
      <w:marBottom w:val="0"/>
      <w:divBdr>
        <w:top w:val="none" w:sz="0" w:space="0" w:color="auto"/>
        <w:left w:val="none" w:sz="0" w:space="0" w:color="auto"/>
        <w:bottom w:val="none" w:sz="0" w:space="0" w:color="auto"/>
        <w:right w:val="none" w:sz="0" w:space="0" w:color="auto"/>
      </w:divBdr>
    </w:div>
    <w:div w:id="1740517613">
      <w:bodyDiv w:val="1"/>
      <w:marLeft w:val="0"/>
      <w:marRight w:val="0"/>
      <w:marTop w:val="0"/>
      <w:marBottom w:val="0"/>
      <w:divBdr>
        <w:top w:val="none" w:sz="0" w:space="0" w:color="auto"/>
        <w:left w:val="none" w:sz="0" w:space="0" w:color="auto"/>
        <w:bottom w:val="none" w:sz="0" w:space="0" w:color="auto"/>
        <w:right w:val="none" w:sz="0" w:space="0" w:color="auto"/>
      </w:divBdr>
    </w:div>
    <w:div w:id="1803115001">
      <w:bodyDiv w:val="1"/>
      <w:marLeft w:val="0"/>
      <w:marRight w:val="0"/>
      <w:marTop w:val="0"/>
      <w:marBottom w:val="0"/>
      <w:divBdr>
        <w:top w:val="none" w:sz="0" w:space="0" w:color="auto"/>
        <w:left w:val="none" w:sz="0" w:space="0" w:color="auto"/>
        <w:bottom w:val="none" w:sz="0" w:space="0" w:color="auto"/>
        <w:right w:val="none" w:sz="0" w:space="0" w:color="auto"/>
      </w:divBdr>
    </w:div>
    <w:div w:id="1998922143">
      <w:bodyDiv w:val="1"/>
      <w:marLeft w:val="0"/>
      <w:marRight w:val="0"/>
      <w:marTop w:val="0"/>
      <w:marBottom w:val="0"/>
      <w:divBdr>
        <w:top w:val="none" w:sz="0" w:space="0" w:color="auto"/>
        <w:left w:val="none" w:sz="0" w:space="0" w:color="auto"/>
        <w:bottom w:val="none" w:sz="0" w:space="0" w:color="auto"/>
        <w:right w:val="none" w:sz="0" w:space="0" w:color="auto"/>
      </w:divBdr>
    </w:div>
    <w:div w:id="2023122932">
      <w:bodyDiv w:val="1"/>
      <w:marLeft w:val="0"/>
      <w:marRight w:val="0"/>
      <w:marTop w:val="0"/>
      <w:marBottom w:val="0"/>
      <w:divBdr>
        <w:top w:val="none" w:sz="0" w:space="0" w:color="auto"/>
        <w:left w:val="none" w:sz="0" w:space="0" w:color="auto"/>
        <w:bottom w:val="none" w:sz="0" w:space="0" w:color="auto"/>
        <w:right w:val="none" w:sz="0" w:space="0" w:color="auto"/>
      </w:divBdr>
    </w:div>
    <w:div w:id="2104839486">
      <w:bodyDiv w:val="1"/>
      <w:marLeft w:val="0"/>
      <w:marRight w:val="0"/>
      <w:marTop w:val="0"/>
      <w:marBottom w:val="0"/>
      <w:divBdr>
        <w:top w:val="none" w:sz="0" w:space="0" w:color="auto"/>
        <w:left w:val="none" w:sz="0" w:space="0" w:color="auto"/>
        <w:bottom w:val="none" w:sz="0" w:space="0" w:color="auto"/>
        <w:right w:val="none" w:sz="0" w:space="0" w:color="auto"/>
      </w:divBdr>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AF9DC-5CD5-45F5-931D-45C86C7E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1303</Words>
  <Characters>6729</Characters>
  <Application>Microsoft Office Word</Application>
  <DocSecurity>0</DocSecurity>
  <Lines>420</Lines>
  <Paragraphs>276</Paragraphs>
  <ScaleCrop>false</ScaleCrop>
  <HeadingPairs>
    <vt:vector size="2" baseType="variant">
      <vt:variant>
        <vt:lpstr>Title</vt:lpstr>
      </vt:variant>
      <vt:variant>
        <vt:i4>1</vt:i4>
      </vt:variant>
    </vt:vector>
  </HeadingPairs>
  <TitlesOfParts>
    <vt:vector size="1" baseType="lpstr">
      <vt:lpstr/>
    </vt:vector>
  </TitlesOfParts>
  <Company>Gedling Borough Council</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McDonald</dc:creator>
  <cp:keywords/>
  <dc:description/>
  <cp:lastModifiedBy>Paul Tansey</cp:lastModifiedBy>
  <cp:revision>24</cp:revision>
  <cp:lastPrinted>2020-02-25T15:26:00Z</cp:lastPrinted>
  <dcterms:created xsi:type="dcterms:W3CDTF">2021-07-28T18:05:00Z</dcterms:created>
  <dcterms:modified xsi:type="dcterms:W3CDTF">2025-12-03T11:23:00Z</dcterms:modified>
</cp:coreProperties>
</file>