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
        <w:tblW w:w="15501" w:type="dxa"/>
        <w:tblLook w:val="04A0" w:firstRow="1" w:lastRow="0" w:firstColumn="1" w:lastColumn="0" w:noHBand="0" w:noVBand="1"/>
      </w:tblPr>
      <w:tblGrid>
        <w:gridCol w:w="6744"/>
        <w:gridCol w:w="8757"/>
      </w:tblGrid>
      <w:tr w:rsidR="005E004E" w14:paraId="608767FE" w14:textId="77777777" w:rsidTr="005E004E">
        <w:trPr>
          <w:trHeight w:val="7645"/>
        </w:trPr>
        <w:tc>
          <w:tcPr>
            <w:tcW w:w="6744" w:type="dxa"/>
            <w:shd w:val="clear" w:color="auto" w:fill="FFD966" w:themeFill="accent4" w:themeFillTint="99"/>
          </w:tcPr>
          <w:p w14:paraId="00DB1279" w14:textId="77777777" w:rsidR="00A70E64" w:rsidRDefault="005E65FD">
            <w:r>
              <w:t>Circumstances</w:t>
            </w:r>
            <w:r>
              <w:br/>
              <w:t>Baby A was 11 weeks old and subject to a child protection plan for emotional abuse. Following a home visit, a marked increase in his head circumference prompted an urgent GP appointment and same day hospital assessment. Although child protection information was available in hospital records, the assessing team did not see it or check the Child Protection Information System. Baby A was discharged home to await an MRI scan without discussion with children’s social care or the hospital safeguarding team. The scan, four days later, showed bleeding around the brain, considered most likely to have been caused by abusive head trauma. The review considered how the family’s circumstances, the response to the clinical finding and gaps in information sharing affected the assessment of risk.</w:t>
            </w:r>
          </w:p>
        </w:tc>
        <w:tc>
          <w:tcPr>
            <w:tcW w:w="8757" w:type="dxa"/>
            <w:vMerge w:val="restart"/>
            <w:shd w:val="clear" w:color="auto" w:fill="FFE599" w:themeFill="accent4" w:themeFillTint="66"/>
          </w:tcPr>
          <w:p w14:paraId="6F60681F" w14:textId="77777777" w:rsidR="00A70E64" w:rsidRDefault="005E65FD">
            <w:r>
              <w:t>Partnership learning</w:t>
            </w:r>
            <w:r>
              <w:br/>
              <w:t>• Consider the whole picture. A rapidly increasing head circumference can be a sign of intracranial injury, including abusive head trauma, even when an infant appears clinically well. Consider clinical findings alongside family history and current safeguarding concerns.</w:t>
            </w:r>
            <w:r>
              <w:br/>
              <w:t>• Check and share safeguarding information. Relevant records, child protection status and information from other professionals must inform clinical assessment, decisions about discharge and safety planning.</w:t>
            </w:r>
            <w:r>
              <w:br/>
              <w:t>• Maintain professional curiosity. Seek an explanation for an unexpected clinical change, follow up uncertainty and challenge delays or plans that do not adequately address risk.</w:t>
            </w:r>
            <w:r>
              <w:br/>
              <w:t>• Assess parental needs in relation to the child’s safety. Explore how trauma, mental health needs, domestic abuse and difficulty engaging with support may affect parenting, without making assumptions about individual parents.</w:t>
            </w:r>
            <w:r>
              <w:br/>
              <w:t>• Make support and planning joined up. Include both parents and wider family networks where appropriate, clarify professional roles and respond promptly when contact or appointments are missed.</w:t>
            </w:r>
            <w:r>
              <w:br/>
            </w:r>
            <w:r>
              <w:br/>
              <w:t>Key messages for practitioners</w:t>
            </w:r>
            <w:r>
              <w:br/>
              <w:t>When an infant has an unexpected increase in head circumference, ensure prompt medical assessment and share relevant safeguarding concerns. Check that the receiving service has the full picture, agree how the child will be kept safe while investigations are pending, and escalate concerns if the response does not address the identified risk.</w:t>
            </w:r>
            <w:r>
              <w:br/>
            </w:r>
            <w:r>
              <w:br/>
              <w:t>Next steps for the Partnership</w:t>
            </w:r>
            <w:r>
              <w:br/>
              <w:t>• Review strategy discussions to improve timeliness, clarity of roles and multiagency decisions.</w:t>
            </w:r>
            <w:r>
              <w:br/>
              <w:t>• Strengthen assessment of parental needs and the support offered to care leavers who are parents, including transitions into adult services.</w:t>
            </w:r>
            <w:r>
              <w:br/>
              <w:t>• Increase awareness of increasing head circumference as a possible sign of abusive head trauma in the context of other findings.</w:t>
            </w:r>
            <w:r>
              <w:br/>
              <w:t>• Improve communication between linked professionals and the use of Family Network Meetings in assessment and planning.</w:t>
            </w:r>
            <w:r>
              <w:br/>
              <w:t>• Disseminate the learning across agencies and embed it in training, supervision and practice review.</w:t>
            </w:r>
          </w:p>
        </w:tc>
      </w:tr>
      <w:tr w:rsidR="005E004E" w14:paraId="39052B49" w14:textId="77777777" w:rsidTr="005E004E">
        <w:trPr>
          <w:trHeight w:val="1415"/>
        </w:trPr>
        <w:tc>
          <w:tcPr>
            <w:tcW w:w="6744" w:type="dxa"/>
            <w:shd w:val="clear" w:color="auto" w:fill="FFEAAF"/>
          </w:tcPr>
          <w:p w14:paraId="45AD74E2" w14:textId="77777777" w:rsidR="00A70E64" w:rsidRDefault="005E65FD">
            <w:r>
              <w:t>Links to national and local guidance</w:t>
            </w:r>
            <w:r>
              <w:br/>
              <w:t>Refer to current local safeguarding procedures on recognition of physical abuse, information sharing and strategy discussions.</w:t>
            </w:r>
          </w:p>
        </w:tc>
        <w:tc>
          <w:tcPr>
            <w:tcW w:w="8757" w:type="dxa"/>
            <w:vMerge/>
            <w:shd w:val="clear" w:color="auto" w:fill="FFE599" w:themeFill="accent4" w:themeFillTint="66"/>
          </w:tcPr>
          <w:p w14:paraId="2A69D460" w14:textId="77777777" w:rsidR="005E004E" w:rsidRDefault="005E004E" w:rsidP="005E004E">
            <w:pPr>
              <w:rPr>
                <w:b/>
                <w:bCs/>
                <w:sz w:val="24"/>
                <w:szCs w:val="24"/>
              </w:rPr>
            </w:pPr>
          </w:p>
        </w:tc>
      </w:tr>
    </w:tbl>
    <w:p w14:paraId="165A6324" w14:textId="77777777" w:rsidR="0060666A" w:rsidRDefault="0060666A" w:rsidP="005E004E">
      <w:pPr>
        <w:rPr>
          <w:b/>
          <w:bCs/>
          <w:sz w:val="24"/>
          <w:szCs w:val="24"/>
        </w:rPr>
      </w:pPr>
    </w:p>
    <w:tbl>
      <w:tblPr>
        <w:tblStyle w:val="TableGrid"/>
        <w:tblW w:w="0" w:type="auto"/>
        <w:tblLook w:val="04A0" w:firstRow="1" w:lastRow="0" w:firstColumn="1" w:lastColumn="0" w:noHBand="0" w:noVBand="1"/>
      </w:tblPr>
      <w:tblGrid>
        <w:gridCol w:w="13753"/>
      </w:tblGrid>
      <w:tr w:rsidR="0060666A" w14:paraId="4969DD2F" w14:textId="77777777" w:rsidTr="00881556">
        <w:trPr>
          <w:trHeight w:val="5671"/>
        </w:trPr>
        <w:tc>
          <w:tcPr>
            <w:tcW w:w="13753" w:type="dxa"/>
            <w:shd w:val="clear" w:color="auto" w:fill="FFFFCC"/>
          </w:tcPr>
          <w:p w14:paraId="249A2AD4" w14:textId="77777777" w:rsidR="00A70E64" w:rsidRDefault="005E65FD">
            <w:r>
              <w:lastRenderedPageBreak/>
              <w:t>Agency specific learning</w:t>
            </w:r>
            <w:r>
              <w:br/>
              <w:t>Children’s social care: Allocate a qualified social worker for complex pre-birth assessments; maintain clear management oversight and timely records; engage both parents and explore the wider family network.</w:t>
            </w:r>
            <w:r>
              <w:br/>
              <w:t>Health services: Review processes for checking child protection information, sharing concerns at referral and discharge, and responding to repeated missed or postponed appointments. Update relevant guidance on increasing head circumference.</w:t>
            </w:r>
            <w:r>
              <w:br/>
              <w:t>All agencies: Ensure information about parental needs, engagement and emerging concerns is brought together when assessing risk to a child.</w:t>
            </w:r>
          </w:p>
        </w:tc>
      </w:tr>
    </w:tbl>
    <w:p w14:paraId="7D572990" w14:textId="77777777" w:rsidR="0060666A" w:rsidRPr="0060666A" w:rsidRDefault="0060666A" w:rsidP="0060666A">
      <w:pPr>
        <w:rPr>
          <w:b/>
          <w:bCs/>
          <w:sz w:val="24"/>
          <w:szCs w:val="24"/>
        </w:rPr>
      </w:pPr>
    </w:p>
    <w:sectPr w:rsidR="0060666A" w:rsidRPr="0060666A" w:rsidSect="005E004E">
      <w:headerReference w:type="default" r:id="rId6"/>
      <w:pgSz w:w="16838" w:h="11906" w:orient="landscape"/>
      <w:pgMar w:top="720" w:right="720" w:bottom="720" w:left="720"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27C77" w14:textId="77777777" w:rsidR="007B5C06" w:rsidRDefault="007B5C06" w:rsidP="0060666A">
      <w:pPr>
        <w:spacing w:after="0" w:line="240" w:lineRule="auto"/>
      </w:pPr>
      <w:r>
        <w:separator/>
      </w:r>
    </w:p>
  </w:endnote>
  <w:endnote w:type="continuationSeparator" w:id="0">
    <w:p w14:paraId="6B61CB35" w14:textId="77777777" w:rsidR="007B5C06" w:rsidRDefault="007B5C06" w:rsidP="0060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02B30" w14:textId="77777777" w:rsidR="007B5C06" w:rsidRDefault="007B5C06" w:rsidP="0060666A">
      <w:pPr>
        <w:spacing w:after="0" w:line="240" w:lineRule="auto"/>
      </w:pPr>
      <w:r>
        <w:separator/>
      </w:r>
    </w:p>
  </w:footnote>
  <w:footnote w:type="continuationSeparator" w:id="0">
    <w:p w14:paraId="6F5FD3F8" w14:textId="77777777" w:rsidR="007B5C06" w:rsidRDefault="007B5C06" w:rsidP="00606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D6AB" w14:textId="77777777" w:rsidR="005E004E" w:rsidRDefault="005E004E" w:rsidP="0060666A">
    <w:pPr>
      <w:pStyle w:val="Header"/>
      <w:jc w:val="both"/>
      <w:rPr>
        <w:noProof/>
      </w:rPr>
    </w:pPr>
  </w:p>
  <w:p w14:paraId="525361C5" w14:textId="77777777" w:rsidR="005E004E" w:rsidRDefault="005E004E" w:rsidP="0060666A">
    <w:pPr>
      <w:pStyle w:val="Header"/>
      <w:jc w:val="both"/>
      <w:rPr>
        <w:b/>
        <w:bCs/>
        <w:sz w:val="36"/>
        <w:szCs w:val="36"/>
      </w:rPr>
    </w:pPr>
    <w:r>
      <w:rPr>
        <w:noProof/>
      </w:rPr>
      <w:drawing>
        <wp:inline distT="0" distB="0" distL="0" distR="0" wp14:anchorId="721540EB" wp14:editId="48D061A0">
          <wp:extent cx="501650" cy="592779"/>
          <wp:effectExtent l="0" t="0" r="0" b="0"/>
          <wp:docPr id="366442129" name="Picture 366442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42129" name="Picture 366442129">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691" cy="596372"/>
                  </a:xfrm>
                  <a:prstGeom prst="rect">
                    <a:avLst/>
                  </a:prstGeom>
                </pic:spPr>
              </pic:pic>
            </a:graphicData>
          </a:graphic>
        </wp:inline>
      </w:drawing>
    </w:r>
    <w:r>
      <w:tab/>
      <w:t xml:space="preserve">                                                                                                  </w:t>
    </w:r>
    <w:r w:rsidRPr="005E004E">
      <w:rPr>
        <w:b/>
        <w:bCs/>
        <w:sz w:val="36"/>
        <w:szCs w:val="36"/>
      </w:rPr>
      <w:t>NCSCP Learning Briefing</w:t>
    </w:r>
  </w:p>
  <w:p w14:paraId="63DAA1F3" w14:textId="77777777" w:rsidR="0060666A" w:rsidRDefault="005E004E" w:rsidP="0060666A">
    <w:pPr>
      <w:pStyle w:val="Header"/>
      <w:jc w:val="both"/>
    </w:pPr>
    <w:r w:rsidRPr="005E004E">
      <w:rPr>
        <w:b/>
        <w:bCs/>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6A"/>
    <w:rsid w:val="000B488B"/>
    <w:rsid w:val="002035B9"/>
    <w:rsid w:val="00371C7D"/>
    <w:rsid w:val="0039115B"/>
    <w:rsid w:val="00462AF5"/>
    <w:rsid w:val="005223B5"/>
    <w:rsid w:val="005E004E"/>
    <w:rsid w:val="005E65FD"/>
    <w:rsid w:val="0060666A"/>
    <w:rsid w:val="006503BF"/>
    <w:rsid w:val="007B5C06"/>
    <w:rsid w:val="007B7B3B"/>
    <w:rsid w:val="007C47C9"/>
    <w:rsid w:val="008476BE"/>
    <w:rsid w:val="00881556"/>
    <w:rsid w:val="00894CF5"/>
    <w:rsid w:val="008F7414"/>
    <w:rsid w:val="00941E98"/>
    <w:rsid w:val="00983CAD"/>
    <w:rsid w:val="009954FD"/>
    <w:rsid w:val="009E6870"/>
    <w:rsid w:val="00A22008"/>
    <w:rsid w:val="00A70E64"/>
    <w:rsid w:val="00BB7F16"/>
    <w:rsid w:val="00CE7025"/>
    <w:rsid w:val="00D07687"/>
    <w:rsid w:val="00D807E9"/>
    <w:rsid w:val="00E330F1"/>
    <w:rsid w:val="00F0768E"/>
    <w:rsid w:val="00FA50D7"/>
    <w:rsid w:val="00FA74E2"/>
    <w:rsid w:val="00FF5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859D5"/>
  <w15:chartTrackingRefBased/>
  <w15:docId w15:val="{6804412B-5CB4-4554-BD74-3097F76F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6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66A"/>
  </w:style>
  <w:style w:type="paragraph" w:styleId="Footer">
    <w:name w:val="footer"/>
    <w:basedOn w:val="Normal"/>
    <w:link w:val="FooterChar"/>
    <w:uiPriority w:val="99"/>
    <w:unhideWhenUsed/>
    <w:rsid w:val="00606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66A"/>
  </w:style>
  <w:style w:type="paragraph" w:styleId="Revision">
    <w:name w:val="Revision"/>
    <w:hidden/>
    <w:uiPriority w:val="99"/>
    <w:semiHidden/>
    <w:rsid w:val="002035B9"/>
    <w:pPr>
      <w:spacing w:after="0" w:line="240" w:lineRule="auto"/>
    </w:pPr>
  </w:style>
  <w:style w:type="character" w:styleId="Hyperlink">
    <w:name w:val="Hyperlink"/>
    <w:basedOn w:val="DefaultParagraphFont"/>
    <w:uiPriority w:val="99"/>
    <w:unhideWhenUsed/>
    <w:rsid w:val="009954FD"/>
    <w:rPr>
      <w:color w:val="0563C1" w:themeColor="hyperlink"/>
      <w:u w:val="single"/>
    </w:rPr>
  </w:style>
  <w:style w:type="character" w:styleId="UnresolvedMention">
    <w:name w:val="Unresolved Mention"/>
    <w:basedOn w:val="DefaultParagraphFont"/>
    <w:uiPriority w:val="99"/>
    <w:semiHidden/>
    <w:unhideWhenUsed/>
    <w:rsid w:val="00995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NCSP Learning Briefing 1</dc:title>
  <dc:subject/>
  <dc:creator>Sarah Beet</dc:creator>
  <cp:keywords/>
  <dc:description/>
  <cp:lastModifiedBy>Lewis Tracy-Winson</cp:lastModifiedBy>
  <cp:revision>3</cp:revision>
  <dcterms:created xsi:type="dcterms:W3CDTF">2026-09-23T13:26:00Z</dcterms:created>
  <dcterms:modified xsi:type="dcterms:W3CDTF">2026-09-24T12:27:00Z</dcterms:modified>
</cp:coreProperties>
</file>