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B16AC" w14:textId="77777777" w:rsidR="00630B4D" w:rsidRPr="00630B4D" w:rsidRDefault="00630B4D" w:rsidP="00630B4D">
      <w:pPr>
        <w:spacing w:after="0" w:line="240" w:lineRule="auto"/>
        <w:jc w:val="right"/>
        <w:rPr>
          <w:rFonts w:ascii="Arial" w:eastAsia="Times New Roman" w:hAnsi="Arial" w:cs="Arial"/>
          <w:color w:val="323E4F"/>
          <w:spacing w:val="5"/>
          <w:kern w:val="28"/>
          <w:sz w:val="24"/>
          <w:szCs w:val="24"/>
          <w:lang w:eastAsia="en-GB"/>
        </w:rPr>
      </w:pPr>
      <w:r w:rsidRPr="00630B4D">
        <w:rPr>
          <w:rFonts w:ascii="Arial" w:eastAsia="Times New Roman" w:hAnsi="Arial" w:cs="Arial"/>
          <w:color w:val="323E4F"/>
          <w:spacing w:val="5"/>
          <w:kern w:val="28"/>
          <w:sz w:val="24"/>
          <w:szCs w:val="24"/>
          <w:lang w:eastAsia="en-GB"/>
        </w:rPr>
        <w:t>Appendix 1</w:t>
      </w:r>
    </w:p>
    <w:p w14:paraId="51C195DB" w14:textId="77777777" w:rsidR="0050028C" w:rsidRDefault="0050028C" w:rsidP="00630B4D">
      <w:pPr>
        <w:pBdr>
          <w:bottom w:val="single" w:sz="8" w:space="4" w:color="4F81BD"/>
        </w:pBdr>
        <w:spacing w:after="300" w:line="240" w:lineRule="auto"/>
        <w:contextualSpacing/>
        <w:rPr>
          <w:rFonts w:ascii="Cambria" w:eastAsia="Times New Roman" w:hAnsi="Cambria" w:cs="Times New Roman"/>
          <w:color w:val="17365D"/>
          <w:spacing w:val="5"/>
          <w:kern w:val="28"/>
          <w:sz w:val="40"/>
          <w:szCs w:val="40"/>
        </w:rPr>
      </w:pPr>
    </w:p>
    <w:p w14:paraId="0A9ED671" w14:textId="77777777" w:rsidR="00630B4D" w:rsidRPr="00F14DDA" w:rsidRDefault="00AF05F1" w:rsidP="00630B4D">
      <w:pPr>
        <w:pBdr>
          <w:bottom w:val="single" w:sz="8" w:space="4" w:color="4F81BD"/>
        </w:pBdr>
        <w:spacing w:after="300" w:line="240" w:lineRule="auto"/>
        <w:contextualSpacing/>
        <w:rPr>
          <w:rFonts w:ascii="Cambria" w:eastAsia="Times New Roman" w:hAnsi="Cambria" w:cs="Times New Roman"/>
          <w:color w:val="17365D"/>
          <w:spacing w:val="5"/>
          <w:kern w:val="28"/>
          <w:sz w:val="40"/>
          <w:szCs w:val="40"/>
        </w:rPr>
      </w:pPr>
      <w:r>
        <w:rPr>
          <w:rFonts w:ascii="Cambria" w:eastAsia="Times New Roman" w:hAnsi="Cambria" w:cs="Times New Roman"/>
          <w:color w:val="17365D"/>
          <w:spacing w:val="5"/>
          <w:kern w:val="28"/>
          <w:sz w:val="40"/>
          <w:szCs w:val="40"/>
        </w:rPr>
        <w:t xml:space="preserve">Draft </w:t>
      </w:r>
      <w:r w:rsidR="00630B4D" w:rsidRPr="00F14DDA">
        <w:rPr>
          <w:rFonts w:ascii="Cambria" w:eastAsia="Times New Roman" w:hAnsi="Cambria" w:cs="Times New Roman"/>
          <w:color w:val="17365D"/>
          <w:spacing w:val="5"/>
          <w:kern w:val="28"/>
          <w:sz w:val="40"/>
          <w:szCs w:val="40"/>
        </w:rPr>
        <w:t xml:space="preserve">Annual Governance Statement </w:t>
      </w:r>
      <w:r w:rsidR="00F46F49">
        <w:rPr>
          <w:rFonts w:ascii="Cambria" w:eastAsia="Times New Roman" w:hAnsi="Cambria" w:cs="Times New Roman"/>
          <w:color w:val="17365D"/>
          <w:spacing w:val="5"/>
          <w:kern w:val="28"/>
          <w:sz w:val="40"/>
          <w:szCs w:val="40"/>
        </w:rPr>
        <w:t>2019/20</w:t>
      </w:r>
    </w:p>
    <w:p w14:paraId="0A956567" w14:textId="77777777" w:rsidR="00630B4D" w:rsidRPr="0050028C" w:rsidRDefault="007C67B8" w:rsidP="0050028C">
      <w:pPr>
        <w:keepNext/>
        <w:keepLines/>
        <w:numPr>
          <w:ilvl w:val="0"/>
          <w:numId w:val="1"/>
        </w:numPr>
        <w:spacing w:before="480" w:after="0" w:line="240" w:lineRule="auto"/>
        <w:ind w:left="567" w:hanging="567"/>
        <w:outlineLvl w:val="0"/>
        <w:rPr>
          <w:rFonts w:ascii="Cambria" w:eastAsia="Times New Roman" w:hAnsi="Cambria" w:cs="Times New Roman"/>
          <w:b/>
          <w:bCs/>
          <w:color w:val="365F91"/>
          <w:sz w:val="28"/>
          <w:szCs w:val="28"/>
        </w:rPr>
      </w:pPr>
      <w:r w:rsidRPr="0050028C">
        <w:rPr>
          <w:rFonts w:ascii="Cambria" w:eastAsia="Times New Roman" w:hAnsi="Cambria" w:cs="Times New Roman"/>
          <w:b/>
          <w:bCs/>
          <w:color w:val="365F91"/>
          <w:sz w:val="28"/>
          <w:szCs w:val="28"/>
        </w:rPr>
        <w:t>Executive Summary</w:t>
      </w:r>
    </w:p>
    <w:p w14:paraId="205FC450" w14:textId="77777777" w:rsidR="00291FA2" w:rsidRPr="00234B04" w:rsidRDefault="007C67B8" w:rsidP="00291FA2">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Pr>
          <w:rFonts w:ascii="Arial" w:eastAsia="Times New Roman" w:hAnsi="Arial" w:cs="Arial"/>
          <w:sz w:val="24"/>
          <w:szCs w:val="24"/>
          <w:lang w:eastAsia="en-GB"/>
        </w:rPr>
        <w:t>Producing an Annual Governance Statement (AGS) complies with good practice for the reasons set out below. An AGS is required as part of the annual Statement of Accounts.</w:t>
      </w:r>
      <w:r w:rsidR="00291FA2" w:rsidRPr="00291FA2">
        <w:rPr>
          <w:rFonts w:ascii="Arial" w:eastAsia="Times New Roman" w:hAnsi="Arial" w:cs="Arial"/>
          <w:sz w:val="24"/>
          <w:szCs w:val="24"/>
          <w:lang w:eastAsia="en-GB"/>
        </w:rPr>
        <w:t xml:space="preserve"> </w:t>
      </w:r>
      <w:r w:rsidR="00291FA2" w:rsidRPr="00234B04">
        <w:rPr>
          <w:rFonts w:ascii="Arial" w:eastAsia="Times New Roman" w:hAnsi="Arial" w:cs="Arial"/>
          <w:sz w:val="24"/>
          <w:szCs w:val="24"/>
          <w:lang w:eastAsia="en-GB"/>
        </w:rPr>
        <w:t xml:space="preserve">The first </w:t>
      </w:r>
      <w:r w:rsidR="00291FA2">
        <w:rPr>
          <w:rFonts w:ascii="Arial" w:eastAsia="Times New Roman" w:hAnsi="Arial" w:cs="Arial"/>
          <w:sz w:val="24"/>
          <w:szCs w:val="24"/>
          <w:lang w:eastAsia="en-GB"/>
        </w:rPr>
        <w:t>part</w:t>
      </w:r>
      <w:r w:rsidR="00291FA2" w:rsidRPr="00234B04">
        <w:rPr>
          <w:rFonts w:ascii="Arial" w:eastAsia="Times New Roman" w:hAnsi="Arial" w:cs="Arial"/>
          <w:sz w:val="24"/>
          <w:szCs w:val="24"/>
          <w:lang w:eastAsia="en-GB"/>
        </w:rPr>
        <w:t xml:space="preserve"> of the report</w:t>
      </w:r>
      <w:r w:rsidR="00291FA2">
        <w:rPr>
          <w:rFonts w:ascii="Arial" w:eastAsia="Times New Roman" w:hAnsi="Arial" w:cs="Arial"/>
          <w:sz w:val="24"/>
          <w:szCs w:val="24"/>
          <w:lang w:eastAsia="en-GB"/>
        </w:rPr>
        <w:t>,</w:t>
      </w:r>
      <w:r w:rsidR="00291FA2" w:rsidRPr="00234B04">
        <w:rPr>
          <w:rFonts w:ascii="Arial" w:eastAsia="Times New Roman" w:hAnsi="Arial" w:cs="Arial"/>
          <w:sz w:val="24"/>
          <w:szCs w:val="24"/>
          <w:lang w:eastAsia="en-GB"/>
        </w:rPr>
        <w:t xml:space="preserve"> </w:t>
      </w:r>
      <w:r w:rsidR="00291FA2" w:rsidRPr="00962A3C">
        <w:rPr>
          <w:rFonts w:ascii="Arial" w:eastAsia="Times New Roman" w:hAnsi="Arial" w:cs="Arial"/>
          <w:sz w:val="24"/>
          <w:szCs w:val="24"/>
          <w:lang w:eastAsia="en-GB"/>
        </w:rPr>
        <w:t xml:space="preserve">sections </w:t>
      </w:r>
      <w:r w:rsidR="00F7243E">
        <w:rPr>
          <w:rFonts w:ascii="Arial" w:eastAsia="Times New Roman" w:hAnsi="Arial" w:cs="Arial"/>
          <w:sz w:val="24"/>
          <w:szCs w:val="24"/>
          <w:lang w:eastAsia="en-GB"/>
        </w:rPr>
        <w:t>2</w:t>
      </w:r>
      <w:r w:rsidR="00291FA2" w:rsidRPr="00962A3C">
        <w:rPr>
          <w:rFonts w:ascii="Arial" w:eastAsia="Times New Roman" w:hAnsi="Arial" w:cs="Arial"/>
          <w:sz w:val="24"/>
          <w:szCs w:val="24"/>
          <w:lang w:eastAsia="en-GB"/>
        </w:rPr>
        <w:t>-</w:t>
      </w:r>
      <w:r w:rsidR="00291FA2">
        <w:rPr>
          <w:rFonts w:ascii="Arial" w:eastAsia="Times New Roman" w:hAnsi="Arial" w:cs="Arial"/>
          <w:sz w:val="24"/>
          <w:szCs w:val="24"/>
          <w:lang w:eastAsia="en-GB"/>
        </w:rPr>
        <w:t>5</w:t>
      </w:r>
      <w:r w:rsidR="00F7243E">
        <w:rPr>
          <w:rFonts w:ascii="Arial" w:eastAsia="Times New Roman" w:hAnsi="Arial" w:cs="Arial"/>
          <w:sz w:val="24"/>
          <w:szCs w:val="24"/>
          <w:lang w:eastAsia="en-GB"/>
        </w:rPr>
        <w:t>,</w:t>
      </w:r>
      <w:r w:rsidR="00291FA2">
        <w:rPr>
          <w:rFonts w:ascii="Arial" w:eastAsia="Times New Roman" w:hAnsi="Arial" w:cs="Arial"/>
          <w:sz w:val="24"/>
          <w:szCs w:val="24"/>
          <w:lang w:eastAsia="en-GB"/>
        </w:rPr>
        <w:t xml:space="preserve"> brings together the main findings and actions.</w:t>
      </w:r>
      <w:r w:rsidR="00291FA2" w:rsidRPr="00962A3C">
        <w:rPr>
          <w:rFonts w:ascii="Arial" w:eastAsia="Times New Roman" w:hAnsi="Arial" w:cs="Arial"/>
          <w:sz w:val="24"/>
          <w:szCs w:val="24"/>
          <w:lang w:eastAsia="en-GB"/>
        </w:rPr>
        <w:t xml:space="preserve"> </w:t>
      </w:r>
      <w:r w:rsidR="00291FA2">
        <w:rPr>
          <w:rFonts w:ascii="Arial" w:eastAsia="Times New Roman" w:hAnsi="Arial" w:cs="Arial"/>
          <w:sz w:val="24"/>
          <w:szCs w:val="24"/>
          <w:lang w:eastAsia="en-GB"/>
        </w:rPr>
        <w:t>S</w:t>
      </w:r>
      <w:r w:rsidR="00291FA2" w:rsidRPr="00962A3C">
        <w:rPr>
          <w:rFonts w:ascii="Arial" w:eastAsia="Times New Roman" w:hAnsi="Arial" w:cs="Arial"/>
          <w:sz w:val="24"/>
          <w:szCs w:val="24"/>
          <w:lang w:eastAsia="en-GB"/>
        </w:rPr>
        <w:t xml:space="preserve">ections </w:t>
      </w:r>
      <w:r w:rsidR="00291FA2">
        <w:rPr>
          <w:rFonts w:ascii="Arial" w:eastAsia="Times New Roman" w:hAnsi="Arial" w:cs="Arial"/>
          <w:sz w:val="24"/>
          <w:szCs w:val="24"/>
          <w:lang w:eastAsia="en-GB"/>
        </w:rPr>
        <w:t xml:space="preserve">6-8 explain NCC’s responsibilities, the purpose of good governance and the review process. Section </w:t>
      </w:r>
      <w:r w:rsidR="009F6551">
        <w:rPr>
          <w:rFonts w:ascii="Arial" w:eastAsia="Times New Roman" w:hAnsi="Arial" w:cs="Arial"/>
          <w:sz w:val="24"/>
          <w:szCs w:val="24"/>
          <w:lang w:eastAsia="en-GB"/>
        </w:rPr>
        <w:t>9</w:t>
      </w:r>
      <w:r w:rsidR="00291FA2">
        <w:rPr>
          <w:rFonts w:ascii="Arial" w:eastAsia="Times New Roman" w:hAnsi="Arial" w:cs="Arial"/>
          <w:sz w:val="24"/>
          <w:szCs w:val="24"/>
          <w:lang w:eastAsia="en-GB"/>
        </w:rPr>
        <w:t xml:space="preserve"> is the conclusion.</w:t>
      </w:r>
    </w:p>
    <w:p w14:paraId="14FAE4C4" w14:textId="77777777" w:rsidR="007C67B8" w:rsidRDefault="00D1637B" w:rsidP="0038335F">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This draft </w:t>
      </w:r>
      <w:r w:rsidR="007C67B8">
        <w:rPr>
          <w:rFonts w:ascii="Arial" w:eastAsia="Times New Roman" w:hAnsi="Arial" w:cs="Arial"/>
          <w:sz w:val="24"/>
          <w:szCs w:val="24"/>
          <w:lang w:eastAsia="en-GB"/>
        </w:rPr>
        <w:t xml:space="preserve">AGS is being </w:t>
      </w:r>
      <w:r>
        <w:rPr>
          <w:rFonts w:ascii="Arial" w:eastAsia="Times New Roman" w:hAnsi="Arial" w:cs="Arial"/>
          <w:sz w:val="24"/>
          <w:szCs w:val="24"/>
          <w:lang w:eastAsia="en-GB"/>
        </w:rPr>
        <w:t>presented as part of the draft</w:t>
      </w:r>
      <w:r w:rsidR="007C67B8">
        <w:rPr>
          <w:rFonts w:ascii="Arial" w:eastAsia="Times New Roman" w:hAnsi="Arial" w:cs="Arial"/>
          <w:sz w:val="24"/>
          <w:szCs w:val="24"/>
          <w:lang w:eastAsia="en-GB"/>
        </w:rPr>
        <w:t xml:space="preserve"> </w:t>
      </w:r>
      <w:r w:rsidR="00830F20">
        <w:rPr>
          <w:rFonts w:ascii="Arial" w:eastAsia="Times New Roman" w:hAnsi="Arial" w:cs="Arial"/>
          <w:sz w:val="24"/>
          <w:szCs w:val="24"/>
          <w:lang w:eastAsia="en-GB"/>
        </w:rPr>
        <w:t>2019-20</w:t>
      </w:r>
      <w:r w:rsidR="007C67B8">
        <w:rPr>
          <w:rFonts w:ascii="Arial" w:eastAsia="Times New Roman" w:hAnsi="Arial" w:cs="Arial"/>
          <w:sz w:val="24"/>
          <w:szCs w:val="24"/>
          <w:lang w:eastAsia="en-GB"/>
        </w:rPr>
        <w:t xml:space="preserve"> Statement of Accounts and is required to include s</w:t>
      </w:r>
      <w:r w:rsidR="007C67B8" w:rsidRPr="00234B04">
        <w:rPr>
          <w:rFonts w:ascii="Arial" w:eastAsia="Times New Roman" w:hAnsi="Arial" w:cs="Arial"/>
          <w:sz w:val="24"/>
          <w:szCs w:val="24"/>
          <w:lang w:eastAsia="en-GB"/>
        </w:rPr>
        <w:t>ignificant events or developments</w:t>
      </w:r>
      <w:r w:rsidR="007C67B8">
        <w:rPr>
          <w:rFonts w:ascii="Arial" w:eastAsia="Times New Roman" w:hAnsi="Arial" w:cs="Arial"/>
          <w:sz w:val="24"/>
          <w:szCs w:val="24"/>
          <w:lang w:eastAsia="en-GB"/>
        </w:rPr>
        <w:t xml:space="preserve"> up to the date the S</w:t>
      </w:r>
      <w:r w:rsidR="000D6D9C">
        <w:rPr>
          <w:rFonts w:ascii="Arial" w:eastAsia="Times New Roman" w:hAnsi="Arial" w:cs="Arial"/>
          <w:sz w:val="24"/>
          <w:szCs w:val="24"/>
          <w:lang w:eastAsia="en-GB"/>
        </w:rPr>
        <w:t>tatement of Accounts is signed. The AGS will be finalised after NCC’s external auditor has given his opinion on the 2019-20 Statement of Accounts.</w:t>
      </w:r>
      <w:r w:rsidR="007C67B8">
        <w:rPr>
          <w:rFonts w:ascii="Arial" w:eastAsia="Times New Roman" w:hAnsi="Arial" w:cs="Arial"/>
          <w:sz w:val="24"/>
          <w:szCs w:val="24"/>
          <w:lang w:eastAsia="en-GB"/>
        </w:rPr>
        <w:t xml:space="preserve"> </w:t>
      </w:r>
    </w:p>
    <w:p w14:paraId="7826F36A" w14:textId="77777777" w:rsidR="00D1637B" w:rsidRPr="00630B4D" w:rsidRDefault="00D1637B" w:rsidP="00D1637B">
      <w:pPr>
        <w:keepNext/>
        <w:keepLines/>
        <w:numPr>
          <w:ilvl w:val="0"/>
          <w:numId w:val="1"/>
        </w:numPr>
        <w:spacing w:before="240" w:after="0" w:line="240" w:lineRule="auto"/>
        <w:ind w:left="567" w:hanging="567"/>
        <w:outlineLvl w:val="0"/>
        <w:rPr>
          <w:rFonts w:ascii="Cambria" w:eastAsia="Times New Roman" w:hAnsi="Cambria" w:cs="Times New Roman"/>
          <w:b/>
          <w:bCs/>
          <w:color w:val="365F91"/>
          <w:sz w:val="28"/>
          <w:szCs w:val="28"/>
        </w:rPr>
      </w:pPr>
      <w:r w:rsidRPr="00630B4D">
        <w:rPr>
          <w:rFonts w:ascii="Cambria" w:eastAsia="Times New Roman" w:hAnsi="Cambria" w:cs="Times New Roman"/>
          <w:b/>
          <w:bCs/>
          <w:color w:val="365F91"/>
          <w:sz w:val="28"/>
          <w:szCs w:val="28"/>
        </w:rPr>
        <w:t>Significant Issues</w:t>
      </w:r>
    </w:p>
    <w:p w14:paraId="09551CE7" w14:textId="77777777" w:rsidR="00D1637B" w:rsidRPr="00630B4D" w:rsidRDefault="00D1637B" w:rsidP="00D1637B">
      <w:pPr>
        <w:numPr>
          <w:ilvl w:val="1"/>
          <w:numId w:val="1"/>
        </w:numPr>
        <w:autoSpaceDE w:val="0"/>
        <w:autoSpaceDN w:val="0"/>
        <w:adjustRightInd w:val="0"/>
        <w:spacing w:after="120" w:line="240" w:lineRule="auto"/>
        <w:ind w:left="567" w:hanging="567"/>
        <w:contextualSpacing/>
        <w:jc w:val="both"/>
        <w:rPr>
          <w:rFonts w:ascii="Arial" w:eastAsia="Times New Roman" w:hAnsi="Arial" w:cs="Arial"/>
          <w:sz w:val="24"/>
          <w:szCs w:val="24"/>
          <w:lang w:eastAsia="en-GB"/>
        </w:rPr>
      </w:pPr>
      <w:r w:rsidRPr="00630B4D">
        <w:rPr>
          <w:rFonts w:ascii="Arial" w:eastAsia="Times New Roman" w:hAnsi="Arial" w:cs="Arial"/>
          <w:sz w:val="24"/>
          <w:szCs w:val="24"/>
          <w:lang w:eastAsia="en-GB"/>
        </w:rPr>
        <w:t>This part of the AGS report reflects the position on significant control issues affecting the Council and the action plans put in place to address them. In ascertaining the significance of the control issues reported, the Council has used CIPFA guidance on the factors involved. These factors are summarised as follows:</w:t>
      </w:r>
    </w:p>
    <w:p w14:paraId="214272E8" w14:textId="77777777" w:rsidR="00D1637B" w:rsidRPr="005C3A91" w:rsidRDefault="00D1637B" w:rsidP="00D1637B">
      <w:pPr>
        <w:numPr>
          <w:ilvl w:val="0"/>
          <w:numId w:val="2"/>
        </w:numPr>
        <w:shd w:val="clear" w:color="auto" w:fill="FFFFFF"/>
        <w:tabs>
          <w:tab w:val="clear" w:pos="720"/>
        </w:tabs>
        <w:spacing w:after="100" w:afterAutospacing="1" w:line="240" w:lineRule="auto"/>
        <w:ind w:left="992" w:hanging="357"/>
        <w:rPr>
          <w:rFonts w:ascii="Arial" w:eastAsia="Times New Roman" w:hAnsi="Arial" w:cs="Arial"/>
          <w:sz w:val="24"/>
          <w:szCs w:val="24"/>
          <w:lang w:eastAsia="en-GB"/>
        </w:rPr>
      </w:pPr>
      <w:r w:rsidRPr="00630B4D">
        <w:rPr>
          <w:rFonts w:ascii="Arial" w:eastAsia="Calibri" w:hAnsi="Arial" w:cs="Arial"/>
          <w:sz w:val="24"/>
          <w:szCs w:val="24"/>
        </w:rPr>
        <w:t xml:space="preserve">The issue has </w:t>
      </w:r>
      <w:r w:rsidRPr="005C3A91">
        <w:rPr>
          <w:rFonts w:ascii="Arial" w:eastAsia="Times New Roman" w:hAnsi="Arial" w:cs="Arial"/>
          <w:sz w:val="24"/>
          <w:szCs w:val="24"/>
          <w:lang w:eastAsia="en-GB"/>
        </w:rPr>
        <w:t>seriously prejudiced or prevented achievement of a principal objective.</w:t>
      </w:r>
    </w:p>
    <w:p w14:paraId="0D3EEF79" w14:textId="77777777" w:rsidR="00D1637B" w:rsidRPr="005C3A91" w:rsidRDefault="00D1637B" w:rsidP="00D1637B">
      <w:pPr>
        <w:numPr>
          <w:ilvl w:val="0"/>
          <w:numId w:val="2"/>
        </w:numPr>
        <w:shd w:val="clear" w:color="auto" w:fill="FFFFFF"/>
        <w:tabs>
          <w:tab w:val="clear" w:pos="720"/>
        </w:tabs>
        <w:spacing w:before="100" w:beforeAutospacing="1" w:after="100" w:afterAutospacing="1" w:line="240" w:lineRule="auto"/>
        <w:ind w:left="993"/>
        <w:rPr>
          <w:rFonts w:ascii="Arial" w:eastAsia="Times New Roman" w:hAnsi="Arial" w:cs="Arial"/>
          <w:sz w:val="24"/>
          <w:szCs w:val="24"/>
          <w:lang w:eastAsia="en-GB"/>
        </w:rPr>
      </w:pPr>
      <w:r w:rsidRPr="005C3A91">
        <w:rPr>
          <w:rFonts w:ascii="Arial" w:eastAsia="Times New Roman" w:hAnsi="Arial" w:cs="Arial"/>
          <w:sz w:val="24"/>
          <w:szCs w:val="24"/>
          <w:lang w:eastAsia="en-GB"/>
        </w:rPr>
        <w:t>The issue has resulted in a need to seek additional funding to allow it to be resolved, or has resulted in significant diversion of resources from another aspect of the business.</w:t>
      </w:r>
    </w:p>
    <w:p w14:paraId="4275A97B" w14:textId="77777777" w:rsidR="00D1637B" w:rsidRPr="005C3A91" w:rsidRDefault="00D1637B" w:rsidP="00D1637B">
      <w:pPr>
        <w:numPr>
          <w:ilvl w:val="0"/>
          <w:numId w:val="2"/>
        </w:numPr>
        <w:shd w:val="clear" w:color="auto" w:fill="FFFFFF"/>
        <w:tabs>
          <w:tab w:val="clear" w:pos="720"/>
        </w:tabs>
        <w:spacing w:before="100" w:beforeAutospacing="1" w:after="100" w:afterAutospacing="1" w:line="240" w:lineRule="auto"/>
        <w:ind w:left="993"/>
        <w:rPr>
          <w:rFonts w:ascii="Arial" w:eastAsia="Times New Roman" w:hAnsi="Arial" w:cs="Arial"/>
          <w:sz w:val="24"/>
          <w:szCs w:val="24"/>
          <w:lang w:eastAsia="en-GB"/>
        </w:rPr>
      </w:pPr>
      <w:r w:rsidRPr="005C3A91">
        <w:rPr>
          <w:rFonts w:ascii="Arial" w:eastAsia="Times New Roman" w:hAnsi="Arial" w:cs="Arial"/>
          <w:sz w:val="24"/>
          <w:szCs w:val="24"/>
          <w:lang w:eastAsia="en-GB"/>
        </w:rPr>
        <w:t>The issue has led to a material impact on the accounts.</w:t>
      </w:r>
    </w:p>
    <w:p w14:paraId="36F3BA30" w14:textId="77777777" w:rsidR="00D1637B" w:rsidRPr="005C3A91" w:rsidRDefault="00D1637B" w:rsidP="00D1637B">
      <w:pPr>
        <w:numPr>
          <w:ilvl w:val="0"/>
          <w:numId w:val="2"/>
        </w:numPr>
        <w:shd w:val="clear" w:color="auto" w:fill="FFFFFF"/>
        <w:tabs>
          <w:tab w:val="clear" w:pos="720"/>
        </w:tabs>
        <w:spacing w:before="100" w:beforeAutospacing="1" w:after="100" w:afterAutospacing="1" w:line="240" w:lineRule="auto"/>
        <w:ind w:left="993"/>
        <w:rPr>
          <w:rFonts w:ascii="Arial" w:eastAsia="Times New Roman" w:hAnsi="Arial" w:cs="Arial"/>
          <w:sz w:val="24"/>
          <w:szCs w:val="24"/>
          <w:lang w:eastAsia="en-GB"/>
        </w:rPr>
      </w:pPr>
      <w:r w:rsidRPr="005C3A91">
        <w:rPr>
          <w:rFonts w:ascii="Arial" w:eastAsia="Times New Roman" w:hAnsi="Arial" w:cs="Arial"/>
          <w:sz w:val="24"/>
          <w:szCs w:val="24"/>
          <w:lang w:eastAsia="en-GB"/>
        </w:rPr>
        <w:t>The Audit Committee, or equivalent, has advised that it should be considered significant for this purpose.</w:t>
      </w:r>
    </w:p>
    <w:p w14:paraId="3F3A897F" w14:textId="77777777" w:rsidR="00D1637B" w:rsidRPr="005C3A91" w:rsidRDefault="00D1637B" w:rsidP="00D1637B">
      <w:pPr>
        <w:numPr>
          <w:ilvl w:val="0"/>
          <w:numId w:val="2"/>
        </w:numPr>
        <w:shd w:val="clear" w:color="auto" w:fill="FFFFFF"/>
        <w:tabs>
          <w:tab w:val="clear" w:pos="720"/>
        </w:tabs>
        <w:spacing w:before="100" w:beforeAutospacing="1" w:after="100" w:afterAutospacing="1" w:line="240" w:lineRule="auto"/>
        <w:ind w:left="993"/>
        <w:rPr>
          <w:rFonts w:ascii="Arial" w:eastAsia="Times New Roman" w:hAnsi="Arial" w:cs="Arial"/>
          <w:sz w:val="24"/>
          <w:szCs w:val="24"/>
          <w:lang w:eastAsia="en-GB"/>
        </w:rPr>
      </w:pPr>
      <w:r w:rsidRPr="005C3A91">
        <w:rPr>
          <w:rFonts w:ascii="Arial" w:eastAsia="Times New Roman" w:hAnsi="Arial" w:cs="Arial"/>
          <w:sz w:val="24"/>
          <w:szCs w:val="24"/>
          <w:lang w:eastAsia="en-GB"/>
        </w:rPr>
        <w:t>The Head of Audit and Risk has reported on it as significant, for this purpose, in the annual opinion on the internal control environment.</w:t>
      </w:r>
    </w:p>
    <w:p w14:paraId="43B9A09B" w14:textId="77777777" w:rsidR="00D1637B" w:rsidRPr="005C3A91" w:rsidRDefault="00D1637B" w:rsidP="00D1637B">
      <w:pPr>
        <w:numPr>
          <w:ilvl w:val="0"/>
          <w:numId w:val="2"/>
        </w:numPr>
        <w:shd w:val="clear" w:color="auto" w:fill="FFFFFF"/>
        <w:tabs>
          <w:tab w:val="clear" w:pos="720"/>
        </w:tabs>
        <w:spacing w:before="100" w:beforeAutospacing="1" w:after="100" w:afterAutospacing="1" w:line="240" w:lineRule="auto"/>
        <w:ind w:left="993"/>
        <w:rPr>
          <w:rFonts w:ascii="Arial" w:eastAsia="Times New Roman" w:hAnsi="Arial" w:cs="Arial"/>
          <w:sz w:val="24"/>
          <w:szCs w:val="24"/>
          <w:lang w:eastAsia="en-GB"/>
        </w:rPr>
      </w:pPr>
      <w:r w:rsidRPr="005C3A91">
        <w:rPr>
          <w:rFonts w:ascii="Arial" w:eastAsia="Times New Roman" w:hAnsi="Arial" w:cs="Arial"/>
          <w:sz w:val="24"/>
          <w:szCs w:val="24"/>
          <w:lang w:eastAsia="en-GB"/>
        </w:rPr>
        <w:t>The issue, or its impact, has attracted significant public interest or has seriously damaged the reputation of the organisation.</w:t>
      </w:r>
    </w:p>
    <w:p w14:paraId="4353417C" w14:textId="77777777" w:rsidR="00D1637B" w:rsidRPr="00630B4D" w:rsidRDefault="00D1637B" w:rsidP="00D1637B">
      <w:pPr>
        <w:numPr>
          <w:ilvl w:val="0"/>
          <w:numId w:val="2"/>
        </w:numPr>
        <w:shd w:val="clear" w:color="auto" w:fill="FFFFFF"/>
        <w:tabs>
          <w:tab w:val="clear" w:pos="720"/>
        </w:tabs>
        <w:spacing w:before="100" w:beforeAutospacing="1" w:after="100" w:afterAutospacing="1" w:line="240" w:lineRule="auto"/>
        <w:ind w:left="993"/>
        <w:rPr>
          <w:rFonts w:ascii="Arial" w:eastAsia="Calibri" w:hAnsi="Arial" w:cs="Arial"/>
          <w:sz w:val="24"/>
          <w:szCs w:val="24"/>
        </w:rPr>
      </w:pPr>
      <w:r w:rsidRPr="005C3A91">
        <w:rPr>
          <w:rFonts w:ascii="Arial" w:eastAsia="Times New Roman" w:hAnsi="Arial" w:cs="Arial"/>
          <w:sz w:val="24"/>
          <w:szCs w:val="24"/>
          <w:lang w:eastAsia="en-GB"/>
        </w:rPr>
        <w:t>The issue has resulted in formal action being taken by the Chief Financial Officer and/or the Monitoring</w:t>
      </w:r>
      <w:r w:rsidRPr="00630B4D">
        <w:rPr>
          <w:rFonts w:ascii="Arial" w:eastAsia="Calibri" w:hAnsi="Arial" w:cs="Arial"/>
          <w:sz w:val="24"/>
          <w:szCs w:val="24"/>
        </w:rPr>
        <w:t xml:space="preserve"> Officer.</w:t>
      </w:r>
    </w:p>
    <w:p w14:paraId="6C041074" w14:textId="77777777" w:rsidR="007C67B8" w:rsidRDefault="00D1637B" w:rsidP="00D1637B">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DB5925">
        <w:rPr>
          <w:rFonts w:ascii="Arial" w:eastAsia="Times New Roman" w:hAnsi="Arial" w:cs="Arial"/>
          <w:sz w:val="24"/>
          <w:szCs w:val="24"/>
          <w:lang w:eastAsia="en-GB"/>
        </w:rPr>
        <w:t>Based on the definition</w:t>
      </w:r>
      <w:r w:rsidR="00F938DA">
        <w:rPr>
          <w:rFonts w:ascii="Arial" w:eastAsia="Times New Roman" w:hAnsi="Arial" w:cs="Arial"/>
          <w:sz w:val="24"/>
          <w:szCs w:val="24"/>
          <w:lang w:eastAsia="en-GB"/>
        </w:rPr>
        <w:t xml:space="preserve"> above,</w:t>
      </w:r>
      <w:r w:rsidRPr="00DB5925">
        <w:rPr>
          <w:rFonts w:ascii="Arial" w:eastAsia="Times New Roman" w:hAnsi="Arial" w:cs="Arial"/>
          <w:sz w:val="24"/>
          <w:szCs w:val="24"/>
          <w:lang w:eastAsia="en-GB"/>
        </w:rPr>
        <w:t xml:space="preserve"> there are issues identified as significant for </w:t>
      </w:r>
      <w:r>
        <w:rPr>
          <w:rFonts w:ascii="Arial" w:eastAsia="Times New Roman" w:hAnsi="Arial" w:cs="Arial"/>
          <w:sz w:val="24"/>
          <w:szCs w:val="24"/>
          <w:lang w:eastAsia="en-GB"/>
        </w:rPr>
        <w:t>2019/20</w:t>
      </w:r>
      <w:r w:rsidRPr="00DB5925">
        <w:rPr>
          <w:rFonts w:ascii="Arial" w:eastAsia="Times New Roman" w:hAnsi="Arial" w:cs="Arial"/>
          <w:sz w:val="24"/>
          <w:szCs w:val="24"/>
          <w:lang w:eastAsia="en-GB"/>
        </w:rPr>
        <w:t xml:space="preserve"> and these are reported in section 8 of this report.</w:t>
      </w:r>
      <w:r w:rsidR="00F05EBE">
        <w:rPr>
          <w:rFonts w:ascii="Arial" w:eastAsia="Times New Roman" w:hAnsi="Arial" w:cs="Arial"/>
          <w:sz w:val="24"/>
          <w:szCs w:val="24"/>
          <w:lang w:eastAsia="en-GB"/>
        </w:rPr>
        <w:t xml:space="preserve"> </w:t>
      </w:r>
      <w:r w:rsidR="007C67B8">
        <w:rPr>
          <w:rFonts w:ascii="Arial" w:eastAsia="Times New Roman" w:hAnsi="Arial" w:cs="Arial"/>
          <w:sz w:val="24"/>
          <w:szCs w:val="24"/>
          <w:lang w:eastAsia="en-GB"/>
        </w:rPr>
        <w:t>The AGS has identified the following significant issues (see section 8)</w:t>
      </w:r>
      <w:r w:rsidR="00C000BA">
        <w:rPr>
          <w:rFonts w:ascii="Arial" w:eastAsia="Times New Roman" w:hAnsi="Arial" w:cs="Arial"/>
          <w:sz w:val="24"/>
          <w:szCs w:val="24"/>
          <w:lang w:eastAsia="en-GB"/>
        </w:rPr>
        <w:t xml:space="preserve"> cross-referenced to </w:t>
      </w:r>
      <w:r w:rsidR="00F938DA">
        <w:rPr>
          <w:rFonts w:ascii="Arial" w:eastAsia="Times New Roman" w:hAnsi="Arial" w:cs="Arial"/>
          <w:sz w:val="24"/>
          <w:szCs w:val="24"/>
          <w:lang w:eastAsia="en-GB"/>
        </w:rPr>
        <w:t xml:space="preserve">the new </w:t>
      </w:r>
      <w:r w:rsidR="00C000BA">
        <w:rPr>
          <w:rFonts w:ascii="Arial" w:eastAsia="Times New Roman" w:hAnsi="Arial" w:cs="Arial"/>
          <w:sz w:val="24"/>
          <w:szCs w:val="24"/>
          <w:lang w:eastAsia="en-GB"/>
        </w:rPr>
        <w:t>High Level Risk Register</w:t>
      </w:r>
    </w:p>
    <w:p w14:paraId="72F82D3F" w14:textId="77777777" w:rsidR="000D6D9C" w:rsidRDefault="00F938DA" w:rsidP="007C67B8">
      <w:pPr>
        <w:pStyle w:val="ListParagraph"/>
        <w:numPr>
          <w:ilvl w:val="0"/>
          <w:numId w:val="33"/>
        </w:numPr>
        <w:autoSpaceDE w:val="0"/>
        <w:autoSpaceDN w:val="0"/>
        <w:adjustRightInd w:val="0"/>
        <w:spacing w:after="12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Th</w:t>
      </w:r>
      <w:r w:rsidR="00C02C4E">
        <w:rPr>
          <w:rFonts w:ascii="Arial" w:eastAsia="Times New Roman" w:hAnsi="Arial" w:cs="Arial"/>
          <w:sz w:val="24"/>
          <w:szCs w:val="24"/>
          <w:lang w:eastAsia="en-GB"/>
        </w:rPr>
        <w:t xml:space="preserve">e Report in the Public Interest </w:t>
      </w:r>
      <w:r w:rsidR="000D6D9C">
        <w:rPr>
          <w:rFonts w:ascii="Arial" w:eastAsia="Times New Roman" w:hAnsi="Arial" w:cs="Arial"/>
          <w:sz w:val="24"/>
          <w:szCs w:val="24"/>
          <w:lang w:eastAsia="en-GB"/>
        </w:rPr>
        <w:t>concerning NCC’s governance arrangements for Robin Hood Energy</w:t>
      </w:r>
    </w:p>
    <w:p w14:paraId="35ECB483" w14:textId="77777777" w:rsidR="007C67B8" w:rsidRPr="007C67B8" w:rsidRDefault="007C67B8" w:rsidP="007C67B8">
      <w:pPr>
        <w:pStyle w:val="ListParagraph"/>
        <w:numPr>
          <w:ilvl w:val="0"/>
          <w:numId w:val="33"/>
        </w:numPr>
        <w:autoSpaceDE w:val="0"/>
        <w:autoSpaceDN w:val="0"/>
        <w:adjustRightInd w:val="0"/>
        <w:spacing w:after="120" w:line="240" w:lineRule="auto"/>
        <w:jc w:val="both"/>
        <w:rPr>
          <w:rFonts w:ascii="Arial" w:eastAsia="Times New Roman" w:hAnsi="Arial" w:cs="Arial"/>
          <w:sz w:val="24"/>
          <w:szCs w:val="24"/>
          <w:lang w:eastAsia="en-GB"/>
        </w:rPr>
      </w:pPr>
      <w:r w:rsidRPr="007C67B8">
        <w:rPr>
          <w:rFonts w:ascii="Arial" w:eastAsia="Times New Roman" w:hAnsi="Arial" w:cs="Arial"/>
          <w:sz w:val="24"/>
          <w:szCs w:val="24"/>
          <w:lang w:eastAsia="en-GB"/>
        </w:rPr>
        <w:t>Financial Impact of Covid-19</w:t>
      </w:r>
    </w:p>
    <w:p w14:paraId="54D5CB59" w14:textId="77777777" w:rsidR="007C67B8" w:rsidRPr="007C67B8" w:rsidRDefault="007C67B8" w:rsidP="007C67B8">
      <w:pPr>
        <w:pStyle w:val="ListParagraph"/>
        <w:numPr>
          <w:ilvl w:val="0"/>
          <w:numId w:val="33"/>
        </w:numPr>
        <w:autoSpaceDE w:val="0"/>
        <w:autoSpaceDN w:val="0"/>
        <w:adjustRightInd w:val="0"/>
        <w:spacing w:after="120" w:line="240" w:lineRule="auto"/>
        <w:jc w:val="both"/>
        <w:rPr>
          <w:rFonts w:ascii="Arial" w:eastAsia="Times New Roman" w:hAnsi="Arial" w:cs="Arial"/>
          <w:sz w:val="24"/>
          <w:szCs w:val="24"/>
          <w:lang w:eastAsia="en-GB"/>
        </w:rPr>
      </w:pPr>
      <w:r w:rsidRPr="007C67B8">
        <w:rPr>
          <w:rFonts w:ascii="Arial" w:eastAsia="Times New Roman" w:hAnsi="Arial" w:cs="Arial"/>
          <w:sz w:val="24"/>
          <w:szCs w:val="24"/>
          <w:lang w:eastAsia="en-GB"/>
        </w:rPr>
        <w:t>Robin Hood Energy</w:t>
      </w:r>
      <w:r w:rsidR="00F938DA">
        <w:rPr>
          <w:rFonts w:ascii="Arial" w:eastAsia="Times New Roman" w:hAnsi="Arial" w:cs="Arial"/>
          <w:sz w:val="24"/>
          <w:szCs w:val="24"/>
          <w:lang w:eastAsia="en-GB"/>
        </w:rPr>
        <w:t xml:space="preserve"> Ltd</w:t>
      </w:r>
    </w:p>
    <w:p w14:paraId="28E6F34B" w14:textId="77777777" w:rsidR="007C67B8" w:rsidRPr="007C67B8" w:rsidRDefault="007C67B8" w:rsidP="007C67B8">
      <w:pPr>
        <w:pStyle w:val="ListParagraph"/>
        <w:numPr>
          <w:ilvl w:val="0"/>
          <w:numId w:val="33"/>
        </w:numPr>
        <w:autoSpaceDE w:val="0"/>
        <w:autoSpaceDN w:val="0"/>
        <w:adjustRightInd w:val="0"/>
        <w:spacing w:after="120" w:line="240" w:lineRule="auto"/>
        <w:jc w:val="both"/>
        <w:rPr>
          <w:rFonts w:ascii="Arial" w:eastAsia="Times New Roman" w:hAnsi="Arial" w:cs="Arial"/>
          <w:sz w:val="24"/>
          <w:szCs w:val="24"/>
          <w:lang w:eastAsia="en-GB"/>
        </w:rPr>
      </w:pPr>
      <w:r w:rsidRPr="007C67B8">
        <w:rPr>
          <w:rFonts w:ascii="Arial" w:eastAsia="Times New Roman" w:hAnsi="Arial" w:cs="Arial"/>
          <w:sz w:val="24"/>
          <w:szCs w:val="24"/>
          <w:lang w:eastAsia="en-GB"/>
        </w:rPr>
        <w:t>Capital Programme</w:t>
      </w:r>
    </w:p>
    <w:p w14:paraId="3F10558B" w14:textId="77777777" w:rsidR="007C67B8" w:rsidRPr="007C67B8" w:rsidRDefault="007C67B8" w:rsidP="007C67B8">
      <w:pPr>
        <w:pStyle w:val="ListParagraph"/>
        <w:numPr>
          <w:ilvl w:val="0"/>
          <w:numId w:val="33"/>
        </w:numPr>
        <w:autoSpaceDE w:val="0"/>
        <w:autoSpaceDN w:val="0"/>
        <w:adjustRightInd w:val="0"/>
        <w:spacing w:after="120" w:line="240" w:lineRule="auto"/>
        <w:jc w:val="both"/>
        <w:rPr>
          <w:rFonts w:ascii="Arial" w:eastAsia="Times New Roman" w:hAnsi="Arial" w:cs="Arial"/>
          <w:sz w:val="24"/>
          <w:szCs w:val="24"/>
          <w:lang w:eastAsia="en-GB"/>
        </w:rPr>
      </w:pPr>
      <w:r w:rsidRPr="007C67B8">
        <w:rPr>
          <w:rFonts w:ascii="Arial" w:eastAsia="Times New Roman" w:hAnsi="Arial" w:cs="Arial"/>
          <w:sz w:val="24"/>
          <w:szCs w:val="24"/>
          <w:lang w:eastAsia="en-GB"/>
        </w:rPr>
        <w:t>Financial Resilience</w:t>
      </w:r>
    </w:p>
    <w:p w14:paraId="70AE9268" w14:textId="77777777" w:rsidR="007C67B8" w:rsidRDefault="007C67B8" w:rsidP="007C67B8">
      <w:pPr>
        <w:pStyle w:val="ListParagraph"/>
        <w:numPr>
          <w:ilvl w:val="0"/>
          <w:numId w:val="33"/>
        </w:numPr>
        <w:autoSpaceDE w:val="0"/>
        <w:autoSpaceDN w:val="0"/>
        <w:adjustRightInd w:val="0"/>
        <w:spacing w:after="120" w:line="240" w:lineRule="auto"/>
        <w:jc w:val="both"/>
        <w:rPr>
          <w:rFonts w:ascii="Arial" w:eastAsia="Times New Roman" w:hAnsi="Arial" w:cs="Arial"/>
          <w:sz w:val="24"/>
          <w:szCs w:val="24"/>
          <w:lang w:eastAsia="en-GB"/>
        </w:rPr>
      </w:pPr>
      <w:r w:rsidRPr="007C67B8">
        <w:rPr>
          <w:rFonts w:ascii="Arial" w:eastAsia="Times New Roman" w:hAnsi="Arial" w:cs="Arial"/>
          <w:sz w:val="24"/>
          <w:szCs w:val="24"/>
          <w:lang w:eastAsia="en-GB"/>
        </w:rPr>
        <w:t>Ofsted Focussed Visit &amp; Improvement Programme</w:t>
      </w:r>
    </w:p>
    <w:p w14:paraId="7433829C" w14:textId="77777777" w:rsidR="00C000BA" w:rsidRPr="00681829" w:rsidRDefault="00C000BA" w:rsidP="007C67B8">
      <w:pPr>
        <w:pStyle w:val="ListParagraph"/>
        <w:numPr>
          <w:ilvl w:val="0"/>
          <w:numId w:val="33"/>
        </w:numPr>
        <w:autoSpaceDE w:val="0"/>
        <w:autoSpaceDN w:val="0"/>
        <w:adjustRightInd w:val="0"/>
        <w:spacing w:after="120" w:line="240" w:lineRule="auto"/>
        <w:jc w:val="both"/>
        <w:rPr>
          <w:rFonts w:ascii="Arial" w:eastAsia="Times New Roman" w:hAnsi="Arial" w:cs="Arial"/>
          <w:sz w:val="24"/>
          <w:szCs w:val="24"/>
          <w:lang w:eastAsia="en-GB"/>
        </w:rPr>
      </w:pPr>
      <w:r w:rsidRPr="00681829">
        <w:rPr>
          <w:rFonts w:ascii="Arial" w:eastAsia="Times New Roman" w:hAnsi="Arial" w:cs="Arial"/>
          <w:sz w:val="24"/>
          <w:szCs w:val="24"/>
          <w:lang w:eastAsia="en-GB"/>
        </w:rPr>
        <w:lastRenderedPageBreak/>
        <w:t>Protec</w:t>
      </w:r>
      <w:r w:rsidR="000D6D9C" w:rsidRPr="00681829">
        <w:rPr>
          <w:rFonts w:ascii="Arial" w:eastAsia="Times New Roman" w:hAnsi="Arial" w:cs="Arial"/>
          <w:sz w:val="24"/>
          <w:szCs w:val="24"/>
          <w:lang w:eastAsia="en-GB"/>
        </w:rPr>
        <w:t>ting people from Covid-19</w:t>
      </w:r>
    </w:p>
    <w:p w14:paraId="77268AFD" w14:textId="77777777" w:rsidR="00D00EC9" w:rsidRDefault="00D00EC9" w:rsidP="00C031ED">
      <w:pPr>
        <w:pStyle w:val="ListParagraph"/>
        <w:numPr>
          <w:ilvl w:val="0"/>
          <w:numId w:val="33"/>
        </w:numPr>
        <w:autoSpaceDE w:val="0"/>
        <w:autoSpaceDN w:val="0"/>
        <w:adjustRightInd w:val="0"/>
        <w:spacing w:after="120" w:line="240" w:lineRule="auto"/>
        <w:jc w:val="both"/>
        <w:rPr>
          <w:rFonts w:ascii="Arial" w:eastAsia="Times New Roman" w:hAnsi="Arial" w:cs="Arial"/>
          <w:sz w:val="24"/>
          <w:szCs w:val="24"/>
          <w:lang w:eastAsia="en-GB"/>
        </w:rPr>
      </w:pPr>
      <w:r w:rsidRPr="00681829">
        <w:rPr>
          <w:rFonts w:ascii="Arial" w:eastAsia="Times New Roman" w:hAnsi="Arial" w:cs="Arial"/>
          <w:sz w:val="24"/>
          <w:szCs w:val="24"/>
          <w:lang w:eastAsia="en-GB"/>
        </w:rPr>
        <w:t>Broadmarsh Shopping Centre</w:t>
      </w:r>
    </w:p>
    <w:p w14:paraId="1CAEF08B" w14:textId="77777777" w:rsidR="00971C17" w:rsidRPr="00681829" w:rsidRDefault="00971C17" w:rsidP="00C031ED">
      <w:pPr>
        <w:pStyle w:val="ListParagraph"/>
        <w:numPr>
          <w:ilvl w:val="0"/>
          <w:numId w:val="33"/>
        </w:numPr>
        <w:autoSpaceDE w:val="0"/>
        <w:autoSpaceDN w:val="0"/>
        <w:adjustRightInd w:val="0"/>
        <w:spacing w:after="12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Energy &amp; Waste Infrastructure</w:t>
      </w:r>
    </w:p>
    <w:p w14:paraId="7E4EB5DF" w14:textId="77777777" w:rsidR="00D00EC9" w:rsidRPr="00C031ED" w:rsidRDefault="00D00EC9" w:rsidP="00AA45A2">
      <w:pPr>
        <w:pStyle w:val="ListParagraph"/>
        <w:autoSpaceDE w:val="0"/>
        <w:autoSpaceDN w:val="0"/>
        <w:adjustRightInd w:val="0"/>
        <w:spacing w:after="120" w:line="240" w:lineRule="auto"/>
        <w:ind w:left="1287"/>
        <w:jc w:val="both"/>
        <w:rPr>
          <w:rFonts w:ascii="Arial" w:eastAsia="Times New Roman" w:hAnsi="Arial" w:cs="Arial"/>
          <w:sz w:val="24"/>
          <w:szCs w:val="24"/>
          <w:lang w:eastAsia="en-GB"/>
        </w:rPr>
      </w:pPr>
    </w:p>
    <w:p w14:paraId="2CA420C0" w14:textId="77777777" w:rsidR="00B8437C" w:rsidRPr="00BB3F98" w:rsidRDefault="00B8437C" w:rsidP="00B8437C">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BB3F98">
        <w:rPr>
          <w:rFonts w:ascii="Arial" w:eastAsia="Times New Roman" w:hAnsi="Arial" w:cs="Arial"/>
          <w:sz w:val="24"/>
          <w:szCs w:val="24"/>
          <w:lang w:eastAsia="en-GB"/>
        </w:rPr>
        <w:t xml:space="preserve">These have been classified as significant issues for </w:t>
      </w:r>
      <w:r>
        <w:rPr>
          <w:rFonts w:ascii="Arial" w:eastAsia="Times New Roman" w:hAnsi="Arial" w:cs="Arial"/>
          <w:sz w:val="24"/>
          <w:szCs w:val="24"/>
          <w:lang w:eastAsia="en-GB"/>
        </w:rPr>
        <w:t>2019-20</w:t>
      </w:r>
      <w:r w:rsidRPr="00BB3F98">
        <w:rPr>
          <w:rFonts w:ascii="Arial" w:eastAsia="Times New Roman" w:hAnsi="Arial" w:cs="Arial"/>
          <w:sz w:val="24"/>
          <w:szCs w:val="24"/>
          <w:lang w:eastAsia="en-GB"/>
        </w:rPr>
        <w:t xml:space="preserve"> for the following reasons:</w:t>
      </w:r>
    </w:p>
    <w:tbl>
      <w:tblPr>
        <w:tblStyle w:val="TableGrid"/>
        <w:tblW w:w="11057" w:type="dxa"/>
        <w:tblInd w:w="-998" w:type="dxa"/>
        <w:tblLayout w:type="fixed"/>
        <w:tblCellMar>
          <w:left w:w="28" w:type="dxa"/>
          <w:right w:w="28" w:type="dxa"/>
        </w:tblCellMar>
        <w:tblLook w:val="04A0" w:firstRow="1" w:lastRow="0" w:firstColumn="1" w:lastColumn="0" w:noHBand="0" w:noVBand="1"/>
      </w:tblPr>
      <w:tblGrid>
        <w:gridCol w:w="5954"/>
        <w:gridCol w:w="567"/>
        <w:gridCol w:w="567"/>
        <w:gridCol w:w="567"/>
        <w:gridCol w:w="567"/>
        <w:gridCol w:w="567"/>
        <w:gridCol w:w="567"/>
        <w:gridCol w:w="567"/>
        <w:gridCol w:w="567"/>
        <w:gridCol w:w="567"/>
      </w:tblGrid>
      <w:tr w:rsidR="000D6D9C" w:rsidRPr="0070752E" w14:paraId="1E58F7AE" w14:textId="77777777" w:rsidTr="000D6D9C">
        <w:trPr>
          <w:cantSplit/>
          <w:trHeight w:val="4083"/>
        </w:trPr>
        <w:tc>
          <w:tcPr>
            <w:tcW w:w="5954" w:type="dxa"/>
          </w:tcPr>
          <w:p w14:paraId="2F893F97" w14:textId="77777777" w:rsidR="000D6D9C" w:rsidRPr="00E9686B" w:rsidRDefault="000D6D9C" w:rsidP="000D6D9C">
            <w:pPr>
              <w:autoSpaceDE w:val="0"/>
              <w:autoSpaceDN w:val="0"/>
              <w:adjustRightInd w:val="0"/>
              <w:spacing w:after="120"/>
              <w:ind w:left="-646"/>
              <w:jc w:val="both"/>
              <w:rPr>
                <w:rFonts w:ascii="Arial" w:eastAsia="Times New Roman" w:hAnsi="Arial" w:cs="Arial"/>
                <w:sz w:val="20"/>
                <w:szCs w:val="20"/>
                <w:highlight w:val="yellow"/>
                <w:lang w:eastAsia="en-GB"/>
              </w:rPr>
            </w:pPr>
          </w:p>
        </w:tc>
        <w:tc>
          <w:tcPr>
            <w:tcW w:w="567" w:type="dxa"/>
            <w:textDirection w:val="btLr"/>
          </w:tcPr>
          <w:p w14:paraId="3F595587" w14:textId="77777777" w:rsidR="000D6D9C" w:rsidRDefault="00F938DA" w:rsidP="000D6D9C">
            <w:pPr>
              <w:autoSpaceDE w:val="0"/>
              <w:autoSpaceDN w:val="0"/>
              <w:adjustRightInd w:val="0"/>
              <w:ind w:left="113" w:right="113"/>
              <w:rPr>
                <w:rFonts w:ascii="Arial" w:eastAsia="Times New Roman" w:hAnsi="Arial" w:cs="Arial"/>
                <w:sz w:val="20"/>
                <w:szCs w:val="20"/>
                <w:lang w:eastAsia="en-GB"/>
              </w:rPr>
            </w:pPr>
            <w:r>
              <w:rPr>
                <w:rFonts w:ascii="Arial" w:eastAsia="Times New Roman" w:hAnsi="Arial" w:cs="Arial"/>
                <w:sz w:val="20"/>
                <w:szCs w:val="20"/>
                <w:lang w:eastAsia="en-GB"/>
              </w:rPr>
              <w:t xml:space="preserve">Report in the </w:t>
            </w:r>
            <w:r w:rsidR="000D6D9C" w:rsidRPr="000D6D9C">
              <w:rPr>
                <w:rFonts w:ascii="Arial" w:eastAsia="Times New Roman" w:hAnsi="Arial" w:cs="Arial"/>
                <w:sz w:val="20"/>
                <w:szCs w:val="20"/>
                <w:lang w:eastAsia="en-GB"/>
              </w:rPr>
              <w:t>Public Interest</w:t>
            </w:r>
            <w:r w:rsidR="000B0B40">
              <w:rPr>
                <w:rFonts w:ascii="Arial" w:eastAsia="Times New Roman" w:hAnsi="Arial" w:cs="Arial"/>
                <w:sz w:val="20"/>
                <w:szCs w:val="20"/>
                <w:lang w:eastAsia="en-GB"/>
              </w:rPr>
              <w:t xml:space="preserve"> on </w:t>
            </w:r>
            <w:r w:rsidR="000D6D9C" w:rsidRPr="000D6D9C">
              <w:rPr>
                <w:rFonts w:ascii="Arial" w:eastAsia="Times New Roman" w:hAnsi="Arial" w:cs="Arial"/>
                <w:sz w:val="20"/>
                <w:szCs w:val="20"/>
                <w:lang w:eastAsia="en-GB"/>
              </w:rPr>
              <w:t>NCC governance arrangements for Robin Hood Energy</w:t>
            </w:r>
          </w:p>
        </w:tc>
        <w:tc>
          <w:tcPr>
            <w:tcW w:w="567" w:type="dxa"/>
            <w:textDirection w:val="btLr"/>
            <w:vAlign w:val="center"/>
          </w:tcPr>
          <w:p w14:paraId="6132F56E" w14:textId="77777777" w:rsidR="000D6D9C" w:rsidRPr="0070752E" w:rsidRDefault="000D6D9C" w:rsidP="000D6D9C">
            <w:pPr>
              <w:autoSpaceDE w:val="0"/>
              <w:autoSpaceDN w:val="0"/>
              <w:adjustRightInd w:val="0"/>
              <w:spacing w:after="120"/>
              <w:ind w:left="113" w:right="113"/>
              <w:rPr>
                <w:rFonts w:ascii="Arial" w:eastAsia="Times New Roman" w:hAnsi="Arial" w:cs="Arial"/>
                <w:sz w:val="20"/>
                <w:szCs w:val="20"/>
                <w:highlight w:val="yellow"/>
                <w:lang w:eastAsia="en-GB"/>
              </w:rPr>
            </w:pPr>
            <w:r>
              <w:rPr>
                <w:rFonts w:ascii="Arial" w:eastAsia="Times New Roman" w:hAnsi="Arial" w:cs="Arial"/>
                <w:sz w:val="20"/>
                <w:szCs w:val="20"/>
                <w:lang w:eastAsia="en-GB"/>
              </w:rPr>
              <w:t xml:space="preserve">Financial </w:t>
            </w:r>
            <w:r w:rsidRPr="0070752E">
              <w:rPr>
                <w:rFonts w:ascii="Arial" w:eastAsia="Times New Roman" w:hAnsi="Arial" w:cs="Arial"/>
                <w:sz w:val="20"/>
                <w:szCs w:val="20"/>
                <w:lang w:eastAsia="en-GB"/>
              </w:rPr>
              <w:t>Impact of Covid-19</w:t>
            </w:r>
          </w:p>
        </w:tc>
        <w:tc>
          <w:tcPr>
            <w:tcW w:w="567" w:type="dxa"/>
            <w:textDirection w:val="btLr"/>
          </w:tcPr>
          <w:p w14:paraId="7AFE718C" w14:textId="77777777" w:rsidR="000D6D9C" w:rsidRPr="0070752E" w:rsidRDefault="000D6D9C" w:rsidP="000D6D9C">
            <w:pPr>
              <w:autoSpaceDE w:val="0"/>
              <w:autoSpaceDN w:val="0"/>
              <w:adjustRightInd w:val="0"/>
              <w:spacing w:after="120"/>
              <w:ind w:left="113" w:right="113"/>
              <w:rPr>
                <w:rFonts w:ascii="Arial" w:eastAsia="Times New Roman" w:hAnsi="Arial" w:cs="Arial"/>
                <w:sz w:val="20"/>
                <w:szCs w:val="20"/>
                <w:lang w:eastAsia="en-GB"/>
              </w:rPr>
            </w:pPr>
            <w:r>
              <w:rPr>
                <w:rFonts w:ascii="Arial" w:eastAsia="Times New Roman" w:hAnsi="Arial" w:cs="Arial"/>
                <w:sz w:val="20"/>
                <w:szCs w:val="20"/>
                <w:lang w:eastAsia="en-GB"/>
              </w:rPr>
              <w:t>Protecting People from Covid-19</w:t>
            </w:r>
          </w:p>
        </w:tc>
        <w:tc>
          <w:tcPr>
            <w:tcW w:w="567" w:type="dxa"/>
            <w:textDirection w:val="btLr"/>
            <w:vAlign w:val="center"/>
          </w:tcPr>
          <w:p w14:paraId="0E56F9FB" w14:textId="77777777" w:rsidR="000D6D9C" w:rsidRPr="0070752E" w:rsidRDefault="000D6D9C" w:rsidP="000D6D9C">
            <w:pPr>
              <w:autoSpaceDE w:val="0"/>
              <w:autoSpaceDN w:val="0"/>
              <w:adjustRightInd w:val="0"/>
              <w:spacing w:after="120"/>
              <w:ind w:left="113" w:right="113"/>
              <w:rPr>
                <w:rFonts w:ascii="Arial" w:eastAsia="Times New Roman" w:hAnsi="Arial" w:cs="Arial"/>
                <w:sz w:val="20"/>
                <w:szCs w:val="20"/>
                <w:lang w:eastAsia="en-GB"/>
              </w:rPr>
            </w:pPr>
            <w:r w:rsidRPr="0070752E">
              <w:rPr>
                <w:rFonts w:ascii="Arial" w:eastAsia="Times New Roman" w:hAnsi="Arial" w:cs="Arial"/>
                <w:sz w:val="20"/>
                <w:szCs w:val="20"/>
                <w:lang w:eastAsia="en-GB"/>
              </w:rPr>
              <w:t>Robin Hood Energy</w:t>
            </w:r>
          </w:p>
        </w:tc>
        <w:tc>
          <w:tcPr>
            <w:tcW w:w="567" w:type="dxa"/>
            <w:textDirection w:val="btLr"/>
            <w:vAlign w:val="center"/>
          </w:tcPr>
          <w:p w14:paraId="39C0B7E0" w14:textId="77777777" w:rsidR="000D6D9C" w:rsidRPr="0070752E" w:rsidRDefault="000D6D9C" w:rsidP="000D6D9C">
            <w:pPr>
              <w:autoSpaceDE w:val="0"/>
              <w:autoSpaceDN w:val="0"/>
              <w:adjustRightInd w:val="0"/>
              <w:spacing w:after="120"/>
              <w:ind w:left="113" w:right="113"/>
              <w:rPr>
                <w:rFonts w:ascii="Arial" w:eastAsia="Times New Roman" w:hAnsi="Arial" w:cs="Arial"/>
                <w:sz w:val="20"/>
                <w:szCs w:val="20"/>
                <w:lang w:eastAsia="en-GB"/>
              </w:rPr>
            </w:pPr>
            <w:r w:rsidRPr="0070752E">
              <w:rPr>
                <w:rFonts w:ascii="Arial" w:eastAsia="Times New Roman" w:hAnsi="Arial" w:cs="Arial"/>
                <w:sz w:val="20"/>
                <w:szCs w:val="20"/>
                <w:lang w:eastAsia="en-GB"/>
              </w:rPr>
              <w:t>Capital Programme</w:t>
            </w:r>
          </w:p>
        </w:tc>
        <w:tc>
          <w:tcPr>
            <w:tcW w:w="567" w:type="dxa"/>
            <w:textDirection w:val="btLr"/>
          </w:tcPr>
          <w:p w14:paraId="315ACDDD" w14:textId="77777777" w:rsidR="000D6D9C" w:rsidRPr="0070752E" w:rsidRDefault="000D6D9C" w:rsidP="000D6D9C">
            <w:pPr>
              <w:autoSpaceDE w:val="0"/>
              <w:autoSpaceDN w:val="0"/>
              <w:adjustRightInd w:val="0"/>
              <w:spacing w:after="120"/>
              <w:ind w:left="113" w:right="113"/>
              <w:rPr>
                <w:rFonts w:ascii="Arial" w:eastAsia="Times New Roman" w:hAnsi="Arial" w:cs="Arial"/>
                <w:sz w:val="20"/>
                <w:szCs w:val="20"/>
                <w:lang w:eastAsia="en-GB"/>
              </w:rPr>
            </w:pPr>
            <w:r>
              <w:rPr>
                <w:rFonts w:ascii="Arial" w:eastAsia="Times New Roman" w:hAnsi="Arial" w:cs="Arial"/>
                <w:sz w:val="20"/>
                <w:szCs w:val="20"/>
                <w:lang w:eastAsia="en-GB"/>
              </w:rPr>
              <w:t xml:space="preserve">Broadmarsh Shopping Centre </w:t>
            </w:r>
          </w:p>
        </w:tc>
        <w:tc>
          <w:tcPr>
            <w:tcW w:w="567" w:type="dxa"/>
            <w:textDirection w:val="btLr"/>
            <w:vAlign w:val="center"/>
          </w:tcPr>
          <w:p w14:paraId="039867B0" w14:textId="77777777" w:rsidR="000D6D9C" w:rsidRPr="0070752E" w:rsidRDefault="00971C17" w:rsidP="000D6D9C">
            <w:pPr>
              <w:autoSpaceDE w:val="0"/>
              <w:autoSpaceDN w:val="0"/>
              <w:adjustRightInd w:val="0"/>
              <w:spacing w:after="120"/>
              <w:ind w:left="113" w:right="113"/>
              <w:rPr>
                <w:rFonts w:ascii="Arial" w:eastAsia="Times New Roman" w:hAnsi="Arial" w:cs="Arial"/>
                <w:sz w:val="20"/>
                <w:szCs w:val="20"/>
                <w:lang w:eastAsia="en-GB"/>
              </w:rPr>
            </w:pPr>
            <w:r>
              <w:rPr>
                <w:rFonts w:ascii="Arial" w:eastAsia="Times New Roman" w:hAnsi="Arial" w:cs="Arial"/>
                <w:sz w:val="20"/>
                <w:szCs w:val="20"/>
                <w:lang w:eastAsia="en-GB"/>
              </w:rPr>
              <w:t>Energy &amp; Waste Infrastructure</w:t>
            </w:r>
          </w:p>
        </w:tc>
        <w:tc>
          <w:tcPr>
            <w:tcW w:w="567" w:type="dxa"/>
            <w:textDirection w:val="btLr"/>
            <w:vAlign w:val="center"/>
          </w:tcPr>
          <w:p w14:paraId="08CE7A98" w14:textId="77777777" w:rsidR="000D6D9C" w:rsidRPr="0070752E" w:rsidRDefault="000D6D9C" w:rsidP="000D6D9C">
            <w:pPr>
              <w:autoSpaceDE w:val="0"/>
              <w:autoSpaceDN w:val="0"/>
              <w:adjustRightInd w:val="0"/>
              <w:spacing w:after="120"/>
              <w:ind w:left="113" w:right="113"/>
              <w:rPr>
                <w:rFonts w:ascii="Arial" w:eastAsia="Times New Roman" w:hAnsi="Arial" w:cs="Arial"/>
                <w:sz w:val="20"/>
                <w:szCs w:val="20"/>
                <w:lang w:eastAsia="en-GB"/>
              </w:rPr>
            </w:pPr>
            <w:r w:rsidRPr="0070752E">
              <w:rPr>
                <w:rFonts w:ascii="Arial" w:eastAsia="Times New Roman" w:hAnsi="Arial" w:cs="Arial"/>
                <w:sz w:val="20"/>
                <w:szCs w:val="20"/>
                <w:lang w:eastAsia="en-GB"/>
              </w:rPr>
              <w:t>Financial Resilience</w:t>
            </w:r>
          </w:p>
        </w:tc>
        <w:tc>
          <w:tcPr>
            <w:tcW w:w="567" w:type="dxa"/>
            <w:textDirection w:val="btLr"/>
            <w:vAlign w:val="center"/>
          </w:tcPr>
          <w:p w14:paraId="7441E0C6" w14:textId="77777777" w:rsidR="000D6D9C" w:rsidRPr="0070752E" w:rsidRDefault="000D6D9C" w:rsidP="000D6D9C">
            <w:pPr>
              <w:autoSpaceDE w:val="0"/>
              <w:autoSpaceDN w:val="0"/>
              <w:adjustRightInd w:val="0"/>
              <w:spacing w:after="120"/>
              <w:ind w:left="113" w:right="113"/>
              <w:rPr>
                <w:rFonts w:ascii="Arial" w:eastAsia="Times New Roman" w:hAnsi="Arial" w:cs="Arial"/>
                <w:sz w:val="20"/>
                <w:szCs w:val="20"/>
                <w:lang w:eastAsia="en-GB"/>
              </w:rPr>
            </w:pPr>
            <w:r>
              <w:rPr>
                <w:rFonts w:ascii="Arial" w:eastAsia="Times New Roman" w:hAnsi="Arial" w:cs="Arial"/>
                <w:sz w:val="20"/>
                <w:szCs w:val="20"/>
                <w:lang w:eastAsia="en-GB"/>
              </w:rPr>
              <w:t>Ofsted Focussed Visit &amp; Improvement Programme</w:t>
            </w:r>
          </w:p>
        </w:tc>
      </w:tr>
      <w:tr w:rsidR="000D6D9C" w:rsidRPr="00BB3F98" w14:paraId="77A6F791" w14:textId="77777777" w:rsidTr="000D6D9C">
        <w:tc>
          <w:tcPr>
            <w:tcW w:w="5954" w:type="dxa"/>
          </w:tcPr>
          <w:p w14:paraId="5622897A" w14:textId="77777777" w:rsidR="000D6D9C" w:rsidRPr="00BB3F98" w:rsidRDefault="000D6D9C" w:rsidP="000D6D9C">
            <w:pPr>
              <w:shd w:val="clear" w:color="auto" w:fill="FFFFFF"/>
              <w:spacing w:after="100" w:afterAutospacing="1"/>
              <w:rPr>
                <w:rFonts w:ascii="Arial" w:eastAsia="Times New Roman" w:hAnsi="Arial" w:cs="Arial"/>
                <w:sz w:val="20"/>
                <w:szCs w:val="20"/>
                <w:lang w:eastAsia="en-GB"/>
              </w:rPr>
            </w:pPr>
            <w:r w:rsidRPr="00BB3F98">
              <w:rPr>
                <w:rFonts w:ascii="Arial" w:eastAsia="Times New Roman" w:hAnsi="Arial" w:cs="Arial"/>
                <w:sz w:val="20"/>
                <w:szCs w:val="20"/>
                <w:lang w:eastAsia="en-GB"/>
              </w:rPr>
              <w:t>The issue has seriously prejudiced or prevented achievement of a principal objective.</w:t>
            </w:r>
          </w:p>
        </w:tc>
        <w:tc>
          <w:tcPr>
            <w:tcW w:w="567" w:type="dxa"/>
          </w:tcPr>
          <w:p w14:paraId="0601012A" w14:textId="77777777" w:rsidR="000D6D9C" w:rsidRPr="00BB3F98" w:rsidRDefault="000D6D9C" w:rsidP="000D6D9C">
            <w:pPr>
              <w:autoSpaceDE w:val="0"/>
              <w:autoSpaceDN w:val="0"/>
              <w:adjustRightInd w:val="0"/>
              <w:jc w:val="center"/>
              <w:rPr>
                <w:rFonts w:ascii="Arial" w:eastAsia="Times New Roman" w:hAnsi="Arial" w:cs="Arial"/>
                <w:sz w:val="20"/>
                <w:szCs w:val="20"/>
                <w:lang w:eastAsia="en-GB"/>
              </w:rPr>
            </w:pPr>
          </w:p>
        </w:tc>
        <w:tc>
          <w:tcPr>
            <w:tcW w:w="567" w:type="dxa"/>
          </w:tcPr>
          <w:p w14:paraId="6F9654B0" w14:textId="77777777" w:rsidR="000D6D9C" w:rsidRPr="00BB3F98" w:rsidRDefault="000D6D9C" w:rsidP="000D6D9C">
            <w:pPr>
              <w:autoSpaceDE w:val="0"/>
              <w:autoSpaceDN w:val="0"/>
              <w:adjustRightInd w:val="0"/>
              <w:spacing w:after="120"/>
              <w:jc w:val="center"/>
              <w:rPr>
                <w:rFonts w:ascii="Arial" w:eastAsia="Times New Roman" w:hAnsi="Arial" w:cs="Arial"/>
                <w:sz w:val="20"/>
                <w:szCs w:val="20"/>
                <w:lang w:eastAsia="en-GB"/>
              </w:rPr>
            </w:pPr>
            <w:r w:rsidRPr="00BB3F98">
              <w:rPr>
                <w:rFonts w:ascii="Arial" w:eastAsia="Times New Roman" w:hAnsi="Arial" w:cs="Arial"/>
                <w:sz w:val="20"/>
                <w:szCs w:val="20"/>
                <w:lang w:eastAsia="en-GB"/>
              </w:rPr>
              <w:sym w:font="Wingdings" w:char="F0FC"/>
            </w:r>
          </w:p>
        </w:tc>
        <w:tc>
          <w:tcPr>
            <w:tcW w:w="567" w:type="dxa"/>
          </w:tcPr>
          <w:p w14:paraId="753BD91F" w14:textId="77777777" w:rsidR="000D6D9C" w:rsidRPr="00BB3F98" w:rsidRDefault="000D6D9C" w:rsidP="000D6D9C">
            <w:pPr>
              <w:autoSpaceDE w:val="0"/>
              <w:autoSpaceDN w:val="0"/>
              <w:adjustRightInd w:val="0"/>
              <w:spacing w:after="120"/>
              <w:jc w:val="center"/>
              <w:rPr>
                <w:rFonts w:ascii="Arial" w:eastAsia="Times New Roman" w:hAnsi="Arial" w:cs="Arial"/>
                <w:sz w:val="20"/>
                <w:szCs w:val="20"/>
                <w:lang w:eastAsia="en-GB"/>
              </w:rPr>
            </w:pPr>
            <w:r w:rsidRPr="00BB3F98">
              <w:rPr>
                <w:rFonts w:ascii="Arial" w:eastAsia="Times New Roman" w:hAnsi="Arial" w:cs="Arial"/>
                <w:sz w:val="20"/>
                <w:szCs w:val="20"/>
                <w:lang w:eastAsia="en-GB"/>
              </w:rPr>
              <w:sym w:font="Wingdings" w:char="F0FC"/>
            </w:r>
          </w:p>
        </w:tc>
        <w:tc>
          <w:tcPr>
            <w:tcW w:w="567" w:type="dxa"/>
          </w:tcPr>
          <w:p w14:paraId="14057DC4" w14:textId="77777777" w:rsidR="000D6D9C" w:rsidRPr="00BB3F98" w:rsidRDefault="000D6D9C" w:rsidP="000D6D9C">
            <w:pPr>
              <w:autoSpaceDE w:val="0"/>
              <w:autoSpaceDN w:val="0"/>
              <w:adjustRightInd w:val="0"/>
              <w:spacing w:after="120"/>
              <w:jc w:val="center"/>
              <w:rPr>
                <w:rFonts w:ascii="Arial" w:eastAsia="Times New Roman" w:hAnsi="Arial" w:cs="Arial"/>
                <w:sz w:val="20"/>
                <w:szCs w:val="20"/>
                <w:lang w:eastAsia="en-GB"/>
              </w:rPr>
            </w:pPr>
          </w:p>
        </w:tc>
        <w:tc>
          <w:tcPr>
            <w:tcW w:w="567" w:type="dxa"/>
          </w:tcPr>
          <w:p w14:paraId="31B6734A" w14:textId="77777777" w:rsidR="000D6D9C" w:rsidRPr="00BB3F98" w:rsidRDefault="000D6D9C" w:rsidP="000D6D9C">
            <w:pPr>
              <w:autoSpaceDE w:val="0"/>
              <w:autoSpaceDN w:val="0"/>
              <w:adjustRightInd w:val="0"/>
              <w:spacing w:after="120"/>
              <w:jc w:val="center"/>
              <w:rPr>
                <w:rFonts w:ascii="Arial" w:eastAsia="Times New Roman" w:hAnsi="Arial" w:cs="Arial"/>
                <w:sz w:val="20"/>
                <w:szCs w:val="20"/>
                <w:lang w:eastAsia="en-GB"/>
              </w:rPr>
            </w:pPr>
            <w:r w:rsidRPr="00BB3F98">
              <w:rPr>
                <w:rFonts w:ascii="Arial" w:eastAsia="Times New Roman" w:hAnsi="Arial" w:cs="Arial"/>
                <w:sz w:val="20"/>
                <w:szCs w:val="20"/>
                <w:lang w:eastAsia="en-GB"/>
              </w:rPr>
              <w:sym w:font="Wingdings" w:char="F0FC"/>
            </w:r>
          </w:p>
        </w:tc>
        <w:tc>
          <w:tcPr>
            <w:tcW w:w="567" w:type="dxa"/>
          </w:tcPr>
          <w:p w14:paraId="3F71A25E" w14:textId="77777777" w:rsidR="000D6D9C" w:rsidRPr="00BB3F98" w:rsidRDefault="000D6D9C" w:rsidP="000D6D9C">
            <w:pPr>
              <w:autoSpaceDE w:val="0"/>
              <w:autoSpaceDN w:val="0"/>
              <w:adjustRightInd w:val="0"/>
              <w:spacing w:after="120"/>
              <w:jc w:val="center"/>
              <w:rPr>
                <w:rFonts w:ascii="Arial" w:eastAsia="Times New Roman" w:hAnsi="Arial" w:cs="Arial"/>
                <w:sz w:val="20"/>
                <w:szCs w:val="20"/>
                <w:lang w:eastAsia="en-GB"/>
              </w:rPr>
            </w:pPr>
            <w:r w:rsidRPr="00BB3F98">
              <w:rPr>
                <w:rFonts w:ascii="Arial" w:eastAsia="Times New Roman" w:hAnsi="Arial" w:cs="Arial"/>
                <w:sz w:val="20"/>
                <w:szCs w:val="20"/>
                <w:lang w:eastAsia="en-GB"/>
              </w:rPr>
              <w:sym w:font="Wingdings" w:char="F0FC"/>
            </w:r>
          </w:p>
        </w:tc>
        <w:tc>
          <w:tcPr>
            <w:tcW w:w="567" w:type="dxa"/>
          </w:tcPr>
          <w:p w14:paraId="056ECABE" w14:textId="77777777" w:rsidR="000D6D9C" w:rsidRPr="00BB3F98" w:rsidRDefault="000D6D9C" w:rsidP="000D6D9C">
            <w:pPr>
              <w:autoSpaceDE w:val="0"/>
              <w:autoSpaceDN w:val="0"/>
              <w:adjustRightInd w:val="0"/>
              <w:spacing w:after="120"/>
              <w:jc w:val="center"/>
              <w:rPr>
                <w:rFonts w:ascii="Arial" w:eastAsia="Times New Roman" w:hAnsi="Arial" w:cs="Arial"/>
                <w:sz w:val="20"/>
                <w:szCs w:val="20"/>
                <w:lang w:eastAsia="en-GB"/>
              </w:rPr>
            </w:pPr>
          </w:p>
        </w:tc>
        <w:tc>
          <w:tcPr>
            <w:tcW w:w="567" w:type="dxa"/>
          </w:tcPr>
          <w:p w14:paraId="06647F4B" w14:textId="77777777" w:rsidR="000D6D9C" w:rsidRPr="00BB3F98" w:rsidRDefault="000D6D9C" w:rsidP="000D6D9C">
            <w:pPr>
              <w:autoSpaceDE w:val="0"/>
              <w:autoSpaceDN w:val="0"/>
              <w:adjustRightInd w:val="0"/>
              <w:spacing w:after="120"/>
              <w:jc w:val="center"/>
              <w:rPr>
                <w:rFonts w:ascii="Arial" w:eastAsia="Times New Roman" w:hAnsi="Arial" w:cs="Arial"/>
                <w:sz w:val="20"/>
                <w:szCs w:val="20"/>
                <w:lang w:eastAsia="en-GB"/>
              </w:rPr>
            </w:pPr>
            <w:r w:rsidRPr="00BB3F98">
              <w:rPr>
                <w:rFonts w:ascii="Arial" w:eastAsia="Times New Roman" w:hAnsi="Arial" w:cs="Arial"/>
                <w:sz w:val="20"/>
                <w:szCs w:val="20"/>
                <w:lang w:eastAsia="en-GB"/>
              </w:rPr>
              <w:sym w:font="Wingdings" w:char="F0FC"/>
            </w:r>
          </w:p>
        </w:tc>
        <w:tc>
          <w:tcPr>
            <w:tcW w:w="567" w:type="dxa"/>
          </w:tcPr>
          <w:p w14:paraId="5874106C" w14:textId="77777777" w:rsidR="000D6D9C" w:rsidRPr="00BB3F98" w:rsidRDefault="000D6D9C" w:rsidP="000D6D9C">
            <w:pPr>
              <w:autoSpaceDE w:val="0"/>
              <w:autoSpaceDN w:val="0"/>
              <w:adjustRightInd w:val="0"/>
              <w:spacing w:after="120"/>
              <w:jc w:val="center"/>
              <w:rPr>
                <w:rFonts w:ascii="Arial" w:eastAsia="Times New Roman" w:hAnsi="Arial" w:cs="Arial"/>
                <w:sz w:val="20"/>
                <w:szCs w:val="20"/>
                <w:lang w:eastAsia="en-GB"/>
              </w:rPr>
            </w:pPr>
            <w:r w:rsidRPr="00BB3F98">
              <w:rPr>
                <w:rFonts w:ascii="Arial" w:eastAsia="Times New Roman" w:hAnsi="Arial" w:cs="Arial"/>
                <w:sz w:val="20"/>
                <w:szCs w:val="20"/>
                <w:lang w:eastAsia="en-GB"/>
              </w:rPr>
              <w:sym w:font="Wingdings" w:char="F0FC"/>
            </w:r>
          </w:p>
        </w:tc>
      </w:tr>
      <w:tr w:rsidR="000D6D9C" w:rsidRPr="00BB3F98" w14:paraId="087D0072" w14:textId="77777777" w:rsidTr="000D6D9C">
        <w:tc>
          <w:tcPr>
            <w:tcW w:w="5954" w:type="dxa"/>
          </w:tcPr>
          <w:p w14:paraId="5B746AF0" w14:textId="77777777" w:rsidR="000D6D9C" w:rsidRPr="00BB3F98" w:rsidRDefault="000D6D9C" w:rsidP="000D6D9C">
            <w:pPr>
              <w:shd w:val="clear" w:color="auto" w:fill="FFFFFF"/>
              <w:spacing w:after="100" w:afterAutospacing="1"/>
              <w:rPr>
                <w:rFonts w:ascii="Arial" w:eastAsia="Calibri" w:hAnsi="Arial" w:cs="Arial"/>
                <w:sz w:val="20"/>
                <w:szCs w:val="20"/>
              </w:rPr>
            </w:pPr>
            <w:r w:rsidRPr="00BB3F98">
              <w:rPr>
                <w:rFonts w:ascii="Arial" w:eastAsia="Calibri" w:hAnsi="Arial" w:cs="Arial"/>
                <w:sz w:val="20"/>
                <w:szCs w:val="20"/>
              </w:rPr>
              <w:t>The issue has resulted in a need to seek additional funding to allow it to be resolved, or has resulted in significant diversion of resources from another aspect of the business.</w:t>
            </w:r>
          </w:p>
        </w:tc>
        <w:tc>
          <w:tcPr>
            <w:tcW w:w="567" w:type="dxa"/>
          </w:tcPr>
          <w:p w14:paraId="1C375D5E" w14:textId="77777777" w:rsidR="000D6D9C" w:rsidRPr="00BB3F98" w:rsidRDefault="000D6D9C" w:rsidP="000D6D9C">
            <w:pPr>
              <w:autoSpaceDE w:val="0"/>
              <w:autoSpaceDN w:val="0"/>
              <w:adjustRightInd w:val="0"/>
              <w:jc w:val="center"/>
              <w:rPr>
                <w:rFonts w:ascii="Arial" w:eastAsia="Times New Roman" w:hAnsi="Arial" w:cs="Arial"/>
                <w:sz w:val="20"/>
                <w:szCs w:val="20"/>
                <w:lang w:eastAsia="en-GB"/>
              </w:rPr>
            </w:pPr>
            <w:r w:rsidRPr="00BB3F98">
              <w:rPr>
                <w:rFonts w:ascii="Arial" w:eastAsia="Times New Roman" w:hAnsi="Arial" w:cs="Arial"/>
                <w:sz w:val="20"/>
                <w:szCs w:val="20"/>
                <w:lang w:eastAsia="en-GB"/>
              </w:rPr>
              <w:sym w:font="Wingdings" w:char="F0FC"/>
            </w:r>
          </w:p>
        </w:tc>
        <w:tc>
          <w:tcPr>
            <w:tcW w:w="567" w:type="dxa"/>
          </w:tcPr>
          <w:p w14:paraId="1305B35F" w14:textId="77777777" w:rsidR="000D6D9C" w:rsidRPr="00BB3F98" w:rsidRDefault="000D6D9C" w:rsidP="000D6D9C">
            <w:pPr>
              <w:autoSpaceDE w:val="0"/>
              <w:autoSpaceDN w:val="0"/>
              <w:adjustRightInd w:val="0"/>
              <w:spacing w:after="120"/>
              <w:jc w:val="center"/>
              <w:rPr>
                <w:rFonts w:ascii="Arial" w:eastAsia="Times New Roman" w:hAnsi="Arial" w:cs="Arial"/>
                <w:sz w:val="20"/>
                <w:szCs w:val="20"/>
                <w:lang w:eastAsia="en-GB"/>
              </w:rPr>
            </w:pPr>
            <w:r w:rsidRPr="00BB3F98">
              <w:rPr>
                <w:rFonts w:ascii="Arial" w:eastAsia="Times New Roman" w:hAnsi="Arial" w:cs="Arial"/>
                <w:sz w:val="20"/>
                <w:szCs w:val="20"/>
                <w:lang w:eastAsia="en-GB"/>
              </w:rPr>
              <w:sym w:font="Wingdings" w:char="F0FC"/>
            </w:r>
          </w:p>
        </w:tc>
        <w:tc>
          <w:tcPr>
            <w:tcW w:w="567" w:type="dxa"/>
          </w:tcPr>
          <w:p w14:paraId="5CBEFD48" w14:textId="77777777" w:rsidR="000D6D9C" w:rsidRPr="00BB3F98" w:rsidRDefault="000D6D9C" w:rsidP="000D6D9C">
            <w:pPr>
              <w:autoSpaceDE w:val="0"/>
              <w:autoSpaceDN w:val="0"/>
              <w:adjustRightInd w:val="0"/>
              <w:spacing w:after="120"/>
              <w:jc w:val="center"/>
              <w:rPr>
                <w:rFonts w:ascii="Arial" w:eastAsia="Times New Roman" w:hAnsi="Arial" w:cs="Arial"/>
                <w:sz w:val="20"/>
                <w:szCs w:val="20"/>
                <w:lang w:eastAsia="en-GB"/>
              </w:rPr>
            </w:pPr>
            <w:r w:rsidRPr="00BB3F98">
              <w:rPr>
                <w:rFonts w:ascii="Arial" w:eastAsia="Times New Roman" w:hAnsi="Arial" w:cs="Arial"/>
                <w:sz w:val="20"/>
                <w:szCs w:val="20"/>
                <w:lang w:eastAsia="en-GB"/>
              </w:rPr>
              <w:sym w:font="Wingdings" w:char="F0FC"/>
            </w:r>
          </w:p>
        </w:tc>
        <w:tc>
          <w:tcPr>
            <w:tcW w:w="567" w:type="dxa"/>
          </w:tcPr>
          <w:p w14:paraId="26078EB8" w14:textId="77777777" w:rsidR="000D6D9C" w:rsidRPr="00BB3F98" w:rsidRDefault="000D6D9C" w:rsidP="000D6D9C">
            <w:pPr>
              <w:autoSpaceDE w:val="0"/>
              <w:autoSpaceDN w:val="0"/>
              <w:adjustRightInd w:val="0"/>
              <w:spacing w:after="120"/>
              <w:jc w:val="center"/>
              <w:rPr>
                <w:rFonts w:ascii="Arial" w:eastAsia="Times New Roman" w:hAnsi="Arial" w:cs="Arial"/>
                <w:sz w:val="20"/>
                <w:szCs w:val="20"/>
                <w:lang w:eastAsia="en-GB"/>
              </w:rPr>
            </w:pPr>
            <w:r w:rsidRPr="00BB3F98">
              <w:rPr>
                <w:rFonts w:ascii="Arial" w:eastAsia="Times New Roman" w:hAnsi="Arial" w:cs="Arial"/>
                <w:sz w:val="20"/>
                <w:szCs w:val="20"/>
                <w:lang w:eastAsia="en-GB"/>
              </w:rPr>
              <w:sym w:font="Wingdings" w:char="F0FC"/>
            </w:r>
          </w:p>
        </w:tc>
        <w:tc>
          <w:tcPr>
            <w:tcW w:w="567" w:type="dxa"/>
          </w:tcPr>
          <w:p w14:paraId="0AFB0156" w14:textId="77777777" w:rsidR="000D6D9C" w:rsidRPr="00BB3F98" w:rsidRDefault="000D6D9C" w:rsidP="000D6D9C">
            <w:pPr>
              <w:autoSpaceDE w:val="0"/>
              <w:autoSpaceDN w:val="0"/>
              <w:adjustRightInd w:val="0"/>
              <w:spacing w:after="120"/>
              <w:jc w:val="center"/>
              <w:rPr>
                <w:rFonts w:ascii="Arial" w:eastAsia="Times New Roman" w:hAnsi="Arial" w:cs="Arial"/>
                <w:sz w:val="20"/>
                <w:szCs w:val="20"/>
                <w:lang w:eastAsia="en-GB"/>
              </w:rPr>
            </w:pPr>
          </w:p>
        </w:tc>
        <w:tc>
          <w:tcPr>
            <w:tcW w:w="567" w:type="dxa"/>
          </w:tcPr>
          <w:p w14:paraId="5A6F0793" w14:textId="77777777" w:rsidR="000D6D9C" w:rsidRPr="00BB3F98" w:rsidRDefault="000D6D9C" w:rsidP="000D6D9C">
            <w:pPr>
              <w:autoSpaceDE w:val="0"/>
              <w:autoSpaceDN w:val="0"/>
              <w:adjustRightInd w:val="0"/>
              <w:spacing w:after="120"/>
              <w:jc w:val="center"/>
              <w:rPr>
                <w:rFonts w:ascii="Arial" w:eastAsia="Times New Roman" w:hAnsi="Arial" w:cs="Arial"/>
                <w:sz w:val="20"/>
                <w:szCs w:val="20"/>
                <w:lang w:eastAsia="en-GB"/>
              </w:rPr>
            </w:pPr>
            <w:r w:rsidRPr="00BB3F98">
              <w:rPr>
                <w:rFonts w:ascii="Arial" w:eastAsia="Times New Roman" w:hAnsi="Arial" w:cs="Arial"/>
                <w:sz w:val="20"/>
                <w:szCs w:val="20"/>
                <w:lang w:eastAsia="en-GB"/>
              </w:rPr>
              <w:sym w:font="Wingdings" w:char="F0FC"/>
            </w:r>
          </w:p>
        </w:tc>
        <w:tc>
          <w:tcPr>
            <w:tcW w:w="567" w:type="dxa"/>
          </w:tcPr>
          <w:p w14:paraId="7082693E" w14:textId="77777777" w:rsidR="000D6D9C" w:rsidRPr="00BB3F98" w:rsidRDefault="00971C17" w:rsidP="000D6D9C">
            <w:pPr>
              <w:autoSpaceDE w:val="0"/>
              <w:autoSpaceDN w:val="0"/>
              <w:adjustRightInd w:val="0"/>
              <w:spacing w:after="120"/>
              <w:jc w:val="center"/>
              <w:rPr>
                <w:rFonts w:ascii="Arial" w:eastAsia="Times New Roman" w:hAnsi="Arial" w:cs="Arial"/>
                <w:sz w:val="20"/>
                <w:szCs w:val="20"/>
                <w:lang w:eastAsia="en-GB"/>
              </w:rPr>
            </w:pPr>
            <w:r w:rsidRPr="00BB3F98">
              <w:rPr>
                <w:rFonts w:ascii="Arial" w:eastAsia="Times New Roman" w:hAnsi="Arial" w:cs="Arial"/>
                <w:sz w:val="20"/>
                <w:szCs w:val="20"/>
                <w:lang w:eastAsia="en-GB"/>
              </w:rPr>
              <w:sym w:font="Wingdings" w:char="F0FC"/>
            </w:r>
          </w:p>
        </w:tc>
        <w:tc>
          <w:tcPr>
            <w:tcW w:w="567" w:type="dxa"/>
          </w:tcPr>
          <w:p w14:paraId="560C5D5E" w14:textId="77777777" w:rsidR="000D6D9C" w:rsidRPr="00BB3F98" w:rsidRDefault="000D6D9C" w:rsidP="000D6D9C">
            <w:pPr>
              <w:autoSpaceDE w:val="0"/>
              <w:autoSpaceDN w:val="0"/>
              <w:adjustRightInd w:val="0"/>
              <w:spacing w:after="120"/>
              <w:jc w:val="center"/>
              <w:rPr>
                <w:rFonts w:ascii="Arial" w:eastAsia="Times New Roman" w:hAnsi="Arial" w:cs="Arial"/>
                <w:sz w:val="20"/>
                <w:szCs w:val="20"/>
                <w:lang w:eastAsia="en-GB"/>
              </w:rPr>
            </w:pPr>
            <w:r w:rsidRPr="00BB3F98">
              <w:rPr>
                <w:rFonts w:ascii="Arial" w:eastAsia="Times New Roman" w:hAnsi="Arial" w:cs="Arial"/>
                <w:sz w:val="20"/>
                <w:szCs w:val="20"/>
                <w:lang w:eastAsia="en-GB"/>
              </w:rPr>
              <w:sym w:font="Wingdings" w:char="F0FC"/>
            </w:r>
          </w:p>
        </w:tc>
        <w:tc>
          <w:tcPr>
            <w:tcW w:w="567" w:type="dxa"/>
          </w:tcPr>
          <w:p w14:paraId="3366C414" w14:textId="77777777" w:rsidR="000D6D9C" w:rsidRPr="00BB3F98" w:rsidRDefault="000D6D9C" w:rsidP="000D6D9C">
            <w:pPr>
              <w:autoSpaceDE w:val="0"/>
              <w:autoSpaceDN w:val="0"/>
              <w:adjustRightInd w:val="0"/>
              <w:spacing w:after="120"/>
              <w:jc w:val="center"/>
              <w:rPr>
                <w:rFonts w:ascii="Arial" w:eastAsia="Times New Roman" w:hAnsi="Arial" w:cs="Arial"/>
                <w:sz w:val="20"/>
                <w:szCs w:val="20"/>
                <w:lang w:eastAsia="en-GB"/>
              </w:rPr>
            </w:pPr>
            <w:r w:rsidRPr="00BB3F98">
              <w:rPr>
                <w:rFonts w:ascii="Arial" w:eastAsia="Times New Roman" w:hAnsi="Arial" w:cs="Arial"/>
                <w:sz w:val="20"/>
                <w:szCs w:val="20"/>
                <w:lang w:eastAsia="en-GB"/>
              </w:rPr>
              <w:sym w:font="Wingdings" w:char="F0FC"/>
            </w:r>
          </w:p>
        </w:tc>
      </w:tr>
      <w:tr w:rsidR="000D6D9C" w:rsidRPr="00BB3F98" w14:paraId="1DC2EE6B" w14:textId="77777777" w:rsidTr="000D6D9C">
        <w:tc>
          <w:tcPr>
            <w:tcW w:w="5954" w:type="dxa"/>
          </w:tcPr>
          <w:p w14:paraId="3E86CC56" w14:textId="77777777" w:rsidR="000D6D9C" w:rsidRPr="00BB3F98" w:rsidRDefault="000D6D9C" w:rsidP="000D6D9C">
            <w:pPr>
              <w:autoSpaceDE w:val="0"/>
              <w:autoSpaceDN w:val="0"/>
              <w:adjustRightInd w:val="0"/>
              <w:spacing w:after="120"/>
              <w:jc w:val="both"/>
              <w:rPr>
                <w:rFonts w:ascii="Arial" w:eastAsia="Times New Roman" w:hAnsi="Arial" w:cs="Arial"/>
                <w:sz w:val="20"/>
                <w:szCs w:val="20"/>
                <w:lang w:eastAsia="en-GB"/>
              </w:rPr>
            </w:pPr>
            <w:r w:rsidRPr="00BB3F98">
              <w:rPr>
                <w:rFonts w:ascii="Arial" w:eastAsia="Times New Roman" w:hAnsi="Arial" w:cs="Arial"/>
                <w:sz w:val="20"/>
                <w:szCs w:val="20"/>
                <w:lang w:eastAsia="en-GB"/>
              </w:rPr>
              <w:t>The issue has led to a material impact on the accounts.</w:t>
            </w:r>
          </w:p>
        </w:tc>
        <w:tc>
          <w:tcPr>
            <w:tcW w:w="567" w:type="dxa"/>
          </w:tcPr>
          <w:p w14:paraId="5459DE8D" w14:textId="77777777" w:rsidR="000D6D9C" w:rsidRPr="00BB3F98" w:rsidRDefault="000D6D9C" w:rsidP="000D6D9C">
            <w:pPr>
              <w:autoSpaceDE w:val="0"/>
              <w:autoSpaceDN w:val="0"/>
              <w:adjustRightInd w:val="0"/>
              <w:jc w:val="center"/>
              <w:rPr>
                <w:rFonts w:ascii="Arial" w:eastAsia="Times New Roman" w:hAnsi="Arial" w:cs="Arial"/>
                <w:sz w:val="20"/>
                <w:szCs w:val="20"/>
                <w:lang w:eastAsia="en-GB"/>
              </w:rPr>
            </w:pPr>
            <w:r w:rsidRPr="00BB3F98">
              <w:rPr>
                <w:rFonts w:ascii="Arial" w:eastAsia="Times New Roman" w:hAnsi="Arial" w:cs="Arial"/>
                <w:sz w:val="20"/>
                <w:szCs w:val="20"/>
                <w:lang w:eastAsia="en-GB"/>
              </w:rPr>
              <w:sym w:font="Wingdings" w:char="F0FC"/>
            </w:r>
          </w:p>
        </w:tc>
        <w:tc>
          <w:tcPr>
            <w:tcW w:w="567" w:type="dxa"/>
          </w:tcPr>
          <w:p w14:paraId="16BBA2DD" w14:textId="77777777" w:rsidR="000D6D9C" w:rsidRPr="00BB3F98" w:rsidRDefault="000D6D9C" w:rsidP="000D6D9C">
            <w:pPr>
              <w:autoSpaceDE w:val="0"/>
              <w:autoSpaceDN w:val="0"/>
              <w:adjustRightInd w:val="0"/>
              <w:spacing w:after="120"/>
              <w:jc w:val="center"/>
              <w:rPr>
                <w:rFonts w:ascii="Arial" w:eastAsia="Times New Roman" w:hAnsi="Arial" w:cs="Arial"/>
                <w:sz w:val="20"/>
                <w:szCs w:val="20"/>
                <w:lang w:eastAsia="en-GB"/>
              </w:rPr>
            </w:pPr>
          </w:p>
        </w:tc>
        <w:tc>
          <w:tcPr>
            <w:tcW w:w="567" w:type="dxa"/>
          </w:tcPr>
          <w:p w14:paraId="3763B162" w14:textId="77777777" w:rsidR="000D6D9C" w:rsidRPr="00BB3F98" w:rsidRDefault="000D6D9C" w:rsidP="000D6D9C">
            <w:pPr>
              <w:autoSpaceDE w:val="0"/>
              <w:autoSpaceDN w:val="0"/>
              <w:adjustRightInd w:val="0"/>
              <w:spacing w:after="120"/>
              <w:jc w:val="center"/>
              <w:rPr>
                <w:rFonts w:ascii="Arial" w:eastAsia="Times New Roman" w:hAnsi="Arial" w:cs="Arial"/>
                <w:sz w:val="20"/>
                <w:szCs w:val="20"/>
                <w:lang w:eastAsia="en-GB"/>
              </w:rPr>
            </w:pPr>
          </w:p>
        </w:tc>
        <w:tc>
          <w:tcPr>
            <w:tcW w:w="567" w:type="dxa"/>
          </w:tcPr>
          <w:p w14:paraId="0698BFD1" w14:textId="77777777" w:rsidR="000D6D9C" w:rsidRPr="00BB3F98" w:rsidRDefault="000D6D9C" w:rsidP="000D6D9C">
            <w:pPr>
              <w:autoSpaceDE w:val="0"/>
              <w:autoSpaceDN w:val="0"/>
              <w:adjustRightInd w:val="0"/>
              <w:spacing w:after="120"/>
              <w:jc w:val="center"/>
              <w:rPr>
                <w:rFonts w:ascii="Arial" w:eastAsia="Times New Roman" w:hAnsi="Arial" w:cs="Arial"/>
                <w:sz w:val="20"/>
                <w:szCs w:val="20"/>
                <w:lang w:eastAsia="en-GB"/>
              </w:rPr>
            </w:pPr>
            <w:r w:rsidRPr="00BB3F98">
              <w:rPr>
                <w:rFonts w:ascii="Arial" w:eastAsia="Times New Roman" w:hAnsi="Arial" w:cs="Arial"/>
                <w:sz w:val="20"/>
                <w:szCs w:val="20"/>
                <w:lang w:eastAsia="en-GB"/>
              </w:rPr>
              <w:sym w:font="Wingdings" w:char="F0FC"/>
            </w:r>
          </w:p>
        </w:tc>
        <w:tc>
          <w:tcPr>
            <w:tcW w:w="567" w:type="dxa"/>
          </w:tcPr>
          <w:p w14:paraId="2D0365C8" w14:textId="77777777" w:rsidR="000D6D9C" w:rsidRPr="00BB3F98" w:rsidRDefault="000D6D9C" w:rsidP="000D6D9C">
            <w:pPr>
              <w:autoSpaceDE w:val="0"/>
              <w:autoSpaceDN w:val="0"/>
              <w:adjustRightInd w:val="0"/>
              <w:spacing w:after="120"/>
              <w:jc w:val="center"/>
              <w:rPr>
                <w:rFonts w:ascii="Arial" w:eastAsia="Times New Roman" w:hAnsi="Arial" w:cs="Arial"/>
                <w:sz w:val="20"/>
                <w:szCs w:val="20"/>
                <w:lang w:eastAsia="en-GB"/>
              </w:rPr>
            </w:pPr>
          </w:p>
        </w:tc>
        <w:tc>
          <w:tcPr>
            <w:tcW w:w="567" w:type="dxa"/>
          </w:tcPr>
          <w:p w14:paraId="76646D9D" w14:textId="77777777" w:rsidR="000D6D9C" w:rsidRPr="00BB3F98" w:rsidRDefault="000D6D9C" w:rsidP="000D6D9C">
            <w:pPr>
              <w:autoSpaceDE w:val="0"/>
              <w:autoSpaceDN w:val="0"/>
              <w:adjustRightInd w:val="0"/>
              <w:spacing w:after="120"/>
              <w:jc w:val="center"/>
              <w:rPr>
                <w:rFonts w:ascii="Arial" w:eastAsia="Times New Roman" w:hAnsi="Arial" w:cs="Arial"/>
                <w:sz w:val="20"/>
                <w:szCs w:val="20"/>
                <w:lang w:eastAsia="en-GB"/>
              </w:rPr>
            </w:pPr>
          </w:p>
        </w:tc>
        <w:tc>
          <w:tcPr>
            <w:tcW w:w="567" w:type="dxa"/>
          </w:tcPr>
          <w:p w14:paraId="05CE1693" w14:textId="77777777" w:rsidR="000D6D9C" w:rsidRPr="00BB3F98" w:rsidRDefault="000D6D9C" w:rsidP="000D6D9C">
            <w:pPr>
              <w:autoSpaceDE w:val="0"/>
              <w:autoSpaceDN w:val="0"/>
              <w:adjustRightInd w:val="0"/>
              <w:spacing w:after="120"/>
              <w:jc w:val="center"/>
              <w:rPr>
                <w:rFonts w:ascii="Arial" w:eastAsia="Times New Roman" w:hAnsi="Arial" w:cs="Arial"/>
                <w:sz w:val="20"/>
                <w:szCs w:val="20"/>
                <w:lang w:eastAsia="en-GB"/>
              </w:rPr>
            </w:pPr>
          </w:p>
        </w:tc>
        <w:tc>
          <w:tcPr>
            <w:tcW w:w="567" w:type="dxa"/>
          </w:tcPr>
          <w:p w14:paraId="4E44C6AA" w14:textId="77777777" w:rsidR="000D6D9C" w:rsidRPr="00BB3F98" w:rsidRDefault="000D6D9C" w:rsidP="000D6D9C">
            <w:pPr>
              <w:autoSpaceDE w:val="0"/>
              <w:autoSpaceDN w:val="0"/>
              <w:adjustRightInd w:val="0"/>
              <w:spacing w:after="120"/>
              <w:jc w:val="center"/>
              <w:rPr>
                <w:rFonts w:ascii="Arial" w:eastAsia="Times New Roman" w:hAnsi="Arial" w:cs="Arial"/>
                <w:sz w:val="20"/>
                <w:szCs w:val="20"/>
                <w:lang w:eastAsia="en-GB"/>
              </w:rPr>
            </w:pPr>
            <w:r w:rsidRPr="00BB3F98">
              <w:rPr>
                <w:rFonts w:ascii="Arial" w:eastAsia="Times New Roman" w:hAnsi="Arial" w:cs="Arial"/>
                <w:sz w:val="20"/>
                <w:szCs w:val="20"/>
                <w:lang w:eastAsia="en-GB"/>
              </w:rPr>
              <w:sym w:font="Wingdings" w:char="F0FC"/>
            </w:r>
          </w:p>
        </w:tc>
        <w:tc>
          <w:tcPr>
            <w:tcW w:w="567" w:type="dxa"/>
          </w:tcPr>
          <w:p w14:paraId="3F86499D" w14:textId="77777777" w:rsidR="000D6D9C" w:rsidRPr="00BB3F98" w:rsidRDefault="000D6D9C" w:rsidP="000D6D9C">
            <w:pPr>
              <w:autoSpaceDE w:val="0"/>
              <w:autoSpaceDN w:val="0"/>
              <w:adjustRightInd w:val="0"/>
              <w:spacing w:after="120"/>
              <w:jc w:val="center"/>
              <w:rPr>
                <w:rFonts w:ascii="Arial" w:eastAsia="Times New Roman" w:hAnsi="Arial" w:cs="Arial"/>
                <w:sz w:val="20"/>
                <w:szCs w:val="20"/>
                <w:lang w:eastAsia="en-GB"/>
              </w:rPr>
            </w:pPr>
          </w:p>
        </w:tc>
      </w:tr>
      <w:tr w:rsidR="000D6D9C" w:rsidRPr="00BB3F98" w14:paraId="05C262E6" w14:textId="77777777" w:rsidTr="000D6D9C">
        <w:tc>
          <w:tcPr>
            <w:tcW w:w="5954" w:type="dxa"/>
          </w:tcPr>
          <w:p w14:paraId="5A41454D" w14:textId="77777777" w:rsidR="000D6D9C" w:rsidRPr="00BB3F98" w:rsidRDefault="000D6D9C" w:rsidP="000D6D9C">
            <w:pPr>
              <w:autoSpaceDE w:val="0"/>
              <w:autoSpaceDN w:val="0"/>
              <w:adjustRightInd w:val="0"/>
              <w:spacing w:after="120"/>
              <w:jc w:val="both"/>
              <w:rPr>
                <w:rFonts w:ascii="Arial" w:eastAsia="Times New Roman" w:hAnsi="Arial" w:cs="Arial"/>
                <w:sz w:val="20"/>
                <w:szCs w:val="20"/>
                <w:lang w:eastAsia="en-GB"/>
              </w:rPr>
            </w:pPr>
            <w:r w:rsidRPr="00BB3F98">
              <w:rPr>
                <w:rFonts w:ascii="Arial" w:eastAsia="Times New Roman" w:hAnsi="Arial" w:cs="Arial"/>
                <w:sz w:val="20"/>
                <w:szCs w:val="20"/>
                <w:lang w:eastAsia="en-GB"/>
              </w:rPr>
              <w:t>The Audit Committee, or equivalent, has advised that it should be considered significant for this purpose.</w:t>
            </w:r>
          </w:p>
        </w:tc>
        <w:tc>
          <w:tcPr>
            <w:tcW w:w="567" w:type="dxa"/>
          </w:tcPr>
          <w:p w14:paraId="150C914A" w14:textId="77777777" w:rsidR="000D6D9C" w:rsidRPr="00BB3F98" w:rsidRDefault="000D6D9C" w:rsidP="000D6D9C">
            <w:pPr>
              <w:autoSpaceDE w:val="0"/>
              <w:autoSpaceDN w:val="0"/>
              <w:adjustRightInd w:val="0"/>
              <w:jc w:val="center"/>
              <w:rPr>
                <w:rFonts w:ascii="Arial" w:eastAsia="Times New Roman" w:hAnsi="Arial" w:cs="Arial"/>
                <w:sz w:val="20"/>
                <w:szCs w:val="20"/>
                <w:lang w:eastAsia="en-GB"/>
              </w:rPr>
            </w:pPr>
            <w:r w:rsidRPr="00BB3F98">
              <w:rPr>
                <w:rFonts w:ascii="Arial" w:eastAsia="Times New Roman" w:hAnsi="Arial" w:cs="Arial"/>
                <w:sz w:val="20"/>
                <w:szCs w:val="20"/>
                <w:lang w:eastAsia="en-GB"/>
              </w:rPr>
              <w:sym w:font="Wingdings" w:char="F0FC"/>
            </w:r>
          </w:p>
        </w:tc>
        <w:tc>
          <w:tcPr>
            <w:tcW w:w="567" w:type="dxa"/>
          </w:tcPr>
          <w:p w14:paraId="1E2E7018" w14:textId="77777777" w:rsidR="000D6D9C" w:rsidRPr="00BB3F98" w:rsidRDefault="000D6D9C" w:rsidP="000D6D9C">
            <w:pPr>
              <w:autoSpaceDE w:val="0"/>
              <w:autoSpaceDN w:val="0"/>
              <w:adjustRightInd w:val="0"/>
              <w:spacing w:after="120"/>
              <w:jc w:val="center"/>
              <w:rPr>
                <w:rFonts w:ascii="Arial" w:eastAsia="Times New Roman" w:hAnsi="Arial" w:cs="Arial"/>
                <w:sz w:val="20"/>
                <w:szCs w:val="20"/>
                <w:lang w:eastAsia="en-GB"/>
              </w:rPr>
            </w:pPr>
          </w:p>
        </w:tc>
        <w:tc>
          <w:tcPr>
            <w:tcW w:w="567" w:type="dxa"/>
          </w:tcPr>
          <w:p w14:paraId="768F02A3" w14:textId="77777777" w:rsidR="000D6D9C" w:rsidRPr="00BB3F98" w:rsidRDefault="000D6D9C" w:rsidP="000D6D9C">
            <w:pPr>
              <w:autoSpaceDE w:val="0"/>
              <w:autoSpaceDN w:val="0"/>
              <w:adjustRightInd w:val="0"/>
              <w:spacing w:after="120"/>
              <w:jc w:val="center"/>
              <w:rPr>
                <w:rFonts w:ascii="Arial" w:eastAsia="Times New Roman" w:hAnsi="Arial" w:cs="Arial"/>
                <w:sz w:val="20"/>
                <w:szCs w:val="20"/>
                <w:lang w:eastAsia="en-GB"/>
              </w:rPr>
            </w:pPr>
          </w:p>
        </w:tc>
        <w:tc>
          <w:tcPr>
            <w:tcW w:w="567" w:type="dxa"/>
          </w:tcPr>
          <w:p w14:paraId="676510B6" w14:textId="77777777" w:rsidR="000D6D9C" w:rsidRPr="00BB3F98" w:rsidRDefault="000D6D9C" w:rsidP="000D6D9C">
            <w:pPr>
              <w:autoSpaceDE w:val="0"/>
              <w:autoSpaceDN w:val="0"/>
              <w:adjustRightInd w:val="0"/>
              <w:spacing w:after="120"/>
              <w:jc w:val="center"/>
              <w:rPr>
                <w:rFonts w:ascii="Arial" w:eastAsia="Times New Roman" w:hAnsi="Arial" w:cs="Arial"/>
                <w:sz w:val="20"/>
                <w:szCs w:val="20"/>
                <w:lang w:eastAsia="en-GB"/>
              </w:rPr>
            </w:pPr>
            <w:r w:rsidRPr="00BB3F98">
              <w:rPr>
                <w:rFonts w:ascii="Arial" w:eastAsia="Times New Roman" w:hAnsi="Arial" w:cs="Arial"/>
                <w:sz w:val="20"/>
                <w:szCs w:val="20"/>
                <w:lang w:eastAsia="en-GB"/>
              </w:rPr>
              <w:sym w:font="Wingdings" w:char="F0FC"/>
            </w:r>
          </w:p>
        </w:tc>
        <w:tc>
          <w:tcPr>
            <w:tcW w:w="567" w:type="dxa"/>
          </w:tcPr>
          <w:p w14:paraId="2B3F0CBB" w14:textId="77777777" w:rsidR="000D6D9C" w:rsidRPr="00BB3F98" w:rsidRDefault="000D6D9C" w:rsidP="000D6D9C">
            <w:pPr>
              <w:autoSpaceDE w:val="0"/>
              <w:autoSpaceDN w:val="0"/>
              <w:adjustRightInd w:val="0"/>
              <w:spacing w:after="120"/>
              <w:jc w:val="center"/>
              <w:rPr>
                <w:rFonts w:ascii="Arial" w:eastAsia="Times New Roman" w:hAnsi="Arial" w:cs="Arial"/>
                <w:sz w:val="20"/>
                <w:szCs w:val="20"/>
                <w:lang w:eastAsia="en-GB"/>
              </w:rPr>
            </w:pPr>
            <w:r w:rsidRPr="00BB3F98">
              <w:rPr>
                <w:rFonts w:ascii="Arial" w:eastAsia="Times New Roman" w:hAnsi="Arial" w:cs="Arial"/>
                <w:sz w:val="20"/>
                <w:szCs w:val="20"/>
                <w:lang w:eastAsia="en-GB"/>
              </w:rPr>
              <w:sym w:font="Wingdings" w:char="F0FC"/>
            </w:r>
          </w:p>
        </w:tc>
        <w:tc>
          <w:tcPr>
            <w:tcW w:w="567" w:type="dxa"/>
          </w:tcPr>
          <w:p w14:paraId="2CD82A04" w14:textId="77777777" w:rsidR="000D6D9C" w:rsidRPr="00BB3F98" w:rsidRDefault="000D6D9C" w:rsidP="000D6D9C">
            <w:pPr>
              <w:autoSpaceDE w:val="0"/>
              <w:autoSpaceDN w:val="0"/>
              <w:adjustRightInd w:val="0"/>
              <w:spacing w:after="120"/>
              <w:jc w:val="center"/>
              <w:rPr>
                <w:rFonts w:ascii="Arial" w:eastAsia="Times New Roman" w:hAnsi="Arial" w:cs="Arial"/>
                <w:sz w:val="20"/>
                <w:szCs w:val="20"/>
                <w:lang w:eastAsia="en-GB"/>
              </w:rPr>
            </w:pPr>
          </w:p>
        </w:tc>
        <w:tc>
          <w:tcPr>
            <w:tcW w:w="567" w:type="dxa"/>
          </w:tcPr>
          <w:p w14:paraId="7BD0AB40" w14:textId="77777777" w:rsidR="000D6D9C" w:rsidRPr="00BB3F98" w:rsidRDefault="000D6D9C" w:rsidP="000D6D9C">
            <w:pPr>
              <w:autoSpaceDE w:val="0"/>
              <w:autoSpaceDN w:val="0"/>
              <w:adjustRightInd w:val="0"/>
              <w:spacing w:after="120"/>
              <w:jc w:val="center"/>
              <w:rPr>
                <w:rFonts w:ascii="Arial" w:eastAsia="Times New Roman" w:hAnsi="Arial" w:cs="Arial"/>
                <w:sz w:val="20"/>
                <w:szCs w:val="20"/>
                <w:lang w:eastAsia="en-GB"/>
              </w:rPr>
            </w:pPr>
          </w:p>
        </w:tc>
        <w:tc>
          <w:tcPr>
            <w:tcW w:w="567" w:type="dxa"/>
          </w:tcPr>
          <w:p w14:paraId="0F46A140" w14:textId="77777777" w:rsidR="000D6D9C" w:rsidRPr="00BB3F98" w:rsidRDefault="000D6D9C" w:rsidP="000D6D9C">
            <w:pPr>
              <w:autoSpaceDE w:val="0"/>
              <w:autoSpaceDN w:val="0"/>
              <w:adjustRightInd w:val="0"/>
              <w:spacing w:after="120"/>
              <w:jc w:val="center"/>
              <w:rPr>
                <w:rFonts w:ascii="Arial" w:eastAsia="Times New Roman" w:hAnsi="Arial" w:cs="Arial"/>
                <w:sz w:val="20"/>
                <w:szCs w:val="20"/>
                <w:lang w:eastAsia="en-GB"/>
              </w:rPr>
            </w:pPr>
            <w:r w:rsidRPr="00BB3F98">
              <w:rPr>
                <w:rFonts w:ascii="Arial" w:eastAsia="Times New Roman" w:hAnsi="Arial" w:cs="Arial"/>
                <w:sz w:val="20"/>
                <w:szCs w:val="20"/>
                <w:lang w:eastAsia="en-GB"/>
              </w:rPr>
              <w:sym w:font="Wingdings" w:char="F0FC"/>
            </w:r>
          </w:p>
        </w:tc>
        <w:tc>
          <w:tcPr>
            <w:tcW w:w="567" w:type="dxa"/>
          </w:tcPr>
          <w:p w14:paraId="23A4D66A" w14:textId="77777777" w:rsidR="000D6D9C" w:rsidRPr="00BB3F98" w:rsidRDefault="000D6D9C" w:rsidP="000D6D9C">
            <w:pPr>
              <w:autoSpaceDE w:val="0"/>
              <w:autoSpaceDN w:val="0"/>
              <w:adjustRightInd w:val="0"/>
              <w:spacing w:after="120"/>
              <w:jc w:val="center"/>
              <w:rPr>
                <w:rFonts w:ascii="Arial" w:eastAsia="Times New Roman" w:hAnsi="Arial" w:cs="Arial"/>
                <w:sz w:val="20"/>
                <w:szCs w:val="20"/>
                <w:lang w:eastAsia="en-GB"/>
              </w:rPr>
            </w:pPr>
            <w:r w:rsidRPr="00BB3F98">
              <w:rPr>
                <w:rFonts w:ascii="Arial" w:eastAsia="Times New Roman" w:hAnsi="Arial" w:cs="Arial"/>
                <w:sz w:val="20"/>
                <w:szCs w:val="20"/>
                <w:lang w:eastAsia="en-GB"/>
              </w:rPr>
              <w:sym w:font="Wingdings" w:char="F0FC"/>
            </w:r>
          </w:p>
        </w:tc>
      </w:tr>
      <w:tr w:rsidR="000D6D9C" w:rsidRPr="00BB3F98" w14:paraId="758DB4D6" w14:textId="77777777" w:rsidTr="000D6D9C">
        <w:tc>
          <w:tcPr>
            <w:tcW w:w="5954" w:type="dxa"/>
          </w:tcPr>
          <w:p w14:paraId="0D58C27C" w14:textId="77777777" w:rsidR="000D6D9C" w:rsidRPr="00BB3F98" w:rsidRDefault="000D6D9C" w:rsidP="000D6D9C">
            <w:pPr>
              <w:autoSpaceDE w:val="0"/>
              <w:autoSpaceDN w:val="0"/>
              <w:adjustRightInd w:val="0"/>
              <w:spacing w:after="120"/>
              <w:jc w:val="both"/>
              <w:rPr>
                <w:rFonts w:ascii="Arial" w:eastAsia="Times New Roman" w:hAnsi="Arial" w:cs="Arial"/>
                <w:sz w:val="20"/>
                <w:szCs w:val="20"/>
                <w:lang w:eastAsia="en-GB"/>
              </w:rPr>
            </w:pPr>
            <w:r w:rsidRPr="00BB3F98">
              <w:rPr>
                <w:rFonts w:ascii="Arial" w:eastAsia="Times New Roman" w:hAnsi="Arial" w:cs="Arial"/>
                <w:sz w:val="20"/>
                <w:szCs w:val="20"/>
                <w:lang w:eastAsia="en-GB"/>
              </w:rPr>
              <w:t>The Head of Audit and Risk has reported on it as significant, for this purpose, in the annual opinion on the internal control environment.</w:t>
            </w:r>
          </w:p>
        </w:tc>
        <w:tc>
          <w:tcPr>
            <w:tcW w:w="567" w:type="dxa"/>
          </w:tcPr>
          <w:p w14:paraId="2129D9FA" w14:textId="77777777" w:rsidR="000D6D9C" w:rsidRPr="00BB3F98" w:rsidRDefault="000D6D9C" w:rsidP="000D6D9C">
            <w:pPr>
              <w:autoSpaceDE w:val="0"/>
              <w:autoSpaceDN w:val="0"/>
              <w:adjustRightInd w:val="0"/>
              <w:jc w:val="center"/>
              <w:rPr>
                <w:rFonts w:ascii="Arial" w:eastAsia="Times New Roman" w:hAnsi="Arial" w:cs="Arial"/>
                <w:sz w:val="20"/>
                <w:szCs w:val="20"/>
                <w:lang w:eastAsia="en-GB"/>
              </w:rPr>
            </w:pPr>
            <w:r w:rsidRPr="00BB3F98">
              <w:rPr>
                <w:rFonts w:ascii="Arial" w:eastAsia="Times New Roman" w:hAnsi="Arial" w:cs="Arial"/>
                <w:sz w:val="20"/>
                <w:szCs w:val="20"/>
                <w:lang w:eastAsia="en-GB"/>
              </w:rPr>
              <w:sym w:font="Wingdings" w:char="F0FC"/>
            </w:r>
          </w:p>
        </w:tc>
        <w:tc>
          <w:tcPr>
            <w:tcW w:w="567" w:type="dxa"/>
          </w:tcPr>
          <w:p w14:paraId="5D9C17DF" w14:textId="77777777" w:rsidR="000D6D9C" w:rsidRPr="00BB3F98" w:rsidRDefault="000D6D9C" w:rsidP="000D6D9C">
            <w:pPr>
              <w:autoSpaceDE w:val="0"/>
              <w:autoSpaceDN w:val="0"/>
              <w:adjustRightInd w:val="0"/>
              <w:spacing w:after="120"/>
              <w:jc w:val="center"/>
              <w:rPr>
                <w:rFonts w:ascii="Arial" w:eastAsia="Times New Roman" w:hAnsi="Arial" w:cs="Arial"/>
                <w:sz w:val="20"/>
                <w:szCs w:val="20"/>
                <w:lang w:eastAsia="en-GB"/>
              </w:rPr>
            </w:pPr>
          </w:p>
        </w:tc>
        <w:tc>
          <w:tcPr>
            <w:tcW w:w="567" w:type="dxa"/>
          </w:tcPr>
          <w:p w14:paraId="484CADDD" w14:textId="77777777" w:rsidR="000D6D9C" w:rsidRPr="00BB3F98" w:rsidRDefault="000D6D9C" w:rsidP="000D6D9C">
            <w:pPr>
              <w:autoSpaceDE w:val="0"/>
              <w:autoSpaceDN w:val="0"/>
              <w:adjustRightInd w:val="0"/>
              <w:spacing w:after="120"/>
              <w:jc w:val="center"/>
              <w:rPr>
                <w:rFonts w:ascii="Arial" w:eastAsia="Times New Roman" w:hAnsi="Arial" w:cs="Arial"/>
                <w:sz w:val="20"/>
                <w:szCs w:val="20"/>
                <w:lang w:eastAsia="en-GB"/>
              </w:rPr>
            </w:pPr>
          </w:p>
        </w:tc>
        <w:tc>
          <w:tcPr>
            <w:tcW w:w="567" w:type="dxa"/>
          </w:tcPr>
          <w:p w14:paraId="40B6C7AF" w14:textId="77777777" w:rsidR="000D6D9C" w:rsidRPr="00BB3F98" w:rsidRDefault="000D6D9C" w:rsidP="000D6D9C">
            <w:pPr>
              <w:autoSpaceDE w:val="0"/>
              <w:autoSpaceDN w:val="0"/>
              <w:adjustRightInd w:val="0"/>
              <w:spacing w:after="120"/>
              <w:jc w:val="center"/>
              <w:rPr>
                <w:rFonts w:ascii="Arial" w:eastAsia="Times New Roman" w:hAnsi="Arial" w:cs="Arial"/>
                <w:sz w:val="20"/>
                <w:szCs w:val="20"/>
                <w:lang w:eastAsia="en-GB"/>
              </w:rPr>
            </w:pPr>
            <w:r w:rsidRPr="00BB3F98">
              <w:rPr>
                <w:rFonts w:ascii="Arial" w:eastAsia="Times New Roman" w:hAnsi="Arial" w:cs="Arial"/>
                <w:sz w:val="20"/>
                <w:szCs w:val="20"/>
                <w:lang w:eastAsia="en-GB"/>
              </w:rPr>
              <w:sym w:font="Wingdings" w:char="F0FC"/>
            </w:r>
          </w:p>
        </w:tc>
        <w:tc>
          <w:tcPr>
            <w:tcW w:w="567" w:type="dxa"/>
          </w:tcPr>
          <w:p w14:paraId="3F175A98" w14:textId="77777777" w:rsidR="000D6D9C" w:rsidRPr="00BB3F98" w:rsidRDefault="000D6D9C" w:rsidP="000D6D9C">
            <w:pPr>
              <w:autoSpaceDE w:val="0"/>
              <w:autoSpaceDN w:val="0"/>
              <w:adjustRightInd w:val="0"/>
              <w:spacing w:after="120"/>
              <w:jc w:val="center"/>
              <w:rPr>
                <w:rFonts w:ascii="Arial" w:eastAsia="Times New Roman" w:hAnsi="Arial" w:cs="Arial"/>
                <w:sz w:val="20"/>
                <w:szCs w:val="20"/>
                <w:lang w:eastAsia="en-GB"/>
              </w:rPr>
            </w:pPr>
            <w:r w:rsidRPr="00BB3F98">
              <w:rPr>
                <w:rFonts w:ascii="Arial" w:eastAsia="Times New Roman" w:hAnsi="Arial" w:cs="Arial"/>
                <w:sz w:val="20"/>
                <w:szCs w:val="20"/>
                <w:lang w:eastAsia="en-GB"/>
              </w:rPr>
              <w:sym w:font="Wingdings" w:char="F0FC"/>
            </w:r>
          </w:p>
        </w:tc>
        <w:tc>
          <w:tcPr>
            <w:tcW w:w="567" w:type="dxa"/>
          </w:tcPr>
          <w:p w14:paraId="7DFB40C6" w14:textId="77777777" w:rsidR="000D6D9C" w:rsidRPr="00BB3F98" w:rsidRDefault="000D6D9C" w:rsidP="000D6D9C">
            <w:pPr>
              <w:autoSpaceDE w:val="0"/>
              <w:autoSpaceDN w:val="0"/>
              <w:adjustRightInd w:val="0"/>
              <w:spacing w:after="120"/>
              <w:jc w:val="center"/>
              <w:rPr>
                <w:rFonts w:ascii="Arial" w:eastAsia="Times New Roman" w:hAnsi="Arial" w:cs="Arial"/>
                <w:sz w:val="20"/>
                <w:szCs w:val="20"/>
                <w:lang w:eastAsia="en-GB"/>
              </w:rPr>
            </w:pPr>
          </w:p>
        </w:tc>
        <w:tc>
          <w:tcPr>
            <w:tcW w:w="567" w:type="dxa"/>
          </w:tcPr>
          <w:p w14:paraId="2AF0D7AE" w14:textId="77777777" w:rsidR="000D6D9C" w:rsidRPr="00BB3F98" w:rsidRDefault="000D6D9C" w:rsidP="000D6D9C">
            <w:pPr>
              <w:autoSpaceDE w:val="0"/>
              <w:autoSpaceDN w:val="0"/>
              <w:adjustRightInd w:val="0"/>
              <w:spacing w:after="120"/>
              <w:jc w:val="center"/>
              <w:rPr>
                <w:rFonts w:ascii="Arial" w:eastAsia="Times New Roman" w:hAnsi="Arial" w:cs="Arial"/>
                <w:sz w:val="20"/>
                <w:szCs w:val="20"/>
                <w:lang w:eastAsia="en-GB"/>
              </w:rPr>
            </w:pPr>
          </w:p>
        </w:tc>
        <w:tc>
          <w:tcPr>
            <w:tcW w:w="567" w:type="dxa"/>
          </w:tcPr>
          <w:p w14:paraId="748EE97A" w14:textId="77777777" w:rsidR="000D6D9C" w:rsidRPr="00BB3F98" w:rsidRDefault="000D6D9C" w:rsidP="000D6D9C">
            <w:pPr>
              <w:autoSpaceDE w:val="0"/>
              <w:autoSpaceDN w:val="0"/>
              <w:adjustRightInd w:val="0"/>
              <w:spacing w:after="120"/>
              <w:jc w:val="center"/>
              <w:rPr>
                <w:rFonts w:ascii="Arial" w:eastAsia="Times New Roman" w:hAnsi="Arial" w:cs="Arial"/>
                <w:sz w:val="20"/>
                <w:szCs w:val="20"/>
                <w:lang w:eastAsia="en-GB"/>
              </w:rPr>
            </w:pPr>
            <w:r w:rsidRPr="00BB3F98">
              <w:rPr>
                <w:rFonts w:ascii="Arial" w:eastAsia="Times New Roman" w:hAnsi="Arial" w:cs="Arial"/>
                <w:sz w:val="20"/>
                <w:szCs w:val="20"/>
                <w:lang w:eastAsia="en-GB"/>
              </w:rPr>
              <w:sym w:font="Wingdings" w:char="F0FC"/>
            </w:r>
          </w:p>
        </w:tc>
        <w:tc>
          <w:tcPr>
            <w:tcW w:w="567" w:type="dxa"/>
          </w:tcPr>
          <w:p w14:paraId="299FE129" w14:textId="77777777" w:rsidR="000D6D9C" w:rsidRPr="00BB3F98" w:rsidRDefault="000D6D9C" w:rsidP="000D6D9C">
            <w:pPr>
              <w:autoSpaceDE w:val="0"/>
              <w:autoSpaceDN w:val="0"/>
              <w:adjustRightInd w:val="0"/>
              <w:spacing w:after="120"/>
              <w:jc w:val="center"/>
              <w:rPr>
                <w:rFonts w:ascii="Arial" w:eastAsia="Times New Roman" w:hAnsi="Arial" w:cs="Arial"/>
                <w:sz w:val="20"/>
                <w:szCs w:val="20"/>
                <w:lang w:eastAsia="en-GB"/>
              </w:rPr>
            </w:pPr>
            <w:r w:rsidRPr="00BB3F98">
              <w:rPr>
                <w:rFonts w:ascii="Arial" w:eastAsia="Times New Roman" w:hAnsi="Arial" w:cs="Arial"/>
                <w:sz w:val="20"/>
                <w:szCs w:val="20"/>
                <w:lang w:eastAsia="en-GB"/>
              </w:rPr>
              <w:sym w:font="Wingdings" w:char="F0FC"/>
            </w:r>
          </w:p>
        </w:tc>
      </w:tr>
      <w:tr w:rsidR="000D6D9C" w:rsidRPr="00BB3F98" w14:paraId="059229B2" w14:textId="77777777" w:rsidTr="000D6D9C">
        <w:tc>
          <w:tcPr>
            <w:tcW w:w="5954" w:type="dxa"/>
          </w:tcPr>
          <w:p w14:paraId="585F78DE" w14:textId="77777777" w:rsidR="000D6D9C" w:rsidRPr="00BB3F98" w:rsidRDefault="000D6D9C" w:rsidP="000D6D9C">
            <w:pPr>
              <w:shd w:val="clear" w:color="auto" w:fill="FFFFFF"/>
              <w:spacing w:before="100" w:beforeAutospacing="1" w:after="100" w:afterAutospacing="1"/>
              <w:rPr>
                <w:rFonts w:ascii="Arial" w:eastAsia="Times New Roman" w:hAnsi="Arial" w:cs="Arial"/>
                <w:sz w:val="20"/>
                <w:szCs w:val="20"/>
                <w:lang w:eastAsia="en-GB"/>
              </w:rPr>
            </w:pPr>
            <w:r w:rsidRPr="00BB3F98">
              <w:rPr>
                <w:rFonts w:ascii="Arial" w:eastAsia="Times New Roman" w:hAnsi="Arial" w:cs="Arial"/>
                <w:sz w:val="20"/>
                <w:szCs w:val="20"/>
                <w:lang w:eastAsia="en-GB"/>
              </w:rPr>
              <w:t>The issue, or its impact, has attracted significant public interest or has seriously damaged the reputation of the organisation.</w:t>
            </w:r>
          </w:p>
        </w:tc>
        <w:tc>
          <w:tcPr>
            <w:tcW w:w="567" w:type="dxa"/>
          </w:tcPr>
          <w:p w14:paraId="61ACB1B1" w14:textId="77777777" w:rsidR="000D6D9C" w:rsidRPr="00BB3F98" w:rsidRDefault="000D6D9C" w:rsidP="000D6D9C">
            <w:pPr>
              <w:autoSpaceDE w:val="0"/>
              <w:autoSpaceDN w:val="0"/>
              <w:adjustRightInd w:val="0"/>
              <w:jc w:val="center"/>
              <w:rPr>
                <w:rFonts w:ascii="Arial" w:eastAsia="Times New Roman" w:hAnsi="Arial" w:cs="Arial"/>
                <w:sz w:val="20"/>
                <w:szCs w:val="20"/>
                <w:lang w:eastAsia="en-GB"/>
              </w:rPr>
            </w:pPr>
            <w:r w:rsidRPr="00BB3F98">
              <w:rPr>
                <w:rFonts w:ascii="Arial" w:eastAsia="Times New Roman" w:hAnsi="Arial" w:cs="Arial"/>
                <w:sz w:val="20"/>
                <w:szCs w:val="20"/>
                <w:lang w:eastAsia="en-GB"/>
              </w:rPr>
              <w:sym w:font="Wingdings" w:char="F0FC"/>
            </w:r>
          </w:p>
        </w:tc>
        <w:tc>
          <w:tcPr>
            <w:tcW w:w="567" w:type="dxa"/>
          </w:tcPr>
          <w:p w14:paraId="3929B35C" w14:textId="77777777" w:rsidR="000D6D9C" w:rsidRPr="00BB3F98" w:rsidRDefault="000D6D9C" w:rsidP="000D6D9C">
            <w:pPr>
              <w:autoSpaceDE w:val="0"/>
              <w:autoSpaceDN w:val="0"/>
              <w:adjustRightInd w:val="0"/>
              <w:spacing w:after="120"/>
              <w:jc w:val="center"/>
              <w:rPr>
                <w:rFonts w:ascii="Arial" w:eastAsia="Times New Roman" w:hAnsi="Arial" w:cs="Arial"/>
                <w:sz w:val="20"/>
                <w:szCs w:val="20"/>
                <w:lang w:eastAsia="en-GB"/>
              </w:rPr>
            </w:pPr>
            <w:r w:rsidRPr="00BB3F98">
              <w:rPr>
                <w:rFonts w:ascii="Arial" w:eastAsia="Times New Roman" w:hAnsi="Arial" w:cs="Arial"/>
                <w:sz w:val="20"/>
                <w:szCs w:val="20"/>
                <w:lang w:eastAsia="en-GB"/>
              </w:rPr>
              <w:sym w:font="Wingdings" w:char="F0FC"/>
            </w:r>
          </w:p>
        </w:tc>
        <w:tc>
          <w:tcPr>
            <w:tcW w:w="567" w:type="dxa"/>
          </w:tcPr>
          <w:p w14:paraId="0FD2A505" w14:textId="77777777" w:rsidR="000D6D9C" w:rsidRPr="00BB3F98" w:rsidRDefault="000D6D9C" w:rsidP="000D6D9C">
            <w:pPr>
              <w:autoSpaceDE w:val="0"/>
              <w:autoSpaceDN w:val="0"/>
              <w:adjustRightInd w:val="0"/>
              <w:spacing w:after="120"/>
              <w:jc w:val="center"/>
              <w:rPr>
                <w:rFonts w:ascii="Arial" w:eastAsia="Times New Roman" w:hAnsi="Arial" w:cs="Arial"/>
                <w:sz w:val="20"/>
                <w:szCs w:val="20"/>
                <w:lang w:eastAsia="en-GB"/>
              </w:rPr>
            </w:pPr>
            <w:r w:rsidRPr="00BB3F98">
              <w:rPr>
                <w:rFonts w:ascii="Arial" w:eastAsia="Times New Roman" w:hAnsi="Arial" w:cs="Arial"/>
                <w:sz w:val="20"/>
                <w:szCs w:val="20"/>
                <w:lang w:eastAsia="en-GB"/>
              </w:rPr>
              <w:sym w:font="Wingdings" w:char="F0FC"/>
            </w:r>
          </w:p>
        </w:tc>
        <w:tc>
          <w:tcPr>
            <w:tcW w:w="567" w:type="dxa"/>
          </w:tcPr>
          <w:p w14:paraId="1F116711" w14:textId="77777777" w:rsidR="000D6D9C" w:rsidRPr="00BB3F98" w:rsidRDefault="000D6D9C" w:rsidP="000D6D9C">
            <w:pPr>
              <w:autoSpaceDE w:val="0"/>
              <w:autoSpaceDN w:val="0"/>
              <w:adjustRightInd w:val="0"/>
              <w:spacing w:after="120"/>
              <w:jc w:val="center"/>
              <w:rPr>
                <w:rFonts w:ascii="Arial" w:eastAsia="Times New Roman" w:hAnsi="Arial" w:cs="Arial"/>
                <w:sz w:val="20"/>
                <w:szCs w:val="20"/>
                <w:lang w:eastAsia="en-GB"/>
              </w:rPr>
            </w:pPr>
            <w:r w:rsidRPr="00BB3F98">
              <w:rPr>
                <w:rFonts w:ascii="Arial" w:eastAsia="Times New Roman" w:hAnsi="Arial" w:cs="Arial"/>
                <w:sz w:val="20"/>
                <w:szCs w:val="20"/>
                <w:lang w:eastAsia="en-GB"/>
              </w:rPr>
              <w:sym w:font="Wingdings" w:char="F0FC"/>
            </w:r>
          </w:p>
        </w:tc>
        <w:tc>
          <w:tcPr>
            <w:tcW w:w="567" w:type="dxa"/>
          </w:tcPr>
          <w:p w14:paraId="79ABBE21" w14:textId="77777777" w:rsidR="000D6D9C" w:rsidRPr="00BB3F98" w:rsidRDefault="000D6D9C" w:rsidP="000D6D9C">
            <w:pPr>
              <w:autoSpaceDE w:val="0"/>
              <w:autoSpaceDN w:val="0"/>
              <w:adjustRightInd w:val="0"/>
              <w:spacing w:after="120"/>
              <w:jc w:val="center"/>
              <w:rPr>
                <w:rFonts w:ascii="Arial" w:eastAsia="Times New Roman" w:hAnsi="Arial" w:cs="Arial"/>
                <w:sz w:val="20"/>
                <w:szCs w:val="20"/>
                <w:lang w:eastAsia="en-GB"/>
              </w:rPr>
            </w:pPr>
            <w:r w:rsidRPr="00BB3F98">
              <w:rPr>
                <w:rFonts w:ascii="Arial" w:eastAsia="Times New Roman" w:hAnsi="Arial" w:cs="Arial"/>
                <w:sz w:val="20"/>
                <w:szCs w:val="20"/>
                <w:lang w:eastAsia="en-GB"/>
              </w:rPr>
              <w:sym w:font="Wingdings" w:char="F0FC"/>
            </w:r>
          </w:p>
        </w:tc>
        <w:tc>
          <w:tcPr>
            <w:tcW w:w="567" w:type="dxa"/>
          </w:tcPr>
          <w:p w14:paraId="4CA9F8B7" w14:textId="77777777" w:rsidR="000D6D9C" w:rsidRPr="00BB3F98" w:rsidRDefault="000D6D9C" w:rsidP="000D6D9C">
            <w:pPr>
              <w:autoSpaceDE w:val="0"/>
              <w:autoSpaceDN w:val="0"/>
              <w:adjustRightInd w:val="0"/>
              <w:spacing w:after="120"/>
              <w:jc w:val="center"/>
              <w:rPr>
                <w:rFonts w:ascii="Arial" w:eastAsia="Times New Roman" w:hAnsi="Arial" w:cs="Arial"/>
                <w:sz w:val="20"/>
                <w:szCs w:val="20"/>
                <w:lang w:eastAsia="en-GB"/>
              </w:rPr>
            </w:pPr>
            <w:r w:rsidRPr="00BB3F98">
              <w:rPr>
                <w:rFonts w:ascii="Arial" w:eastAsia="Times New Roman" w:hAnsi="Arial" w:cs="Arial"/>
                <w:sz w:val="20"/>
                <w:szCs w:val="20"/>
                <w:lang w:eastAsia="en-GB"/>
              </w:rPr>
              <w:sym w:font="Wingdings" w:char="F0FC"/>
            </w:r>
          </w:p>
        </w:tc>
        <w:tc>
          <w:tcPr>
            <w:tcW w:w="567" w:type="dxa"/>
          </w:tcPr>
          <w:p w14:paraId="2FB760B8" w14:textId="77777777" w:rsidR="000D6D9C" w:rsidRPr="00BB3F98" w:rsidRDefault="000D6D9C" w:rsidP="000D6D9C">
            <w:pPr>
              <w:autoSpaceDE w:val="0"/>
              <w:autoSpaceDN w:val="0"/>
              <w:adjustRightInd w:val="0"/>
              <w:spacing w:after="120"/>
              <w:jc w:val="center"/>
              <w:rPr>
                <w:rFonts w:ascii="Arial" w:eastAsia="Times New Roman" w:hAnsi="Arial" w:cs="Arial"/>
                <w:sz w:val="20"/>
                <w:szCs w:val="20"/>
                <w:lang w:eastAsia="en-GB"/>
              </w:rPr>
            </w:pPr>
          </w:p>
        </w:tc>
        <w:tc>
          <w:tcPr>
            <w:tcW w:w="567" w:type="dxa"/>
          </w:tcPr>
          <w:p w14:paraId="29063D53" w14:textId="77777777" w:rsidR="000D6D9C" w:rsidRPr="00BB3F98" w:rsidRDefault="000D6D9C" w:rsidP="000D6D9C">
            <w:pPr>
              <w:autoSpaceDE w:val="0"/>
              <w:autoSpaceDN w:val="0"/>
              <w:adjustRightInd w:val="0"/>
              <w:spacing w:after="120"/>
              <w:jc w:val="center"/>
              <w:rPr>
                <w:rFonts w:ascii="Arial" w:eastAsia="Times New Roman" w:hAnsi="Arial" w:cs="Arial"/>
                <w:sz w:val="20"/>
                <w:szCs w:val="20"/>
                <w:lang w:eastAsia="en-GB"/>
              </w:rPr>
            </w:pPr>
          </w:p>
        </w:tc>
        <w:tc>
          <w:tcPr>
            <w:tcW w:w="567" w:type="dxa"/>
          </w:tcPr>
          <w:p w14:paraId="6F6B61C1" w14:textId="77777777" w:rsidR="000D6D9C" w:rsidRPr="00BB3F98" w:rsidRDefault="000D6D9C" w:rsidP="000D6D9C">
            <w:pPr>
              <w:autoSpaceDE w:val="0"/>
              <w:autoSpaceDN w:val="0"/>
              <w:adjustRightInd w:val="0"/>
              <w:spacing w:after="120"/>
              <w:jc w:val="center"/>
              <w:rPr>
                <w:rFonts w:ascii="Arial" w:eastAsia="Times New Roman" w:hAnsi="Arial" w:cs="Arial"/>
                <w:sz w:val="20"/>
                <w:szCs w:val="20"/>
                <w:lang w:eastAsia="en-GB"/>
              </w:rPr>
            </w:pPr>
            <w:r w:rsidRPr="00BB3F98">
              <w:rPr>
                <w:rFonts w:ascii="Arial" w:eastAsia="Times New Roman" w:hAnsi="Arial" w:cs="Arial"/>
                <w:sz w:val="20"/>
                <w:szCs w:val="20"/>
                <w:lang w:eastAsia="en-GB"/>
              </w:rPr>
              <w:sym w:font="Wingdings" w:char="F0FC"/>
            </w:r>
          </w:p>
        </w:tc>
      </w:tr>
      <w:tr w:rsidR="000D6D9C" w:rsidRPr="0070752E" w14:paraId="6570BCAD" w14:textId="77777777" w:rsidTr="000D6D9C">
        <w:tc>
          <w:tcPr>
            <w:tcW w:w="5954" w:type="dxa"/>
          </w:tcPr>
          <w:p w14:paraId="53563973" w14:textId="77777777" w:rsidR="000D6D9C" w:rsidRPr="00BB3F98" w:rsidRDefault="000D6D9C" w:rsidP="000D6D9C">
            <w:pPr>
              <w:autoSpaceDE w:val="0"/>
              <w:autoSpaceDN w:val="0"/>
              <w:adjustRightInd w:val="0"/>
              <w:spacing w:after="120"/>
              <w:jc w:val="both"/>
              <w:rPr>
                <w:rFonts w:ascii="Arial" w:eastAsia="Times New Roman" w:hAnsi="Arial" w:cs="Arial"/>
                <w:sz w:val="20"/>
                <w:szCs w:val="20"/>
                <w:lang w:eastAsia="en-GB"/>
              </w:rPr>
            </w:pPr>
            <w:r w:rsidRPr="00BB3F98">
              <w:rPr>
                <w:rFonts w:ascii="Arial" w:eastAsia="Times New Roman" w:hAnsi="Arial" w:cs="Arial"/>
                <w:sz w:val="20"/>
                <w:szCs w:val="20"/>
                <w:lang w:eastAsia="en-GB"/>
              </w:rPr>
              <w:t>The issue has resulted in formal action being taken by the Chief Financial Officer and/or the Monitoring Officer.</w:t>
            </w:r>
          </w:p>
        </w:tc>
        <w:tc>
          <w:tcPr>
            <w:tcW w:w="567" w:type="dxa"/>
          </w:tcPr>
          <w:p w14:paraId="2DE6DBED" w14:textId="77777777" w:rsidR="000D6D9C" w:rsidRPr="00BB3F98" w:rsidRDefault="000D6D9C" w:rsidP="000D6D9C">
            <w:pPr>
              <w:autoSpaceDE w:val="0"/>
              <w:autoSpaceDN w:val="0"/>
              <w:adjustRightInd w:val="0"/>
              <w:jc w:val="center"/>
              <w:rPr>
                <w:rFonts w:ascii="Arial" w:eastAsia="Times New Roman" w:hAnsi="Arial" w:cs="Arial"/>
                <w:sz w:val="20"/>
                <w:szCs w:val="20"/>
                <w:lang w:eastAsia="en-GB"/>
              </w:rPr>
            </w:pPr>
            <w:r w:rsidRPr="00BB3F98">
              <w:rPr>
                <w:rFonts w:ascii="Arial" w:eastAsia="Times New Roman" w:hAnsi="Arial" w:cs="Arial"/>
                <w:sz w:val="20"/>
                <w:szCs w:val="20"/>
                <w:lang w:eastAsia="en-GB"/>
              </w:rPr>
              <w:sym w:font="Wingdings" w:char="F0FC"/>
            </w:r>
          </w:p>
        </w:tc>
        <w:tc>
          <w:tcPr>
            <w:tcW w:w="567" w:type="dxa"/>
          </w:tcPr>
          <w:p w14:paraId="0C8FE333" w14:textId="77777777" w:rsidR="000D6D9C" w:rsidRPr="00BB3F98" w:rsidRDefault="000D6D9C" w:rsidP="000D6D9C">
            <w:pPr>
              <w:autoSpaceDE w:val="0"/>
              <w:autoSpaceDN w:val="0"/>
              <w:adjustRightInd w:val="0"/>
              <w:spacing w:after="120"/>
              <w:jc w:val="center"/>
              <w:rPr>
                <w:rFonts w:ascii="Arial" w:eastAsia="Times New Roman" w:hAnsi="Arial" w:cs="Arial"/>
                <w:sz w:val="20"/>
                <w:szCs w:val="20"/>
                <w:lang w:eastAsia="en-GB"/>
              </w:rPr>
            </w:pPr>
            <w:r w:rsidRPr="00BB3F98">
              <w:rPr>
                <w:rFonts w:ascii="Arial" w:eastAsia="Times New Roman" w:hAnsi="Arial" w:cs="Arial"/>
                <w:sz w:val="20"/>
                <w:szCs w:val="20"/>
                <w:lang w:eastAsia="en-GB"/>
              </w:rPr>
              <w:sym w:font="Wingdings" w:char="F0FC"/>
            </w:r>
          </w:p>
        </w:tc>
        <w:tc>
          <w:tcPr>
            <w:tcW w:w="567" w:type="dxa"/>
          </w:tcPr>
          <w:p w14:paraId="070BD5AD" w14:textId="77777777" w:rsidR="000D6D9C" w:rsidRPr="00BB3F98" w:rsidRDefault="000D6D9C" w:rsidP="000D6D9C">
            <w:pPr>
              <w:autoSpaceDE w:val="0"/>
              <w:autoSpaceDN w:val="0"/>
              <w:adjustRightInd w:val="0"/>
              <w:spacing w:after="120"/>
              <w:jc w:val="center"/>
              <w:rPr>
                <w:rFonts w:ascii="Arial" w:eastAsia="Times New Roman" w:hAnsi="Arial" w:cs="Arial"/>
                <w:sz w:val="20"/>
                <w:szCs w:val="20"/>
                <w:lang w:eastAsia="en-GB"/>
              </w:rPr>
            </w:pPr>
          </w:p>
        </w:tc>
        <w:tc>
          <w:tcPr>
            <w:tcW w:w="567" w:type="dxa"/>
          </w:tcPr>
          <w:p w14:paraId="6C10FF86" w14:textId="77777777" w:rsidR="000D6D9C" w:rsidRPr="00BB3F98" w:rsidRDefault="000D6D9C" w:rsidP="000D6D9C">
            <w:pPr>
              <w:autoSpaceDE w:val="0"/>
              <w:autoSpaceDN w:val="0"/>
              <w:adjustRightInd w:val="0"/>
              <w:spacing w:after="120"/>
              <w:jc w:val="center"/>
              <w:rPr>
                <w:rFonts w:ascii="Arial" w:eastAsia="Times New Roman" w:hAnsi="Arial" w:cs="Arial"/>
                <w:sz w:val="20"/>
                <w:szCs w:val="20"/>
                <w:lang w:eastAsia="en-GB"/>
              </w:rPr>
            </w:pPr>
            <w:r w:rsidRPr="00BB3F98">
              <w:rPr>
                <w:rFonts w:ascii="Arial" w:eastAsia="Times New Roman" w:hAnsi="Arial" w:cs="Arial"/>
                <w:sz w:val="20"/>
                <w:szCs w:val="20"/>
                <w:lang w:eastAsia="en-GB"/>
              </w:rPr>
              <w:sym w:font="Wingdings" w:char="F0FC"/>
            </w:r>
          </w:p>
        </w:tc>
        <w:tc>
          <w:tcPr>
            <w:tcW w:w="567" w:type="dxa"/>
          </w:tcPr>
          <w:p w14:paraId="6327A1ED" w14:textId="77777777" w:rsidR="000D6D9C" w:rsidRPr="00BB3F98" w:rsidRDefault="000D6D9C" w:rsidP="000D6D9C">
            <w:pPr>
              <w:autoSpaceDE w:val="0"/>
              <w:autoSpaceDN w:val="0"/>
              <w:adjustRightInd w:val="0"/>
              <w:spacing w:after="120"/>
              <w:jc w:val="center"/>
              <w:rPr>
                <w:rFonts w:ascii="Arial" w:eastAsia="Times New Roman" w:hAnsi="Arial" w:cs="Arial"/>
                <w:sz w:val="20"/>
                <w:szCs w:val="20"/>
                <w:lang w:eastAsia="en-GB"/>
              </w:rPr>
            </w:pPr>
          </w:p>
        </w:tc>
        <w:tc>
          <w:tcPr>
            <w:tcW w:w="567" w:type="dxa"/>
          </w:tcPr>
          <w:p w14:paraId="027BF0D2" w14:textId="77777777" w:rsidR="000D6D9C" w:rsidRPr="00BB3F98" w:rsidRDefault="000D6D9C" w:rsidP="000D6D9C">
            <w:pPr>
              <w:autoSpaceDE w:val="0"/>
              <w:autoSpaceDN w:val="0"/>
              <w:adjustRightInd w:val="0"/>
              <w:spacing w:after="120"/>
              <w:jc w:val="center"/>
              <w:rPr>
                <w:rFonts w:ascii="Arial" w:eastAsia="Times New Roman" w:hAnsi="Arial" w:cs="Arial"/>
                <w:sz w:val="20"/>
                <w:szCs w:val="20"/>
                <w:lang w:eastAsia="en-GB"/>
              </w:rPr>
            </w:pPr>
          </w:p>
        </w:tc>
        <w:tc>
          <w:tcPr>
            <w:tcW w:w="567" w:type="dxa"/>
          </w:tcPr>
          <w:p w14:paraId="67D25518" w14:textId="77777777" w:rsidR="000D6D9C" w:rsidRPr="00BB3F98" w:rsidRDefault="000D6D9C" w:rsidP="000D6D9C">
            <w:pPr>
              <w:autoSpaceDE w:val="0"/>
              <w:autoSpaceDN w:val="0"/>
              <w:adjustRightInd w:val="0"/>
              <w:spacing w:after="120"/>
              <w:jc w:val="center"/>
              <w:rPr>
                <w:rFonts w:ascii="Arial" w:eastAsia="Times New Roman" w:hAnsi="Arial" w:cs="Arial"/>
                <w:sz w:val="20"/>
                <w:szCs w:val="20"/>
                <w:lang w:eastAsia="en-GB"/>
              </w:rPr>
            </w:pPr>
          </w:p>
        </w:tc>
        <w:tc>
          <w:tcPr>
            <w:tcW w:w="567" w:type="dxa"/>
          </w:tcPr>
          <w:p w14:paraId="0B176B64" w14:textId="77777777" w:rsidR="000D6D9C" w:rsidRPr="00BB3F98" w:rsidRDefault="000D6D9C" w:rsidP="000D6D9C">
            <w:pPr>
              <w:autoSpaceDE w:val="0"/>
              <w:autoSpaceDN w:val="0"/>
              <w:adjustRightInd w:val="0"/>
              <w:spacing w:after="120"/>
              <w:jc w:val="center"/>
              <w:rPr>
                <w:rFonts w:ascii="Arial" w:eastAsia="Times New Roman" w:hAnsi="Arial" w:cs="Arial"/>
                <w:sz w:val="20"/>
                <w:szCs w:val="20"/>
                <w:lang w:eastAsia="en-GB"/>
              </w:rPr>
            </w:pPr>
            <w:r w:rsidRPr="00BB3F98">
              <w:rPr>
                <w:rFonts w:ascii="Arial" w:eastAsia="Times New Roman" w:hAnsi="Arial" w:cs="Arial"/>
                <w:sz w:val="20"/>
                <w:szCs w:val="20"/>
                <w:lang w:eastAsia="en-GB"/>
              </w:rPr>
              <w:sym w:font="Wingdings" w:char="F0FC"/>
            </w:r>
          </w:p>
        </w:tc>
        <w:tc>
          <w:tcPr>
            <w:tcW w:w="567" w:type="dxa"/>
          </w:tcPr>
          <w:p w14:paraId="1C7F9480" w14:textId="77777777" w:rsidR="000D6D9C" w:rsidRPr="00BB3F98" w:rsidRDefault="000D6D9C" w:rsidP="000D6D9C">
            <w:pPr>
              <w:autoSpaceDE w:val="0"/>
              <w:autoSpaceDN w:val="0"/>
              <w:adjustRightInd w:val="0"/>
              <w:spacing w:after="120"/>
              <w:jc w:val="center"/>
              <w:rPr>
                <w:rFonts w:ascii="Arial" w:eastAsia="Times New Roman" w:hAnsi="Arial" w:cs="Arial"/>
                <w:sz w:val="20"/>
                <w:szCs w:val="20"/>
                <w:lang w:eastAsia="en-GB"/>
              </w:rPr>
            </w:pPr>
          </w:p>
        </w:tc>
      </w:tr>
    </w:tbl>
    <w:p w14:paraId="3103324F" w14:textId="77777777" w:rsidR="00B8437C" w:rsidRDefault="00B8437C" w:rsidP="00B8437C">
      <w:pPr>
        <w:autoSpaceDE w:val="0"/>
        <w:autoSpaceDN w:val="0"/>
        <w:adjustRightInd w:val="0"/>
        <w:spacing w:after="120" w:line="240" w:lineRule="auto"/>
        <w:ind w:left="567"/>
        <w:jc w:val="both"/>
        <w:rPr>
          <w:rFonts w:ascii="Arial" w:eastAsia="Times New Roman" w:hAnsi="Arial" w:cs="Arial"/>
          <w:sz w:val="24"/>
          <w:szCs w:val="24"/>
          <w:lang w:eastAsia="en-GB"/>
        </w:rPr>
      </w:pPr>
    </w:p>
    <w:p w14:paraId="62ADC508" w14:textId="77777777" w:rsidR="00830F20" w:rsidRPr="00BB3F98" w:rsidRDefault="00830F20" w:rsidP="00830F20">
      <w:pPr>
        <w:keepNext/>
        <w:keepLines/>
        <w:numPr>
          <w:ilvl w:val="0"/>
          <w:numId w:val="1"/>
        </w:numPr>
        <w:spacing w:before="480" w:after="0" w:line="240" w:lineRule="auto"/>
        <w:ind w:left="567" w:hanging="567"/>
        <w:outlineLvl w:val="0"/>
        <w:rPr>
          <w:rFonts w:ascii="Cambria" w:eastAsia="Times New Roman" w:hAnsi="Cambria" w:cs="Times New Roman"/>
          <w:b/>
          <w:bCs/>
          <w:color w:val="365F91"/>
          <w:sz w:val="28"/>
          <w:szCs w:val="28"/>
        </w:rPr>
      </w:pPr>
      <w:r w:rsidRPr="00BB3F98">
        <w:rPr>
          <w:rFonts w:ascii="Cambria" w:eastAsia="Times New Roman" w:hAnsi="Cambria" w:cs="Times New Roman"/>
          <w:b/>
          <w:bCs/>
          <w:color w:val="365F91"/>
          <w:sz w:val="28"/>
          <w:szCs w:val="28"/>
        </w:rPr>
        <w:t>Action Plan: Governance Challenges for Future Years</w:t>
      </w:r>
    </w:p>
    <w:p w14:paraId="3F6CB6EC" w14:textId="77777777" w:rsidR="00830F20" w:rsidRPr="00BB3F98" w:rsidRDefault="00830F20" w:rsidP="00830F20">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BB3F98">
        <w:rPr>
          <w:rFonts w:ascii="Arial" w:eastAsia="Times New Roman" w:hAnsi="Arial" w:cs="Arial"/>
          <w:sz w:val="24"/>
          <w:szCs w:val="24"/>
          <w:lang w:eastAsia="en-GB"/>
        </w:rPr>
        <w:t xml:space="preserve">The review of governance arrangements has identified the main areas where the Council will need to focus its efforts during future years, to address changing circumstances and </w:t>
      </w:r>
      <w:r w:rsidR="00F938DA">
        <w:rPr>
          <w:rFonts w:ascii="Arial" w:eastAsia="Times New Roman" w:hAnsi="Arial" w:cs="Arial"/>
          <w:sz w:val="24"/>
          <w:szCs w:val="24"/>
          <w:lang w:eastAsia="en-GB"/>
        </w:rPr>
        <w:t xml:space="preserve">the </w:t>
      </w:r>
      <w:r w:rsidRPr="00BB3F98">
        <w:rPr>
          <w:rFonts w:ascii="Arial" w:eastAsia="Times New Roman" w:hAnsi="Arial" w:cs="Arial"/>
          <w:sz w:val="24"/>
          <w:szCs w:val="24"/>
          <w:lang w:eastAsia="en-GB"/>
        </w:rPr>
        <w:t>challenges identified. These are set out in the action plan below. Completion or substantial progress against these objectives is due by the end of the current financial year, in March 2021.</w:t>
      </w:r>
    </w:p>
    <w:tbl>
      <w:tblPr>
        <w:tblStyle w:val="TableGrid"/>
        <w:tblW w:w="10206" w:type="dxa"/>
        <w:tblInd w:w="-431" w:type="dxa"/>
        <w:tblLayout w:type="fixed"/>
        <w:tblCellMar>
          <w:left w:w="28" w:type="dxa"/>
          <w:right w:w="28" w:type="dxa"/>
        </w:tblCellMar>
        <w:tblLook w:val="04A0" w:firstRow="1" w:lastRow="0" w:firstColumn="1" w:lastColumn="0" w:noHBand="0" w:noVBand="1"/>
      </w:tblPr>
      <w:tblGrid>
        <w:gridCol w:w="584"/>
        <w:gridCol w:w="3872"/>
        <w:gridCol w:w="2221"/>
        <w:gridCol w:w="2408"/>
        <w:gridCol w:w="1121"/>
      </w:tblGrid>
      <w:tr w:rsidR="00E02BC1" w:rsidRPr="00BB3F98" w14:paraId="15CC1365" w14:textId="77777777" w:rsidTr="00E02BC1">
        <w:trPr>
          <w:tblHeader/>
        </w:trPr>
        <w:tc>
          <w:tcPr>
            <w:tcW w:w="584" w:type="dxa"/>
            <w:vMerge w:val="restart"/>
            <w:shd w:val="clear" w:color="auto" w:fill="8DB3E2" w:themeFill="text2" w:themeFillTint="66"/>
            <w:vAlign w:val="bottom"/>
          </w:tcPr>
          <w:p w14:paraId="48B24E9B" w14:textId="77777777" w:rsidR="00E02BC1" w:rsidRPr="00BB3F98" w:rsidRDefault="00E02BC1" w:rsidP="00830F20">
            <w:pPr>
              <w:autoSpaceDE w:val="0"/>
              <w:autoSpaceDN w:val="0"/>
              <w:adjustRightInd w:val="0"/>
              <w:spacing w:after="120"/>
              <w:rPr>
                <w:rFonts w:ascii="Arial" w:eastAsia="Times New Roman" w:hAnsi="Arial" w:cs="Arial"/>
                <w:sz w:val="24"/>
                <w:szCs w:val="24"/>
                <w:lang w:eastAsia="en-GB"/>
              </w:rPr>
            </w:pPr>
            <w:r w:rsidRPr="00BB3F98">
              <w:rPr>
                <w:rFonts w:ascii="Arial" w:eastAsia="Times New Roman" w:hAnsi="Arial" w:cs="Arial"/>
                <w:sz w:val="24"/>
                <w:szCs w:val="24"/>
                <w:lang w:eastAsia="en-GB"/>
              </w:rPr>
              <w:lastRenderedPageBreak/>
              <w:t>Ref</w:t>
            </w:r>
          </w:p>
        </w:tc>
        <w:tc>
          <w:tcPr>
            <w:tcW w:w="3872" w:type="dxa"/>
            <w:vMerge w:val="restart"/>
            <w:shd w:val="clear" w:color="auto" w:fill="8DB3E2" w:themeFill="text2" w:themeFillTint="66"/>
            <w:vAlign w:val="bottom"/>
          </w:tcPr>
          <w:p w14:paraId="7B7E6619" w14:textId="77777777" w:rsidR="00E02BC1" w:rsidRPr="00BB3F98" w:rsidRDefault="00E02BC1" w:rsidP="00830F20">
            <w:pPr>
              <w:autoSpaceDE w:val="0"/>
              <w:autoSpaceDN w:val="0"/>
              <w:adjustRightInd w:val="0"/>
              <w:spacing w:after="120"/>
              <w:rPr>
                <w:rFonts w:ascii="Arial" w:eastAsia="Times New Roman" w:hAnsi="Arial" w:cs="Arial"/>
                <w:sz w:val="24"/>
                <w:szCs w:val="24"/>
                <w:lang w:eastAsia="en-GB"/>
              </w:rPr>
            </w:pPr>
            <w:r w:rsidRPr="00BB3F98">
              <w:rPr>
                <w:rFonts w:ascii="Arial" w:eastAsia="Times New Roman" w:hAnsi="Arial" w:cs="Arial"/>
                <w:sz w:val="24"/>
                <w:szCs w:val="24"/>
                <w:lang w:eastAsia="en-GB"/>
              </w:rPr>
              <w:t>Action</w:t>
            </w:r>
          </w:p>
        </w:tc>
        <w:tc>
          <w:tcPr>
            <w:tcW w:w="4629" w:type="dxa"/>
            <w:gridSpan w:val="2"/>
            <w:shd w:val="clear" w:color="auto" w:fill="8DB3E2" w:themeFill="text2" w:themeFillTint="66"/>
          </w:tcPr>
          <w:p w14:paraId="3B1FCC76" w14:textId="77777777" w:rsidR="00E02BC1" w:rsidRPr="00BB3F98" w:rsidRDefault="00E02BC1" w:rsidP="00830F20">
            <w:pPr>
              <w:autoSpaceDE w:val="0"/>
              <w:autoSpaceDN w:val="0"/>
              <w:adjustRightInd w:val="0"/>
              <w:spacing w:after="120"/>
              <w:jc w:val="center"/>
              <w:rPr>
                <w:rFonts w:ascii="Arial" w:eastAsia="Times New Roman" w:hAnsi="Arial" w:cs="Arial"/>
                <w:sz w:val="24"/>
                <w:szCs w:val="24"/>
                <w:lang w:eastAsia="en-GB"/>
              </w:rPr>
            </w:pPr>
            <w:r w:rsidRPr="00BB3F98">
              <w:rPr>
                <w:rFonts w:ascii="Arial" w:eastAsia="Times New Roman" w:hAnsi="Arial" w:cs="Arial"/>
                <w:sz w:val="24"/>
                <w:szCs w:val="24"/>
                <w:lang w:eastAsia="en-GB"/>
              </w:rPr>
              <w:t>Responsibility</w:t>
            </w:r>
          </w:p>
        </w:tc>
        <w:tc>
          <w:tcPr>
            <w:tcW w:w="1121" w:type="dxa"/>
            <w:vMerge w:val="restart"/>
            <w:shd w:val="clear" w:color="auto" w:fill="8DB3E2" w:themeFill="text2" w:themeFillTint="66"/>
            <w:vAlign w:val="bottom"/>
          </w:tcPr>
          <w:p w14:paraId="4DF39C9D" w14:textId="77777777" w:rsidR="00E02BC1" w:rsidRPr="00BB3F98" w:rsidRDefault="00E02BC1" w:rsidP="00E02BC1">
            <w:pPr>
              <w:autoSpaceDE w:val="0"/>
              <w:autoSpaceDN w:val="0"/>
              <w:adjustRightInd w:val="0"/>
              <w:spacing w:after="120"/>
              <w:jc w:val="center"/>
              <w:rPr>
                <w:rFonts w:ascii="Arial" w:eastAsia="Times New Roman" w:hAnsi="Arial" w:cs="Arial"/>
                <w:sz w:val="24"/>
                <w:szCs w:val="24"/>
                <w:lang w:eastAsia="en-GB"/>
              </w:rPr>
            </w:pPr>
            <w:r>
              <w:rPr>
                <w:rFonts w:ascii="Arial" w:eastAsia="Times New Roman" w:hAnsi="Arial" w:cs="Arial"/>
                <w:sz w:val="24"/>
                <w:szCs w:val="24"/>
                <w:lang w:eastAsia="en-GB"/>
              </w:rPr>
              <w:t>Proposed timeline</w:t>
            </w:r>
          </w:p>
        </w:tc>
      </w:tr>
      <w:tr w:rsidR="00E02BC1" w:rsidRPr="00BB3F98" w14:paraId="1BA39790" w14:textId="77777777" w:rsidTr="00E02BC1">
        <w:trPr>
          <w:tblHeader/>
        </w:trPr>
        <w:tc>
          <w:tcPr>
            <w:tcW w:w="584" w:type="dxa"/>
            <w:vMerge/>
            <w:shd w:val="clear" w:color="auto" w:fill="8DB3E2" w:themeFill="text2" w:themeFillTint="66"/>
          </w:tcPr>
          <w:p w14:paraId="5110D3CB" w14:textId="77777777" w:rsidR="00E02BC1" w:rsidRPr="00BB3F98" w:rsidRDefault="00E02BC1" w:rsidP="00830F20">
            <w:pPr>
              <w:autoSpaceDE w:val="0"/>
              <w:autoSpaceDN w:val="0"/>
              <w:adjustRightInd w:val="0"/>
              <w:spacing w:after="120"/>
              <w:jc w:val="both"/>
              <w:rPr>
                <w:rFonts w:ascii="Arial" w:eastAsia="Times New Roman" w:hAnsi="Arial" w:cs="Arial"/>
                <w:sz w:val="24"/>
                <w:szCs w:val="24"/>
                <w:lang w:eastAsia="en-GB"/>
              </w:rPr>
            </w:pPr>
          </w:p>
        </w:tc>
        <w:tc>
          <w:tcPr>
            <w:tcW w:w="3872" w:type="dxa"/>
            <w:vMerge/>
            <w:shd w:val="clear" w:color="auto" w:fill="8DB3E2" w:themeFill="text2" w:themeFillTint="66"/>
          </w:tcPr>
          <w:p w14:paraId="0D9A053D" w14:textId="77777777" w:rsidR="00E02BC1" w:rsidRPr="00BB3F98" w:rsidRDefault="00E02BC1" w:rsidP="00830F20">
            <w:pPr>
              <w:autoSpaceDE w:val="0"/>
              <w:autoSpaceDN w:val="0"/>
              <w:adjustRightInd w:val="0"/>
              <w:spacing w:after="120"/>
              <w:jc w:val="both"/>
              <w:rPr>
                <w:rFonts w:ascii="Arial" w:eastAsia="Times New Roman" w:hAnsi="Arial" w:cs="Arial"/>
                <w:sz w:val="24"/>
                <w:szCs w:val="24"/>
                <w:lang w:eastAsia="en-GB"/>
              </w:rPr>
            </w:pPr>
          </w:p>
        </w:tc>
        <w:tc>
          <w:tcPr>
            <w:tcW w:w="2221" w:type="dxa"/>
            <w:shd w:val="clear" w:color="auto" w:fill="8DB3E2" w:themeFill="text2" w:themeFillTint="66"/>
            <w:vAlign w:val="bottom"/>
          </w:tcPr>
          <w:p w14:paraId="68C7BD9D" w14:textId="77777777" w:rsidR="00E02BC1" w:rsidRPr="00BB3F98" w:rsidRDefault="00E02BC1" w:rsidP="00830F20">
            <w:pPr>
              <w:autoSpaceDE w:val="0"/>
              <w:autoSpaceDN w:val="0"/>
              <w:adjustRightInd w:val="0"/>
              <w:spacing w:after="120"/>
              <w:jc w:val="center"/>
              <w:rPr>
                <w:rFonts w:ascii="Arial" w:eastAsia="Times New Roman" w:hAnsi="Arial" w:cs="Arial"/>
                <w:sz w:val="24"/>
                <w:szCs w:val="24"/>
                <w:lang w:eastAsia="en-GB"/>
              </w:rPr>
            </w:pPr>
            <w:r w:rsidRPr="00BB3F98">
              <w:rPr>
                <w:rFonts w:ascii="Arial" w:eastAsia="Times New Roman" w:hAnsi="Arial" w:cs="Arial"/>
                <w:sz w:val="24"/>
                <w:szCs w:val="24"/>
                <w:lang w:eastAsia="en-GB"/>
              </w:rPr>
              <w:t>CLT</w:t>
            </w:r>
          </w:p>
        </w:tc>
        <w:tc>
          <w:tcPr>
            <w:tcW w:w="2408" w:type="dxa"/>
            <w:shd w:val="clear" w:color="auto" w:fill="8DB3E2" w:themeFill="text2" w:themeFillTint="66"/>
            <w:vAlign w:val="bottom"/>
          </w:tcPr>
          <w:p w14:paraId="51C222AD" w14:textId="77777777" w:rsidR="00E02BC1" w:rsidRPr="00BB3F98" w:rsidRDefault="00E02BC1" w:rsidP="00830F20">
            <w:pPr>
              <w:autoSpaceDE w:val="0"/>
              <w:autoSpaceDN w:val="0"/>
              <w:adjustRightInd w:val="0"/>
              <w:spacing w:after="120"/>
              <w:jc w:val="center"/>
              <w:rPr>
                <w:rFonts w:ascii="Arial" w:eastAsia="Times New Roman" w:hAnsi="Arial" w:cs="Arial"/>
                <w:sz w:val="24"/>
                <w:szCs w:val="24"/>
                <w:lang w:eastAsia="en-GB"/>
              </w:rPr>
            </w:pPr>
            <w:r w:rsidRPr="00BB3F98">
              <w:rPr>
                <w:rFonts w:ascii="Arial" w:eastAsia="Times New Roman" w:hAnsi="Arial" w:cs="Arial"/>
                <w:sz w:val="24"/>
                <w:szCs w:val="24"/>
                <w:lang w:eastAsia="en-GB"/>
              </w:rPr>
              <w:t>Directors or Heads of Service</w:t>
            </w:r>
          </w:p>
        </w:tc>
        <w:tc>
          <w:tcPr>
            <w:tcW w:w="1121" w:type="dxa"/>
            <w:vMerge/>
            <w:shd w:val="clear" w:color="auto" w:fill="8DB3E2" w:themeFill="text2" w:themeFillTint="66"/>
          </w:tcPr>
          <w:p w14:paraId="1FB91D3E" w14:textId="77777777" w:rsidR="00E02BC1" w:rsidRPr="00BB3F98" w:rsidRDefault="00E02BC1" w:rsidP="00830F20">
            <w:pPr>
              <w:autoSpaceDE w:val="0"/>
              <w:autoSpaceDN w:val="0"/>
              <w:adjustRightInd w:val="0"/>
              <w:spacing w:after="120"/>
              <w:jc w:val="center"/>
              <w:rPr>
                <w:rFonts w:ascii="Arial" w:eastAsia="Times New Roman" w:hAnsi="Arial" w:cs="Arial"/>
                <w:sz w:val="24"/>
                <w:szCs w:val="24"/>
                <w:lang w:eastAsia="en-GB"/>
              </w:rPr>
            </w:pPr>
          </w:p>
        </w:tc>
      </w:tr>
      <w:tr w:rsidR="000D6D9C" w14:paraId="26FDB9CA" w14:textId="77777777" w:rsidTr="000D6D9C">
        <w:tc>
          <w:tcPr>
            <w:tcW w:w="584" w:type="dxa"/>
          </w:tcPr>
          <w:p w14:paraId="6DFA2017" w14:textId="77777777" w:rsidR="000D6D9C" w:rsidRPr="00501328" w:rsidRDefault="006F0C67" w:rsidP="000D6D9C">
            <w:pPr>
              <w:autoSpaceDE w:val="0"/>
              <w:autoSpaceDN w:val="0"/>
              <w:adjustRightInd w:val="0"/>
              <w:spacing w:after="120"/>
              <w:jc w:val="both"/>
              <w:rPr>
                <w:rFonts w:ascii="Arial" w:eastAsia="Times New Roman" w:hAnsi="Arial" w:cs="Arial"/>
                <w:sz w:val="24"/>
                <w:szCs w:val="24"/>
                <w:lang w:eastAsia="en-GB"/>
              </w:rPr>
            </w:pPr>
            <w:r>
              <w:rPr>
                <w:rFonts w:ascii="Arial" w:eastAsia="Times New Roman" w:hAnsi="Arial" w:cs="Arial"/>
                <w:sz w:val="24"/>
                <w:szCs w:val="24"/>
                <w:lang w:eastAsia="en-GB"/>
              </w:rPr>
              <w:t>1</w:t>
            </w:r>
          </w:p>
        </w:tc>
        <w:tc>
          <w:tcPr>
            <w:tcW w:w="3872" w:type="dxa"/>
          </w:tcPr>
          <w:p w14:paraId="2FADF5B6" w14:textId="77777777" w:rsidR="000D6D9C" w:rsidRDefault="000D6D9C" w:rsidP="00F10BD0">
            <w:pPr>
              <w:keepLines/>
              <w:autoSpaceDE w:val="0"/>
              <w:autoSpaceDN w:val="0"/>
              <w:adjustRightInd w:val="0"/>
              <w:spacing w:after="120"/>
              <w:rPr>
                <w:rFonts w:ascii="Arial" w:eastAsia="Times New Roman" w:hAnsi="Arial" w:cs="Arial"/>
                <w:sz w:val="24"/>
                <w:szCs w:val="24"/>
                <w:lang w:eastAsia="en-GB"/>
              </w:rPr>
            </w:pPr>
            <w:r>
              <w:rPr>
                <w:rFonts w:ascii="Arial" w:eastAsia="Times New Roman" w:hAnsi="Arial" w:cs="Arial"/>
                <w:sz w:val="24"/>
                <w:szCs w:val="24"/>
                <w:lang w:eastAsia="en-GB"/>
              </w:rPr>
              <w:t xml:space="preserve">Completion of the </w:t>
            </w:r>
            <w:r w:rsidR="006F0C67">
              <w:rPr>
                <w:rFonts w:ascii="Arial" w:eastAsia="Times New Roman" w:hAnsi="Arial" w:cs="Arial"/>
                <w:sz w:val="24"/>
                <w:szCs w:val="24"/>
                <w:lang w:eastAsia="en-GB"/>
              </w:rPr>
              <w:t xml:space="preserve">Action Plan arising from the </w:t>
            </w:r>
            <w:r w:rsidR="00F938DA">
              <w:rPr>
                <w:rFonts w:ascii="Arial" w:eastAsia="Times New Roman" w:hAnsi="Arial" w:cs="Arial"/>
                <w:sz w:val="24"/>
                <w:szCs w:val="24"/>
                <w:lang w:eastAsia="en-GB"/>
              </w:rPr>
              <w:t xml:space="preserve">Report in the </w:t>
            </w:r>
            <w:r>
              <w:rPr>
                <w:rFonts w:ascii="Arial" w:eastAsia="Times New Roman" w:hAnsi="Arial" w:cs="Arial"/>
                <w:sz w:val="24"/>
                <w:szCs w:val="24"/>
                <w:lang w:eastAsia="en-GB"/>
              </w:rPr>
              <w:t xml:space="preserve">Public Interest </w:t>
            </w:r>
            <w:r w:rsidR="006F0C67">
              <w:rPr>
                <w:rFonts w:ascii="Arial" w:eastAsia="Times New Roman" w:hAnsi="Arial" w:cs="Arial"/>
                <w:sz w:val="24"/>
                <w:szCs w:val="24"/>
                <w:lang w:eastAsia="en-GB"/>
              </w:rPr>
              <w:t>concerning the Council’s governance arrangements for Robin Hood Energy</w:t>
            </w:r>
            <w:r w:rsidR="0014397D">
              <w:rPr>
                <w:rFonts w:ascii="Arial" w:eastAsia="Times New Roman" w:hAnsi="Arial" w:cs="Arial"/>
                <w:sz w:val="24"/>
                <w:szCs w:val="24"/>
                <w:lang w:eastAsia="en-GB"/>
              </w:rPr>
              <w:t xml:space="preserve"> (attached as Appendix 2)</w:t>
            </w:r>
          </w:p>
        </w:tc>
        <w:tc>
          <w:tcPr>
            <w:tcW w:w="2221" w:type="dxa"/>
          </w:tcPr>
          <w:p w14:paraId="3FB81B90" w14:textId="77777777" w:rsidR="000D6D9C" w:rsidRDefault="00B5153D" w:rsidP="00F10BD0">
            <w:pPr>
              <w:autoSpaceDE w:val="0"/>
              <w:autoSpaceDN w:val="0"/>
              <w:adjustRightInd w:val="0"/>
              <w:spacing w:after="120"/>
              <w:rPr>
                <w:rFonts w:ascii="Arial" w:eastAsia="Times New Roman" w:hAnsi="Arial" w:cs="Arial"/>
                <w:sz w:val="24"/>
                <w:szCs w:val="24"/>
                <w:lang w:eastAsia="en-GB"/>
              </w:rPr>
            </w:pPr>
            <w:r>
              <w:rPr>
                <w:rFonts w:ascii="Arial" w:eastAsia="Times New Roman" w:hAnsi="Arial" w:cs="Arial"/>
                <w:sz w:val="24"/>
                <w:szCs w:val="24"/>
                <w:lang w:eastAsia="en-GB"/>
              </w:rPr>
              <w:t>Chief Executive</w:t>
            </w:r>
          </w:p>
        </w:tc>
        <w:tc>
          <w:tcPr>
            <w:tcW w:w="2408" w:type="dxa"/>
          </w:tcPr>
          <w:p w14:paraId="56E67841" w14:textId="162177D1" w:rsidR="00F137D1" w:rsidRDefault="00F137D1" w:rsidP="00F10BD0">
            <w:pPr>
              <w:autoSpaceDE w:val="0"/>
              <w:autoSpaceDN w:val="0"/>
              <w:adjustRightInd w:val="0"/>
              <w:spacing w:after="120"/>
              <w:rPr>
                <w:rFonts w:ascii="Arial" w:eastAsia="Times New Roman" w:hAnsi="Arial" w:cs="Arial"/>
                <w:sz w:val="24"/>
                <w:szCs w:val="24"/>
                <w:lang w:eastAsia="en-GB"/>
              </w:rPr>
            </w:pPr>
            <w:r w:rsidRPr="00BB3F98">
              <w:rPr>
                <w:rFonts w:ascii="Arial" w:eastAsia="Times New Roman" w:hAnsi="Arial" w:cs="Arial"/>
                <w:sz w:val="24"/>
                <w:szCs w:val="24"/>
                <w:lang w:eastAsia="en-GB"/>
              </w:rPr>
              <w:t>Director of Legal &amp; Governance</w:t>
            </w:r>
          </w:p>
          <w:p w14:paraId="150631FD" w14:textId="7AA995D8" w:rsidR="000D6D9C" w:rsidRPr="00BB3F98" w:rsidRDefault="00B5153D" w:rsidP="00F10BD0">
            <w:pPr>
              <w:autoSpaceDE w:val="0"/>
              <w:autoSpaceDN w:val="0"/>
              <w:adjustRightInd w:val="0"/>
              <w:spacing w:after="120"/>
              <w:rPr>
                <w:rFonts w:ascii="Arial" w:eastAsia="Times New Roman" w:hAnsi="Arial" w:cs="Arial"/>
                <w:sz w:val="24"/>
                <w:szCs w:val="24"/>
                <w:lang w:eastAsia="en-GB"/>
              </w:rPr>
            </w:pPr>
            <w:r>
              <w:rPr>
                <w:rFonts w:ascii="Arial" w:eastAsia="Times New Roman" w:hAnsi="Arial" w:cs="Arial"/>
                <w:sz w:val="24"/>
                <w:szCs w:val="24"/>
                <w:lang w:eastAsia="en-GB"/>
              </w:rPr>
              <w:t>Strategic Director of Finance</w:t>
            </w:r>
          </w:p>
        </w:tc>
        <w:tc>
          <w:tcPr>
            <w:tcW w:w="1121" w:type="dxa"/>
          </w:tcPr>
          <w:p w14:paraId="29B8861C" w14:textId="77777777" w:rsidR="000D6D9C" w:rsidRPr="00BB3F98" w:rsidRDefault="0079050E" w:rsidP="00F10BD0">
            <w:pPr>
              <w:autoSpaceDE w:val="0"/>
              <w:autoSpaceDN w:val="0"/>
              <w:adjustRightInd w:val="0"/>
              <w:spacing w:after="120"/>
              <w:rPr>
                <w:rFonts w:ascii="Arial" w:eastAsia="Times New Roman" w:hAnsi="Arial" w:cs="Arial"/>
                <w:sz w:val="24"/>
                <w:szCs w:val="24"/>
                <w:lang w:eastAsia="en-GB"/>
              </w:rPr>
            </w:pPr>
            <w:r>
              <w:rPr>
                <w:rFonts w:ascii="Arial" w:eastAsia="Times New Roman" w:hAnsi="Arial" w:cs="Arial"/>
                <w:sz w:val="24"/>
                <w:szCs w:val="24"/>
                <w:lang w:eastAsia="en-GB"/>
              </w:rPr>
              <w:t>Mar22</w:t>
            </w:r>
          </w:p>
        </w:tc>
      </w:tr>
      <w:tr w:rsidR="00E02BC1" w:rsidRPr="00BB3F98" w14:paraId="2E44F0C6" w14:textId="77777777" w:rsidTr="00E02BC1">
        <w:tc>
          <w:tcPr>
            <w:tcW w:w="584" w:type="dxa"/>
          </w:tcPr>
          <w:p w14:paraId="6ECD3726" w14:textId="77777777" w:rsidR="00E02BC1" w:rsidRPr="00BB3F98" w:rsidRDefault="006F0C67" w:rsidP="00830F20">
            <w:pPr>
              <w:autoSpaceDE w:val="0"/>
              <w:autoSpaceDN w:val="0"/>
              <w:adjustRightInd w:val="0"/>
              <w:spacing w:after="120"/>
              <w:jc w:val="both"/>
              <w:rPr>
                <w:rFonts w:ascii="Arial" w:eastAsia="Times New Roman" w:hAnsi="Arial" w:cs="Arial"/>
                <w:sz w:val="24"/>
                <w:szCs w:val="24"/>
                <w:lang w:eastAsia="en-GB"/>
              </w:rPr>
            </w:pPr>
            <w:r>
              <w:rPr>
                <w:rFonts w:ascii="Arial" w:eastAsia="Times New Roman" w:hAnsi="Arial" w:cs="Arial"/>
                <w:sz w:val="24"/>
                <w:szCs w:val="24"/>
                <w:lang w:eastAsia="en-GB"/>
              </w:rPr>
              <w:t>2</w:t>
            </w:r>
          </w:p>
        </w:tc>
        <w:tc>
          <w:tcPr>
            <w:tcW w:w="3872" w:type="dxa"/>
          </w:tcPr>
          <w:p w14:paraId="51C9928E" w14:textId="77777777" w:rsidR="00E02BC1" w:rsidRPr="00BB3F98" w:rsidRDefault="00E02BC1" w:rsidP="00F10BD0">
            <w:pPr>
              <w:autoSpaceDE w:val="0"/>
              <w:autoSpaceDN w:val="0"/>
              <w:adjustRightInd w:val="0"/>
              <w:spacing w:after="120"/>
              <w:rPr>
                <w:rFonts w:ascii="Arial" w:eastAsia="Times New Roman" w:hAnsi="Arial" w:cs="Arial"/>
                <w:sz w:val="24"/>
                <w:szCs w:val="24"/>
                <w:lang w:eastAsia="en-GB"/>
              </w:rPr>
            </w:pPr>
            <w:r w:rsidRPr="00BB3F98">
              <w:rPr>
                <w:rFonts w:ascii="Arial" w:eastAsia="Times New Roman" w:hAnsi="Arial" w:cs="Arial"/>
                <w:sz w:val="24"/>
                <w:szCs w:val="24"/>
                <w:lang w:eastAsia="en-GB"/>
              </w:rPr>
              <w:t>Close management of the capital programme</w:t>
            </w:r>
            <w:r w:rsidR="00F10BD0">
              <w:rPr>
                <w:rFonts w:ascii="Arial" w:eastAsia="Times New Roman" w:hAnsi="Arial" w:cs="Arial"/>
                <w:sz w:val="24"/>
                <w:szCs w:val="24"/>
                <w:lang w:eastAsia="en-GB"/>
              </w:rPr>
              <w:t>.</w:t>
            </w:r>
            <w:r w:rsidRPr="00BB3F98">
              <w:rPr>
                <w:rFonts w:ascii="Arial" w:eastAsia="Times New Roman" w:hAnsi="Arial" w:cs="Arial"/>
                <w:sz w:val="24"/>
                <w:szCs w:val="24"/>
                <w:lang w:eastAsia="en-GB"/>
              </w:rPr>
              <w:t xml:space="preserve"> </w:t>
            </w:r>
            <w:r w:rsidR="00F938DA">
              <w:rPr>
                <w:rFonts w:ascii="Arial" w:eastAsia="Times New Roman" w:hAnsi="Arial" w:cs="Arial"/>
                <w:sz w:val="24"/>
                <w:szCs w:val="24"/>
                <w:lang w:eastAsia="en-GB"/>
              </w:rPr>
              <w:t>E</w:t>
            </w:r>
            <w:r w:rsidRPr="00BB3F98">
              <w:rPr>
                <w:rFonts w:ascii="Arial" w:eastAsia="Times New Roman" w:hAnsi="Arial" w:cs="Arial"/>
                <w:sz w:val="24"/>
                <w:szCs w:val="24"/>
                <w:lang w:eastAsia="en-GB"/>
              </w:rPr>
              <w:t xml:space="preserve">nsure programmes and schemes are </w:t>
            </w:r>
            <w:r w:rsidR="00F938DA">
              <w:rPr>
                <w:rFonts w:ascii="Arial" w:eastAsia="Times New Roman" w:hAnsi="Arial" w:cs="Arial"/>
                <w:sz w:val="24"/>
                <w:szCs w:val="24"/>
                <w:lang w:eastAsia="en-GB"/>
              </w:rPr>
              <w:t>effectively</w:t>
            </w:r>
            <w:r w:rsidRPr="00BB3F98">
              <w:rPr>
                <w:rFonts w:ascii="Arial" w:eastAsia="Times New Roman" w:hAnsi="Arial" w:cs="Arial"/>
                <w:sz w:val="24"/>
                <w:szCs w:val="24"/>
                <w:lang w:eastAsia="en-GB"/>
              </w:rPr>
              <w:t xml:space="preserve"> managed. </w:t>
            </w:r>
            <w:r>
              <w:rPr>
                <w:rFonts w:ascii="Arial" w:eastAsia="Times New Roman" w:hAnsi="Arial" w:cs="Arial"/>
                <w:sz w:val="24"/>
                <w:szCs w:val="24"/>
                <w:lang w:eastAsia="en-GB"/>
              </w:rPr>
              <w:t>Update Capital Strategy,</w:t>
            </w:r>
            <w:r w:rsidRPr="00BB3F98">
              <w:rPr>
                <w:rFonts w:ascii="Arial" w:eastAsia="Times New Roman" w:hAnsi="Arial" w:cs="Arial"/>
                <w:sz w:val="24"/>
                <w:szCs w:val="24"/>
                <w:lang w:eastAsia="en-GB"/>
              </w:rPr>
              <w:t xml:space="preserve"> revise</w:t>
            </w:r>
            <w:r w:rsidR="0079050E">
              <w:rPr>
                <w:rFonts w:ascii="Arial" w:eastAsia="Times New Roman" w:hAnsi="Arial" w:cs="Arial"/>
                <w:sz w:val="24"/>
                <w:szCs w:val="24"/>
                <w:lang w:eastAsia="en-GB"/>
              </w:rPr>
              <w:t>, de</w:t>
            </w:r>
            <w:r w:rsidR="00F10BD0">
              <w:rPr>
                <w:rFonts w:ascii="Arial" w:eastAsia="Times New Roman" w:hAnsi="Arial" w:cs="Arial"/>
                <w:sz w:val="24"/>
                <w:szCs w:val="24"/>
                <w:lang w:eastAsia="en-GB"/>
              </w:rPr>
              <w:t>-</w:t>
            </w:r>
            <w:r w:rsidR="0079050E">
              <w:rPr>
                <w:rFonts w:ascii="Arial" w:eastAsia="Times New Roman" w:hAnsi="Arial" w:cs="Arial"/>
                <w:sz w:val="24"/>
                <w:szCs w:val="24"/>
                <w:lang w:eastAsia="en-GB"/>
              </w:rPr>
              <w:t>risk</w:t>
            </w:r>
            <w:r>
              <w:rPr>
                <w:rFonts w:ascii="Arial" w:eastAsia="Times New Roman" w:hAnsi="Arial" w:cs="Arial"/>
                <w:sz w:val="24"/>
                <w:szCs w:val="24"/>
                <w:lang w:eastAsia="en-GB"/>
              </w:rPr>
              <w:t xml:space="preserve"> and reprioritise</w:t>
            </w:r>
            <w:r w:rsidRPr="00BB3F98">
              <w:rPr>
                <w:rFonts w:ascii="Arial" w:eastAsia="Times New Roman" w:hAnsi="Arial" w:cs="Arial"/>
                <w:sz w:val="24"/>
                <w:szCs w:val="24"/>
                <w:lang w:eastAsia="en-GB"/>
              </w:rPr>
              <w:t xml:space="preserve"> capital programme</w:t>
            </w:r>
            <w:r w:rsidR="0079050E">
              <w:rPr>
                <w:rFonts w:ascii="Arial" w:eastAsia="Times New Roman" w:hAnsi="Arial" w:cs="Arial"/>
                <w:sz w:val="24"/>
                <w:szCs w:val="24"/>
                <w:lang w:eastAsia="en-GB"/>
              </w:rPr>
              <w:t xml:space="preserve"> based on a different approach to affordability</w:t>
            </w:r>
            <w:r w:rsidRPr="00BB3F98">
              <w:rPr>
                <w:rFonts w:ascii="Arial" w:eastAsia="Times New Roman" w:hAnsi="Arial" w:cs="Arial"/>
                <w:sz w:val="24"/>
                <w:szCs w:val="24"/>
                <w:lang w:eastAsia="en-GB"/>
              </w:rPr>
              <w:t xml:space="preserve">. Asset </w:t>
            </w:r>
            <w:r>
              <w:rPr>
                <w:rFonts w:ascii="Arial" w:eastAsia="Times New Roman" w:hAnsi="Arial" w:cs="Arial"/>
                <w:sz w:val="24"/>
                <w:szCs w:val="24"/>
                <w:lang w:eastAsia="en-GB"/>
              </w:rPr>
              <w:t>M</w:t>
            </w:r>
            <w:r w:rsidRPr="00BB3F98">
              <w:rPr>
                <w:rFonts w:ascii="Arial" w:eastAsia="Times New Roman" w:hAnsi="Arial" w:cs="Arial"/>
                <w:sz w:val="24"/>
                <w:szCs w:val="24"/>
                <w:lang w:eastAsia="en-GB"/>
              </w:rPr>
              <w:t xml:space="preserve">anagement </w:t>
            </w:r>
            <w:r>
              <w:rPr>
                <w:rFonts w:ascii="Arial" w:eastAsia="Times New Roman" w:hAnsi="Arial" w:cs="Arial"/>
                <w:sz w:val="24"/>
                <w:szCs w:val="24"/>
                <w:lang w:eastAsia="en-GB"/>
              </w:rPr>
              <w:t>P</w:t>
            </w:r>
            <w:r w:rsidRPr="00BB3F98">
              <w:rPr>
                <w:rFonts w:ascii="Arial" w:eastAsia="Times New Roman" w:hAnsi="Arial" w:cs="Arial"/>
                <w:sz w:val="24"/>
                <w:szCs w:val="24"/>
                <w:lang w:eastAsia="en-GB"/>
              </w:rPr>
              <w:t>lan</w:t>
            </w:r>
            <w:r>
              <w:rPr>
                <w:rFonts w:ascii="Arial" w:eastAsia="Times New Roman" w:hAnsi="Arial" w:cs="Arial"/>
                <w:sz w:val="24"/>
                <w:szCs w:val="24"/>
                <w:lang w:eastAsia="en-GB"/>
              </w:rPr>
              <w:t xml:space="preserve"> including Asset Rationalisation Programme managed and monitored</w:t>
            </w:r>
            <w:r w:rsidRPr="00BB3F98">
              <w:rPr>
                <w:rFonts w:ascii="Arial" w:eastAsia="Times New Roman" w:hAnsi="Arial" w:cs="Arial"/>
                <w:sz w:val="24"/>
                <w:szCs w:val="24"/>
                <w:lang w:eastAsia="en-GB"/>
              </w:rPr>
              <w:t>. Robust Business Cases for investment and disposals</w:t>
            </w:r>
            <w:r>
              <w:rPr>
                <w:rFonts w:ascii="Arial" w:eastAsia="Times New Roman" w:hAnsi="Arial" w:cs="Arial"/>
                <w:sz w:val="24"/>
                <w:szCs w:val="24"/>
                <w:lang w:eastAsia="en-GB"/>
              </w:rPr>
              <w:t>. Review lessons to be learnt from capital projects.</w:t>
            </w:r>
          </w:p>
        </w:tc>
        <w:tc>
          <w:tcPr>
            <w:tcW w:w="2221" w:type="dxa"/>
          </w:tcPr>
          <w:p w14:paraId="3D084533" w14:textId="77777777" w:rsidR="00E02BC1" w:rsidRPr="00BB3F98" w:rsidRDefault="00E02BC1" w:rsidP="00F10BD0">
            <w:pPr>
              <w:autoSpaceDE w:val="0"/>
              <w:autoSpaceDN w:val="0"/>
              <w:adjustRightInd w:val="0"/>
              <w:spacing w:after="120"/>
              <w:rPr>
                <w:rFonts w:ascii="Arial" w:eastAsia="Times New Roman" w:hAnsi="Arial" w:cs="Arial"/>
                <w:sz w:val="24"/>
                <w:szCs w:val="24"/>
                <w:lang w:eastAsia="en-GB"/>
              </w:rPr>
            </w:pPr>
            <w:r w:rsidRPr="00BB3F98">
              <w:rPr>
                <w:rFonts w:ascii="Arial" w:eastAsia="Times New Roman" w:hAnsi="Arial" w:cs="Arial"/>
                <w:sz w:val="24"/>
                <w:szCs w:val="24"/>
                <w:lang w:eastAsia="en-GB"/>
              </w:rPr>
              <w:t>Corporate Director of Development &amp; Growth</w:t>
            </w:r>
          </w:p>
        </w:tc>
        <w:tc>
          <w:tcPr>
            <w:tcW w:w="2408" w:type="dxa"/>
          </w:tcPr>
          <w:p w14:paraId="015399C9" w14:textId="77777777" w:rsidR="00E02BC1" w:rsidRPr="00BB3F98" w:rsidRDefault="00C02C4E" w:rsidP="00F10BD0">
            <w:pPr>
              <w:autoSpaceDE w:val="0"/>
              <w:autoSpaceDN w:val="0"/>
              <w:adjustRightInd w:val="0"/>
              <w:spacing w:after="120"/>
              <w:rPr>
                <w:rFonts w:ascii="Arial" w:eastAsia="Times New Roman" w:hAnsi="Arial" w:cs="Arial"/>
                <w:sz w:val="24"/>
                <w:szCs w:val="24"/>
                <w:lang w:eastAsia="en-GB"/>
              </w:rPr>
            </w:pPr>
            <w:r>
              <w:rPr>
                <w:rFonts w:ascii="Arial" w:eastAsia="Times New Roman" w:hAnsi="Arial" w:cs="Arial"/>
                <w:sz w:val="24"/>
                <w:szCs w:val="24"/>
                <w:lang w:eastAsia="en-GB"/>
              </w:rPr>
              <w:t xml:space="preserve">Head of </w:t>
            </w:r>
            <w:r w:rsidR="00E02BC1" w:rsidRPr="00BB3F98">
              <w:rPr>
                <w:rFonts w:ascii="Arial" w:eastAsia="Times New Roman" w:hAnsi="Arial" w:cs="Arial"/>
                <w:sz w:val="24"/>
                <w:szCs w:val="24"/>
                <w:lang w:eastAsia="en-GB"/>
              </w:rPr>
              <w:t>Strategic Assets &amp; Property</w:t>
            </w:r>
          </w:p>
          <w:p w14:paraId="7F3F68D7" w14:textId="77777777" w:rsidR="00E02BC1" w:rsidRDefault="00E02BC1" w:rsidP="00F10BD0">
            <w:pPr>
              <w:autoSpaceDE w:val="0"/>
              <w:autoSpaceDN w:val="0"/>
              <w:adjustRightInd w:val="0"/>
              <w:spacing w:after="120"/>
              <w:rPr>
                <w:rFonts w:ascii="Arial" w:eastAsia="Times New Roman" w:hAnsi="Arial" w:cs="Arial"/>
                <w:sz w:val="24"/>
                <w:szCs w:val="24"/>
                <w:lang w:eastAsia="en-GB"/>
              </w:rPr>
            </w:pPr>
            <w:r w:rsidRPr="00BB3F98">
              <w:rPr>
                <w:rFonts w:ascii="Arial" w:eastAsia="Times New Roman" w:hAnsi="Arial" w:cs="Arial"/>
                <w:sz w:val="24"/>
                <w:szCs w:val="24"/>
                <w:lang w:eastAsia="en-GB"/>
              </w:rPr>
              <w:t>Director of Major Projects</w:t>
            </w:r>
          </w:p>
          <w:p w14:paraId="3EA6027B" w14:textId="77777777" w:rsidR="00E02BC1" w:rsidRPr="00BB3F98" w:rsidRDefault="00E02BC1" w:rsidP="00F10BD0">
            <w:pPr>
              <w:autoSpaceDE w:val="0"/>
              <w:autoSpaceDN w:val="0"/>
              <w:adjustRightInd w:val="0"/>
              <w:spacing w:after="120"/>
              <w:rPr>
                <w:rFonts w:ascii="Arial" w:eastAsia="Times New Roman" w:hAnsi="Arial" w:cs="Arial"/>
                <w:sz w:val="24"/>
                <w:szCs w:val="24"/>
                <w:lang w:eastAsia="en-GB"/>
              </w:rPr>
            </w:pPr>
            <w:r>
              <w:rPr>
                <w:rFonts w:ascii="Arial" w:eastAsia="Times New Roman" w:hAnsi="Arial" w:cs="Arial"/>
                <w:sz w:val="24"/>
                <w:szCs w:val="24"/>
                <w:lang w:eastAsia="en-GB"/>
              </w:rPr>
              <w:t>Head of Strategic Finance</w:t>
            </w:r>
          </w:p>
        </w:tc>
        <w:tc>
          <w:tcPr>
            <w:tcW w:w="1121" w:type="dxa"/>
          </w:tcPr>
          <w:p w14:paraId="01BA102A" w14:textId="77777777" w:rsidR="00E02BC1" w:rsidRDefault="006F0C67" w:rsidP="00F10BD0">
            <w:pPr>
              <w:autoSpaceDE w:val="0"/>
              <w:autoSpaceDN w:val="0"/>
              <w:adjustRightInd w:val="0"/>
              <w:spacing w:after="120"/>
              <w:rPr>
                <w:rFonts w:ascii="Arial" w:eastAsia="Times New Roman" w:hAnsi="Arial" w:cs="Arial"/>
                <w:sz w:val="24"/>
                <w:szCs w:val="24"/>
                <w:lang w:eastAsia="en-GB"/>
              </w:rPr>
            </w:pPr>
            <w:r>
              <w:rPr>
                <w:rFonts w:ascii="Arial" w:eastAsia="Times New Roman" w:hAnsi="Arial" w:cs="Arial"/>
                <w:sz w:val="24"/>
                <w:szCs w:val="24"/>
                <w:lang w:eastAsia="en-GB"/>
              </w:rPr>
              <w:t>Ongoing</w:t>
            </w:r>
          </w:p>
          <w:p w14:paraId="5A0AC8D0" w14:textId="77777777" w:rsidR="00E02BC1" w:rsidRDefault="00E02BC1" w:rsidP="00F10BD0">
            <w:pPr>
              <w:autoSpaceDE w:val="0"/>
              <w:autoSpaceDN w:val="0"/>
              <w:adjustRightInd w:val="0"/>
              <w:spacing w:after="120"/>
              <w:rPr>
                <w:rFonts w:ascii="Arial" w:eastAsia="Times New Roman" w:hAnsi="Arial" w:cs="Arial"/>
                <w:sz w:val="24"/>
                <w:szCs w:val="24"/>
                <w:lang w:eastAsia="en-GB"/>
              </w:rPr>
            </w:pPr>
          </w:p>
          <w:p w14:paraId="6AC6BE2F" w14:textId="77777777" w:rsidR="00E02BC1" w:rsidRDefault="00E02BC1" w:rsidP="00F10BD0">
            <w:pPr>
              <w:autoSpaceDE w:val="0"/>
              <w:autoSpaceDN w:val="0"/>
              <w:adjustRightInd w:val="0"/>
              <w:spacing w:after="120"/>
              <w:rPr>
                <w:rFonts w:ascii="Arial" w:eastAsia="Times New Roman" w:hAnsi="Arial" w:cs="Arial"/>
                <w:sz w:val="24"/>
                <w:szCs w:val="24"/>
                <w:lang w:eastAsia="en-GB"/>
              </w:rPr>
            </w:pPr>
          </w:p>
          <w:p w14:paraId="657B141F" w14:textId="77777777" w:rsidR="00E02BC1" w:rsidRDefault="00E22102" w:rsidP="00F10BD0">
            <w:pPr>
              <w:autoSpaceDE w:val="0"/>
              <w:autoSpaceDN w:val="0"/>
              <w:adjustRightInd w:val="0"/>
              <w:spacing w:after="120"/>
              <w:rPr>
                <w:rFonts w:ascii="Arial" w:eastAsia="Times New Roman" w:hAnsi="Arial" w:cs="Arial"/>
                <w:sz w:val="24"/>
                <w:szCs w:val="24"/>
                <w:lang w:eastAsia="en-GB"/>
              </w:rPr>
            </w:pPr>
            <w:r>
              <w:rPr>
                <w:rFonts w:ascii="Arial" w:eastAsia="Times New Roman" w:hAnsi="Arial" w:cs="Arial"/>
                <w:sz w:val="24"/>
                <w:szCs w:val="24"/>
                <w:lang w:eastAsia="en-GB"/>
              </w:rPr>
              <w:t>Oct</w:t>
            </w:r>
            <w:r w:rsidR="006F0C67">
              <w:rPr>
                <w:rFonts w:ascii="Arial" w:eastAsia="Times New Roman" w:hAnsi="Arial" w:cs="Arial"/>
                <w:sz w:val="24"/>
                <w:szCs w:val="24"/>
                <w:lang w:eastAsia="en-GB"/>
              </w:rPr>
              <w:t>2</w:t>
            </w:r>
            <w:r>
              <w:rPr>
                <w:rFonts w:ascii="Arial" w:eastAsia="Times New Roman" w:hAnsi="Arial" w:cs="Arial"/>
                <w:sz w:val="24"/>
                <w:szCs w:val="24"/>
                <w:lang w:eastAsia="en-GB"/>
              </w:rPr>
              <w:t>0</w:t>
            </w:r>
          </w:p>
          <w:p w14:paraId="3DBFDDA0" w14:textId="77777777" w:rsidR="00E22102" w:rsidRDefault="00E22102" w:rsidP="00F10BD0">
            <w:pPr>
              <w:autoSpaceDE w:val="0"/>
              <w:autoSpaceDN w:val="0"/>
              <w:adjustRightInd w:val="0"/>
              <w:spacing w:after="120"/>
              <w:rPr>
                <w:rFonts w:ascii="Arial" w:eastAsia="Times New Roman" w:hAnsi="Arial" w:cs="Arial"/>
                <w:sz w:val="24"/>
                <w:szCs w:val="24"/>
                <w:lang w:eastAsia="en-GB"/>
              </w:rPr>
            </w:pPr>
          </w:p>
          <w:p w14:paraId="04A62057" w14:textId="77777777" w:rsidR="00E22102" w:rsidRDefault="00E22102" w:rsidP="00F10BD0">
            <w:pPr>
              <w:autoSpaceDE w:val="0"/>
              <w:autoSpaceDN w:val="0"/>
              <w:adjustRightInd w:val="0"/>
              <w:spacing w:after="120"/>
              <w:rPr>
                <w:rFonts w:ascii="Arial" w:eastAsia="Times New Roman" w:hAnsi="Arial" w:cs="Arial"/>
                <w:sz w:val="24"/>
                <w:szCs w:val="24"/>
                <w:lang w:eastAsia="en-GB"/>
              </w:rPr>
            </w:pPr>
          </w:p>
          <w:p w14:paraId="74335B94" w14:textId="77777777" w:rsidR="00E22102" w:rsidRDefault="00E22102" w:rsidP="00F10BD0">
            <w:pPr>
              <w:autoSpaceDE w:val="0"/>
              <w:autoSpaceDN w:val="0"/>
              <w:adjustRightInd w:val="0"/>
              <w:spacing w:after="120"/>
              <w:rPr>
                <w:rFonts w:ascii="Arial" w:eastAsia="Times New Roman" w:hAnsi="Arial" w:cs="Arial"/>
                <w:sz w:val="24"/>
                <w:szCs w:val="24"/>
                <w:lang w:eastAsia="en-GB"/>
              </w:rPr>
            </w:pPr>
          </w:p>
          <w:p w14:paraId="714D42E2" w14:textId="77777777" w:rsidR="00E22102" w:rsidRDefault="00E22102" w:rsidP="00F10BD0">
            <w:pPr>
              <w:autoSpaceDE w:val="0"/>
              <w:autoSpaceDN w:val="0"/>
              <w:adjustRightInd w:val="0"/>
              <w:spacing w:after="120"/>
              <w:rPr>
                <w:rFonts w:ascii="Arial" w:eastAsia="Times New Roman" w:hAnsi="Arial" w:cs="Arial"/>
                <w:sz w:val="24"/>
                <w:szCs w:val="24"/>
                <w:lang w:eastAsia="en-GB"/>
              </w:rPr>
            </w:pPr>
          </w:p>
          <w:p w14:paraId="3C0BDDB3" w14:textId="77777777" w:rsidR="00E22102" w:rsidRPr="00BB3F98" w:rsidRDefault="00E22102" w:rsidP="00F10BD0">
            <w:pPr>
              <w:autoSpaceDE w:val="0"/>
              <w:autoSpaceDN w:val="0"/>
              <w:adjustRightInd w:val="0"/>
              <w:spacing w:after="120"/>
              <w:rPr>
                <w:rFonts w:ascii="Arial" w:eastAsia="Times New Roman" w:hAnsi="Arial" w:cs="Arial"/>
                <w:sz w:val="24"/>
                <w:szCs w:val="24"/>
                <w:lang w:eastAsia="en-GB"/>
              </w:rPr>
            </w:pPr>
            <w:r>
              <w:rPr>
                <w:rFonts w:ascii="Arial" w:eastAsia="Times New Roman" w:hAnsi="Arial" w:cs="Arial"/>
                <w:sz w:val="24"/>
                <w:szCs w:val="24"/>
                <w:lang w:eastAsia="en-GB"/>
              </w:rPr>
              <w:t>Dec2020</w:t>
            </w:r>
          </w:p>
        </w:tc>
      </w:tr>
      <w:tr w:rsidR="00E02BC1" w:rsidRPr="00BB3F98" w14:paraId="2B26606C" w14:textId="77777777" w:rsidTr="00E02BC1">
        <w:tc>
          <w:tcPr>
            <w:tcW w:w="584" w:type="dxa"/>
          </w:tcPr>
          <w:p w14:paraId="25D5A01E" w14:textId="77777777" w:rsidR="00E02BC1" w:rsidRPr="00BB3F98" w:rsidRDefault="006F0C67" w:rsidP="00830F20">
            <w:pPr>
              <w:autoSpaceDE w:val="0"/>
              <w:autoSpaceDN w:val="0"/>
              <w:adjustRightInd w:val="0"/>
              <w:spacing w:after="120"/>
              <w:jc w:val="both"/>
              <w:rPr>
                <w:rFonts w:ascii="Arial" w:eastAsia="Times New Roman" w:hAnsi="Arial" w:cs="Arial"/>
                <w:sz w:val="24"/>
                <w:szCs w:val="24"/>
                <w:lang w:eastAsia="en-GB"/>
              </w:rPr>
            </w:pPr>
            <w:r>
              <w:rPr>
                <w:rFonts w:ascii="Arial" w:eastAsia="Times New Roman" w:hAnsi="Arial" w:cs="Arial"/>
                <w:sz w:val="24"/>
                <w:szCs w:val="24"/>
                <w:lang w:eastAsia="en-GB"/>
              </w:rPr>
              <w:t>3</w:t>
            </w:r>
          </w:p>
        </w:tc>
        <w:tc>
          <w:tcPr>
            <w:tcW w:w="3872" w:type="dxa"/>
          </w:tcPr>
          <w:p w14:paraId="0F6C5D9E" w14:textId="77777777" w:rsidR="00E02BC1" w:rsidRPr="00BB3F98" w:rsidRDefault="00E02BC1" w:rsidP="00F10BD0">
            <w:pPr>
              <w:autoSpaceDE w:val="0"/>
              <w:autoSpaceDN w:val="0"/>
              <w:adjustRightInd w:val="0"/>
              <w:spacing w:after="120"/>
              <w:rPr>
                <w:rFonts w:ascii="Arial" w:eastAsia="Times New Roman" w:hAnsi="Arial" w:cs="Arial"/>
                <w:sz w:val="24"/>
                <w:szCs w:val="24"/>
                <w:lang w:eastAsia="en-GB"/>
              </w:rPr>
            </w:pPr>
            <w:r>
              <w:rPr>
                <w:rFonts w:ascii="Arial" w:eastAsia="Times New Roman" w:hAnsi="Arial" w:cs="Arial"/>
                <w:sz w:val="24"/>
                <w:szCs w:val="24"/>
                <w:lang w:eastAsia="en-GB"/>
              </w:rPr>
              <w:t>Continuous review of the C</w:t>
            </w:r>
            <w:r w:rsidRPr="00BB3F98">
              <w:rPr>
                <w:rFonts w:ascii="Arial" w:eastAsia="Times New Roman" w:hAnsi="Arial" w:cs="Arial"/>
                <w:sz w:val="24"/>
                <w:szCs w:val="24"/>
                <w:lang w:eastAsia="en-GB"/>
              </w:rPr>
              <w:t>ouncil’s financial position</w:t>
            </w:r>
          </w:p>
        </w:tc>
        <w:tc>
          <w:tcPr>
            <w:tcW w:w="2221" w:type="dxa"/>
          </w:tcPr>
          <w:p w14:paraId="4B502B26" w14:textId="77777777" w:rsidR="00E02BC1" w:rsidRPr="00BB3F98" w:rsidRDefault="00E02BC1" w:rsidP="00F10BD0">
            <w:pPr>
              <w:autoSpaceDE w:val="0"/>
              <w:autoSpaceDN w:val="0"/>
              <w:adjustRightInd w:val="0"/>
              <w:spacing w:after="120"/>
              <w:rPr>
                <w:rFonts w:ascii="Arial" w:eastAsia="Times New Roman" w:hAnsi="Arial" w:cs="Arial"/>
                <w:sz w:val="24"/>
                <w:szCs w:val="24"/>
                <w:lang w:eastAsia="en-GB"/>
              </w:rPr>
            </w:pPr>
            <w:r w:rsidRPr="00BB3F98">
              <w:rPr>
                <w:rFonts w:ascii="Arial" w:eastAsia="Times New Roman" w:hAnsi="Arial" w:cs="Arial"/>
                <w:sz w:val="24"/>
                <w:szCs w:val="24"/>
                <w:lang w:eastAsia="en-GB"/>
              </w:rPr>
              <w:t>S151 Officer</w:t>
            </w:r>
          </w:p>
        </w:tc>
        <w:tc>
          <w:tcPr>
            <w:tcW w:w="2408" w:type="dxa"/>
          </w:tcPr>
          <w:p w14:paraId="5D9425D9" w14:textId="77777777" w:rsidR="00E02BC1" w:rsidRPr="00BB3F98" w:rsidRDefault="00E02BC1" w:rsidP="00F10BD0">
            <w:pPr>
              <w:autoSpaceDE w:val="0"/>
              <w:autoSpaceDN w:val="0"/>
              <w:adjustRightInd w:val="0"/>
              <w:spacing w:after="120"/>
              <w:rPr>
                <w:rFonts w:ascii="Arial" w:eastAsia="Times New Roman" w:hAnsi="Arial" w:cs="Arial"/>
                <w:sz w:val="24"/>
                <w:szCs w:val="24"/>
                <w:lang w:eastAsia="en-GB"/>
              </w:rPr>
            </w:pPr>
            <w:r w:rsidRPr="00BB3F98">
              <w:rPr>
                <w:rFonts w:ascii="Arial" w:eastAsia="Times New Roman" w:hAnsi="Arial" w:cs="Arial"/>
                <w:sz w:val="24"/>
                <w:szCs w:val="24"/>
                <w:lang w:eastAsia="en-GB"/>
              </w:rPr>
              <w:t xml:space="preserve">Head of  Strategic Finance </w:t>
            </w:r>
          </w:p>
        </w:tc>
        <w:tc>
          <w:tcPr>
            <w:tcW w:w="1121" w:type="dxa"/>
          </w:tcPr>
          <w:p w14:paraId="177CD5E5" w14:textId="77777777" w:rsidR="00E02BC1" w:rsidRPr="00BB3F98" w:rsidRDefault="00E02BC1" w:rsidP="00F10BD0">
            <w:pPr>
              <w:autoSpaceDE w:val="0"/>
              <w:autoSpaceDN w:val="0"/>
              <w:adjustRightInd w:val="0"/>
              <w:spacing w:after="120"/>
              <w:rPr>
                <w:rFonts w:ascii="Arial" w:eastAsia="Times New Roman" w:hAnsi="Arial" w:cs="Arial"/>
                <w:sz w:val="24"/>
                <w:szCs w:val="24"/>
                <w:lang w:eastAsia="en-GB"/>
              </w:rPr>
            </w:pPr>
            <w:r>
              <w:rPr>
                <w:rFonts w:ascii="Arial" w:eastAsia="Times New Roman" w:hAnsi="Arial" w:cs="Arial"/>
                <w:sz w:val="24"/>
                <w:szCs w:val="24"/>
                <w:lang w:eastAsia="en-GB"/>
              </w:rPr>
              <w:t>Ongoing</w:t>
            </w:r>
          </w:p>
        </w:tc>
      </w:tr>
      <w:tr w:rsidR="00E02BC1" w:rsidRPr="00BB3F98" w14:paraId="06A4AB57" w14:textId="77777777" w:rsidTr="00E02BC1">
        <w:tc>
          <w:tcPr>
            <w:tcW w:w="584" w:type="dxa"/>
          </w:tcPr>
          <w:p w14:paraId="7A4DEBD8" w14:textId="77777777" w:rsidR="00E02BC1" w:rsidRPr="00BB3F98" w:rsidRDefault="006F0C67" w:rsidP="00830F20">
            <w:pPr>
              <w:autoSpaceDE w:val="0"/>
              <w:autoSpaceDN w:val="0"/>
              <w:adjustRightInd w:val="0"/>
              <w:spacing w:after="120"/>
              <w:jc w:val="both"/>
              <w:rPr>
                <w:rFonts w:ascii="Arial" w:eastAsia="Times New Roman" w:hAnsi="Arial" w:cs="Arial"/>
                <w:sz w:val="24"/>
                <w:szCs w:val="24"/>
                <w:lang w:eastAsia="en-GB"/>
              </w:rPr>
            </w:pPr>
            <w:r>
              <w:rPr>
                <w:rFonts w:ascii="Arial" w:eastAsia="Times New Roman" w:hAnsi="Arial" w:cs="Arial"/>
                <w:sz w:val="24"/>
                <w:szCs w:val="24"/>
                <w:lang w:eastAsia="en-GB"/>
              </w:rPr>
              <w:t>4</w:t>
            </w:r>
          </w:p>
        </w:tc>
        <w:tc>
          <w:tcPr>
            <w:tcW w:w="3872" w:type="dxa"/>
          </w:tcPr>
          <w:p w14:paraId="1A5DAACB" w14:textId="77777777" w:rsidR="00E02BC1" w:rsidRPr="00BB3F98" w:rsidRDefault="00E02BC1" w:rsidP="00F10BD0">
            <w:pPr>
              <w:autoSpaceDE w:val="0"/>
              <w:autoSpaceDN w:val="0"/>
              <w:adjustRightInd w:val="0"/>
              <w:spacing w:after="120"/>
              <w:rPr>
                <w:rFonts w:ascii="Arial" w:eastAsia="Times New Roman" w:hAnsi="Arial" w:cs="Arial"/>
                <w:sz w:val="24"/>
                <w:szCs w:val="24"/>
                <w:lang w:eastAsia="en-GB"/>
              </w:rPr>
            </w:pPr>
            <w:r w:rsidRPr="00BB3F98">
              <w:rPr>
                <w:rFonts w:ascii="Arial" w:eastAsia="Times New Roman" w:hAnsi="Arial" w:cs="Arial"/>
                <w:sz w:val="24"/>
                <w:szCs w:val="24"/>
                <w:lang w:eastAsia="en-GB"/>
              </w:rPr>
              <w:t>Updated Medium Term Financial Strategy &amp; Medium Term Financial Outlook</w:t>
            </w:r>
            <w:r w:rsidR="0079050E">
              <w:rPr>
                <w:rFonts w:ascii="Arial" w:eastAsia="Times New Roman" w:hAnsi="Arial" w:cs="Arial"/>
                <w:sz w:val="24"/>
                <w:szCs w:val="24"/>
                <w:lang w:eastAsia="en-GB"/>
              </w:rPr>
              <w:t xml:space="preserve"> and in future undertake </w:t>
            </w:r>
            <w:r w:rsidR="0079050E" w:rsidRPr="0079050E">
              <w:rPr>
                <w:rFonts w:ascii="Arial" w:eastAsia="Times New Roman" w:hAnsi="Arial" w:cs="Arial"/>
                <w:sz w:val="24"/>
                <w:szCs w:val="24"/>
                <w:lang w:eastAsia="en-GB"/>
              </w:rPr>
              <w:t>a more regular formal review</w:t>
            </w:r>
          </w:p>
        </w:tc>
        <w:tc>
          <w:tcPr>
            <w:tcW w:w="2221" w:type="dxa"/>
          </w:tcPr>
          <w:p w14:paraId="166DE1D3" w14:textId="77777777" w:rsidR="00E02BC1" w:rsidRPr="00BB3F98" w:rsidRDefault="00E02BC1" w:rsidP="00F10BD0">
            <w:pPr>
              <w:autoSpaceDE w:val="0"/>
              <w:autoSpaceDN w:val="0"/>
              <w:adjustRightInd w:val="0"/>
              <w:spacing w:after="120"/>
              <w:rPr>
                <w:rFonts w:ascii="Arial" w:eastAsia="Times New Roman" w:hAnsi="Arial" w:cs="Arial"/>
                <w:sz w:val="24"/>
                <w:szCs w:val="24"/>
                <w:lang w:eastAsia="en-GB"/>
              </w:rPr>
            </w:pPr>
            <w:r w:rsidRPr="00BB3F98">
              <w:rPr>
                <w:rFonts w:ascii="Arial" w:eastAsia="Times New Roman" w:hAnsi="Arial" w:cs="Arial"/>
                <w:sz w:val="24"/>
                <w:szCs w:val="24"/>
                <w:lang w:eastAsia="en-GB"/>
              </w:rPr>
              <w:t>S151 Officer</w:t>
            </w:r>
          </w:p>
        </w:tc>
        <w:tc>
          <w:tcPr>
            <w:tcW w:w="2408" w:type="dxa"/>
          </w:tcPr>
          <w:p w14:paraId="107D1859" w14:textId="77777777" w:rsidR="00E02BC1" w:rsidRPr="00BB3F98" w:rsidRDefault="00E02BC1" w:rsidP="00F10BD0">
            <w:pPr>
              <w:autoSpaceDE w:val="0"/>
              <w:autoSpaceDN w:val="0"/>
              <w:adjustRightInd w:val="0"/>
              <w:spacing w:after="120"/>
              <w:rPr>
                <w:rFonts w:ascii="Arial" w:eastAsia="Times New Roman" w:hAnsi="Arial" w:cs="Arial"/>
                <w:sz w:val="24"/>
                <w:szCs w:val="24"/>
                <w:lang w:eastAsia="en-GB"/>
              </w:rPr>
            </w:pPr>
            <w:r w:rsidRPr="00BB3F98">
              <w:rPr>
                <w:rFonts w:ascii="Arial" w:eastAsia="Times New Roman" w:hAnsi="Arial" w:cs="Arial"/>
                <w:sz w:val="24"/>
                <w:szCs w:val="24"/>
                <w:lang w:eastAsia="en-GB"/>
              </w:rPr>
              <w:t xml:space="preserve">Head of  Strategic Finance </w:t>
            </w:r>
          </w:p>
        </w:tc>
        <w:tc>
          <w:tcPr>
            <w:tcW w:w="1121" w:type="dxa"/>
          </w:tcPr>
          <w:p w14:paraId="2A1BC6C1" w14:textId="77777777" w:rsidR="00E02BC1" w:rsidRPr="00BB3F98" w:rsidRDefault="006F0C67" w:rsidP="00F10BD0">
            <w:pPr>
              <w:autoSpaceDE w:val="0"/>
              <w:autoSpaceDN w:val="0"/>
              <w:adjustRightInd w:val="0"/>
              <w:spacing w:after="120"/>
              <w:rPr>
                <w:rFonts w:ascii="Arial" w:eastAsia="Times New Roman" w:hAnsi="Arial" w:cs="Arial"/>
                <w:sz w:val="24"/>
                <w:szCs w:val="24"/>
                <w:lang w:eastAsia="en-GB"/>
              </w:rPr>
            </w:pPr>
            <w:r>
              <w:rPr>
                <w:rFonts w:ascii="Arial" w:eastAsia="Times New Roman" w:hAnsi="Arial" w:cs="Arial"/>
                <w:sz w:val="24"/>
                <w:szCs w:val="24"/>
                <w:lang w:eastAsia="en-GB"/>
              </w:rPr>
              <w:t>Oct</w:t>
            </w:r>
            <w:r w:rsidR="00E02BC1">
              <w:rPr>
                <w:rFonts w:ascii="Arial" w:eastAsia="Times New Roman" w:hAnsi="Arial" w:cs="Arial"/>
                <w:sz w:val="24"/>
                <w:szCs w:val="24"/>
                <w:lang w:eastAsia="en-GB"/>
              </w:rPr>
              <w:t>2020</w:t>
            </w:r>
          </w:p>
        </w:tc>
      </w:tr>
      <w:tr w:rsidR="00E02BC1" w:rsidRPr="00BB3F98" w14:paraId="4E2EE975" w14:textId="77777777" w:rsidTr="00E02BC1">
        <w:tc>
          <w:tcPr>
            <w:tcW w:w="584" w:type="dxa"/>
          </w:tcPr>
          <w:p w14:paraId="764DD82F" w14:textId="77777777" w:rsidR="00E02BC1" w:rsidRPr="00BB3F98" w:rsidRDefault="006F0C67" w:rsidP="00830F20">
            <w:pPr>
              <w:autoSpaceDE w:val="0"/>
              <w:autoSpaceDN w:val="0"/>
              <w:adjustRightInd w:val="0"/>
              <w:spacing w:after="120"/>
              <w:jc w:val="both"/>
              <w:rPr>
                <w:rFonts w:ascii="Arial" w:eastAsia="Times New Roman" w:hAnsi="Arial" w:cs="Arial"/>
                <w:sz w:val="24"/>
                <w:szCs w:val="24"/>
                <w:lang w:eastAsia="en-GB"/>
              </w:rPr>
            </w:pPr>
            <w:r>
              <w:rPr>
                <w:rFonts w:ascii="Arial" w:eastAsia="Times New Roman" w:hAnsi="Arial" w:cs="Arial"/>
                <w:sz w:val="24"/>
                <w:szCs w:val="24"/>
                <w:lang w:eastAsia="en-GB"/>
              </w:rPr>
              <w:t>5</w:t>
            </w:r>
          </w:p>
        </w:tc>
        <w:tc>
          <w:tcPr>
            <w:tcW w:w="3872" w:type="dxa"/>
          </w:tcPr>
          <w:p w14:paraId="236B6A07" w14:textId="77777777" w:rsidR="00E02BC1" w:rsidRPr="00BB3F98" w:rsidRDefault="00E02BC1" w:rsidP="00F10BD0">
            <w:pPr>
              <w:autoSpaceDE w:val="0"/>
              <w:autoSpaceDN w:val="0"/>
              <w:adjustRightInd w:val="0"/>
              <w:spacing w:after="120"/>
              <w:rPr>
                <w:rFonts w:ascii="Arial" w:eastAsia="Times New Roman" w:hAnsi="Arial" w:cs="Arial"/>
                <w:sz w:val="24"/>
                <w:szCs w:val="24"/>
                <w:lang w:eastAsia="en-GB"/>
              </w:rPr>
            </w:pPr>
            <w:r w:rsidRPr="00BB3F98">
              <w:rPr>
                <w:rFonts w:ascii="Arial" w:eastAsia="Times New Roman" w:hAnsi="Arial" w:cs="Arial"/>
                <w:sz w:val="24"/>
                <w:szCs w:val="24"/>
                <w:lang w:eastAsia="en-GB"/>
              </w:rPr>
              <w:t>Implementation of in year savings in 2020-21 to balance the budget</w:t>
            </w:r>
          </w:p>
        </w:tc>
        <w:tc>
          <w:tcPr>
            <w:tcW w:w="2221" w:type="dxa"/>
          </w:tcPr>
          <w:p w14:paraId="6ACF5832" w14:textId="77777777" w:rsidR="00E02BC1" w:rsidRPr="00BB3F98" w:rsidRDefault="00E02BC1" w:rsidP="00F10BD0">
            <w:pPr>
              <w:autoSpaceDE w:val="0"/>
              <w:autoSpaceDN w:val="0"/>
              <w:adjustRightInd w:val="0"/>
              <w:spacing w:after="120"/>
              <w:rPr>
                <w:rFonts w:ascii="Arial" w:eastAsia="Times New Roman" w:hAnsi="Arial" w:cs="Arial"/>
                <w:sz w:val="24"/>
                <w:szCs w:val="24"/>
                <w:lang w:eastAsia="en-GB"/>
              </w:rPr>
            </w:pPr>
            <w:r w:rsidRPr="00BB3F98">
              <w:rPr>
                <w:rFonts w:ascii="Arial" w:eastAsia="Times New Roman" w:hAnsi="Arial" w:cs="Arial"/>
                <w:sz w:val="24"/>
                <w:szCs w:val="24"/>
                <w:lang w:eastAsia="en-GB"/>
              </w:rPr>
              <w:t>Corporate Directors</w:t>
            </w:r>
          </w:p>
        </w:tc>
        <w:tc>
          <w:tcPr>
            <w:tcW w:w="2408" w:type="dxa"/>
          </w:tcPr>
          <w:p w14:paraId="2F776536" w14:textId="77777777" w:rsidR="00E02BC1" w:rsidRPr="00BB3F98" w:rsidRDefault="00E02BC1" w:rsidP="00F10BD0">
            <w:pPr>
              <w:autoSpaceDE w:val="0"/>
              <w:autoSpaceDN w:val="0"/>
              <w:adjustRightInd w:val="0"/>
              <w:spacing w:after="120"/>
              <w:rPr>
                <w:rFonts w:ascii="Arial" w:eastAsia="Times New Roman" w:hAnsi="Arial" w:cs="Arial"/>
                <w:sz w:val="24"/>
                <w:szCs w:val="24"/>
                <w:lang w:eastAsia="en-GB"/>
              </w:rPr>
            </w:pPr>
            <w:r w:rsidRPr="00BB3F98">
              <w:rPr>
                <w:rFonts w:ascii="Arial" w:eastAsia="Times New Roman" w:hAnsi="Arial" w:cs="Arial"/>
                <w:sz w:val="24"/>
                <w:szCs w:val="24"/>
                <w:lang w:eastAsia="en-GB"/>
              </w:rPr>
              <w:t>All Directors &amp; Heads of Service</w:t>
            </w:r>
          </w:p>
        </w:tc>
        <w:tc>
          <w:tcPr>
            <w:tcW w:w="1121" w:type="dxa"/>
          </w:tcPr>
          <w:p w14:paraId="12728397" w14:textId="77777777" w:rsidR="00E02BC1" w:rsidRPr="00BB3F98" w:rsidRDefault="00E02BC1" w:rsidP="00F10BD0">
            <w:pPr>
              <w:autoSpaceDE w:val="0"/>
              <w:autoSpaceDN w:val="0"/>
              <w:adjustRightInd w:val="0"/>
              <w:spacing w:after="120"/>
              <w:rPr>
                <w:rFonts w:ascii="Arial" w:eastAsia="Times New Roman" w:hAnsi="Arial" w:cs="Arial"/>
                <w:sz w:val="24"/>
                <w:szCs w:val="24"/>
                <w:lang w:eastAsia="en-GB"/>
              </w:rPr>
            </w:pPr>
            <w:r>
              <w:rPr>
                <w:rFonts w:ascii="Arial" w:eastAsia="Times New Roman" w:hAnsi="Arial" w:cs="Arial"/>
                <w:sz w:val="24"/>
                <w:szCs w:val="24"/>
                <w:lang w:eastAsia="en-GB"/>
              </w:rPr>
              <w:t>Mar2021</w:t>
            </w:r>
          </w:p>
        </w:tc>
      </w:tr>
      <w:tr w:rsidR="00E02BC1" w:rsidRPr="00BB3F98" w14:paraId="67BF4FAF" w14:textId="77777777" w:rsidTr="00E02BC1">
        <w:tc>
          <w:tcPr>
            <w:tcW w:w="584" w:type="dxa"/>
          </w:tcPr>
          <w:p w14:paraId="78BF10C8" w14:textId="77777777" w:rsidR="00E02BC1" w:rsidRPr="00BB3F98" w:rsidRDefault="006F0C67" w:rsidP="00830F20">
            <w:pPr>
              <w:autoSpaceDE w:val="0"/>
              <w:autoSpaceDN w:val="0"/>
              <w:adjustRightInd w:val="0"/>
              <w:spacing w:after="120"/>
              <w:jc w:val="both"/>
              <w:rPr>
                <w:rFonts w:ascii="Arial" w:eastAsia="Times New Roman" w:hAnsi="Arial" w:cs="Arial"/>
                <w:sz w:val="24"/>
                <w:szCs w:val="24"/>
                <w:lang w:eastAsia="en-GB"/>
              </w:rPr>
            </w:pPr>
            <w:r>
              <w:rPr>
                <w:rFonts w:ascii="Arial" w:eastAsia="Times New Roman" w:hAnsi="Arial" w:cs="Arial"/>
                <w:sz w:val="24"/>
                <w:szCs w:val="24"/>
                <w:lang w:eastAsia="en-GB"/>
              </w:rPr>
              <w:t>6</w:t>
            </w:r>
          </w:p>
        </w:tc>
        <w:tc>
          <w:tcPr>
            <w:tcW w:w="3872" w:type="dxa"/>
          </w:tcPr>
          <w:p w14:paraId="54F3BC58" w14:textId="77777777" w:rsidR="00E02BC1" w:rsidRPr="00BB3F98" w:rsidRDefault="00971C17" w:rsidP="00F10BD0">
            <w:pPr>
              <w:autoSpaceDE w:val="0"/>
              <w:autoSpaceDN w:val="0"/>
              <w:adjustRightInd w:val="0"/>
              <w:spacing w:after="120"/>
              <w:rPr>
                <w:rFonts w:ascii="Arial" w:eastAsia="Times New Roman" w:hAnsi="Arial" w:cs="Arial"/>
                <w:sz w:val="24"/>
                <w:szCs w:val="24"/>
                <w:lang w:eastAsia="en-GB"/>
              </w:rPr>
            </w:pPr>
            <w:r>
              <w:rPr>
                <w:rFonts w:ascii="Arial" w:eastAsia="Times New Roman" w:hAnsi="Arial" w:cs="Arial"/>
                <w:sz w:val="24"/>
                <w:szCs w:val="24"/>
                <w:lang w:eastAsia="en-GB"/>
              </w:rPr>
              <w:t>Work with</w:t>
            </w:r>
            <w:r w:rsidRPr="00BB3F98">
              <w:rPr>
                <w:rFonts w:ascii="Arial" w:eastAsia="Times New Roman" w:hAnsi="Arial" w:cs="Arial"/>
                <w:sz w:val="24"/>
                <w:szCs w:val="24"/>
                <w:lang w:eastAsia="en-GB"/>
              </w:rPr>
              <w:t xml:space="preserve"> </w:t>
            </w:r>
            <w:r w:rsidR="00E02BC1" w:rsidRPr="00BB3F98">
              <w:rPr>
                <w:rFonts w:ascii="Arial" w:eastAsia="Times New Roman" w:hAnsi="Arial" w:cs="Arial"/>
                <w:sz w:val="24"/>
                <w:szCs w:val="24"/>
                <w:lang w:eastAsia="en-GB"/>
              </w:rPr>
              <w:t>central government for a fair settlement in respect of the impact of Covid-19 on all councils</w:t>
            </w:r>
          </w:p>
        </w:tc>
        <w:tc>
          <w:tcPr>
            <w:tcW w:w="2221" w:type="dxa"/>
          </w:tcPr>
          <w:p w14:paraId="258D6731" w14:textId="77777777" w:rsidR="00E02BC1" w:rsidRPr="00BB3F98" w:rsidRDefault="00E02BC1" w:rsidP="00F10BD0">
            <w:pPr>
              <w:autoSpaceDE w:val="0"/>
              <w:autoSpaceDN w:val="0"/>
              <w:adjustRightInd w:val="0"/>
              <w:spacing w:after="120"/>
              <w:rPr>
                <w:rFonts w:ascii="Arial" w:eastAsia="Times New Roman" w:hAnsi="Arial" w:cs="Arial"/>
                <w:sz w:val="24"/>
                <w:szCs w:val="24"/>
                <w:lang w:eastAsia="en-GB"/>
              </w:rPr>
            </w:pPr>
            <w:r w:rsidRPr="00BB3F98">
              <w:rPr>
                <w:rFonts w:ascii="Arial" w:eastAsia="Times New Roman" w:hAnsi="Arial" w:cs="Arial"/>
                <w:sz w:val="24"/>
                <w:szCs w:val="24"/>
                <w:lang w:eastAsia="en-GB"/>
              </w:rPr>
              <w:t>Chief Executive &amp; Leader</w:t>
            </w:r>
          </w:p>
        </w:tc>
        <w:tc>
          <w:tcPr>
            <w:tcW w:w="2408" w:type="dxa"/>
          </w:tcPr>
          <w:p w14:paraId="3CBC99DE" w14:textId="77777777" w:rsidR="00E02BC1" w:rsidRPr="00BB3F98" w:rsidRDefault="00E02BC1" w:rsidP="00F10BD0">
            <w:pPr>
              <w:autoSpaceDE w:val="0"/>
              <w:autoSpaceDN w:val="0"/>
              <w:adjustRightInd w:val="0"/>
              <w:spacing w:after="120"/>
              <w:rPr>
                <w:rFonts w:ascii="Arial" w:eastAsia="Times New Roman" w:hAnsi="Arial" w:cs="Arial"/>
                <w:sz w:val="24"/>
                <w:szCs w:val="24"/>
                <w:lang w:eastAsia="en-GB"/>
              </w:rPr>
            </w:pPr>
            <w:r w:rsidRPr="00BB3F98">
              <w:rPr>
                <w:rFonts w:ascii="Arial" w:eastAsia="Times New Roman" w:hAnsi="Arial" w:cs="Arial"/>
                <w:sz w:val="24"/>
                <w:szCs w:val="24"/>
                <w:lang w:eastAsia="en-GB"/>
              </w:rPr>
              <w:t>S151 Officer</w:t>
            </w:r>
          </w:p>
        </w:tc>
        <w:tc>
          <w:tcPr>
            <w:tcW w:w="1121" w:type="dxa"/>
          </w:tcPr>
          <w:p w14:paraId="2A67B609" w14:textId="77777777" w:rsidR="00E02BC1" w:rsidRPr="00BB3F98" w:rsidRDefault="00E02BC1" w:rsidP="00F10BD0">
            <w:pPr>
              <w:autoSpaceDE w:val="0"/>
              <w:autoSpaceDN w:val="0"/>
              <w:adjustRightInd w:val="0"/>
              <w:spacing w:after="120"/>
              <w:rPr>
                <w:rFonts w:ascii="Arial" w:eastAsia="Times New Roman" w:hAnsi="Arial" w:cs="Arial"/>
                <w:sz w:val="24"/>
                <w:szCs w:val="24"/>
                <w:lang w:eastAsia="en-GB"/>
              </w:rPr>
            </w:pPr>
            <w:r>
              <w:rPr>
                <w:rFonts w:ascii="Arial" w:eastAsia="Times New Roman" w:hAnsi="Arial" w:cs="Arial"/>
                <w:sz w:val="24"/>
                <w:szCs w:val="24"/>
                <w:lang w:eastAsia="en-GB"/>
              </w:rPr>
              <w:t>Ongoing</w:t>
            </w:r>
          </w:p>
        </w:tc>
      </w:tr>
      <w:tr w:rsidR="005076B1" w:rsidRPr="00BB3F98" w14:paraId="106A710C" w14:textId="77777777" w:rsidTr="00E02BC1">
        <w:tc>
          <w:tcPr>
            <w:tcW w:w="584" w:type="dxa"/>
          </w:tcPr>
          <w:p w14:paraId="3160D34D" w14:textId="77777777" w:rsidR="005076B1" w:rsidRDefault="005076B1" w:rsidP="005076B1">
            <w:pPr>
              <w:autoSpaceDE w:val="0"/>
              <w:autoSpaceDN w:val="0"/>
              <w:adjustRightInd w:val="0"/>
              <w:spacing w:after="120"/>
              <w:jc w:val="both"/>
              <w:rPr>
                <w:rFonts w:ascii="Arial" w:eastAsia="Times New Roman" w:hAnsi="Arial" w:cs="Arial"/>
                <w:sz w:val="24"/>
                <w:szCs w:val="24"/>
                <w:lang w:eastAsia="en-GB"/>
              </w:rPr>
            </w:pPr>
            <w:r>
              <w:rPr>
                <w:rFonts w:ascii="Arial" w:eastAsia="Times New Roman" w:hAnsi="Arial" w:cs="Arial"/>
                <w:sz w:val="24"/>
                <w:szCs w:val="24"/>
                <w:lang w:eastAsia="en-GB"/>
              </w:rPr>
              <w:t>7</w:t>
            </w:r>
          </w:p>
        </w:tc>
        <w:tc>
          <w:tcPr>
            <w:tcW w:w="3872" w:type="dxa"/>
          </w:tcPr>
          <w:p w14:paraId="6A970BEF" w14:textId="77777777" w:rsidR="005076B1" w:rsidRPr="00BB3F98" w:rsidRDefault="005076B1" w:rsidP="00F10BD0">
            <w:pPr>
              <w:autoSpaceDE w:val="0"/>
              <w:autoSpaceDN w:val="0"/>
              <w:adjustRightInd w:val="0"/>
              <w:spacing w:after="120"/>
              <w:rPr>
                <w:rFonts w:ascii="Arial" w:eastAsia="Times New Roman" w:hAnsi="Arial" w:cs="Arial"/>
                <w:sz w:val="24"/>
                <w:szCs w:val="24"/>
                <w:lang w:eastAsia="en-GB"/>
              </w:rPr>
            </w:pPr>
            <w:r>
              <w:rPr>
                <w:rFonts w:ascii="Arial" w:eastAsia="Times New Roman" w:hAnsi="Arial" w:cs="Arial"/>
                <w:sz w:val="24"/>
                <w:szCs w:val="24"/>
                <w:lang w:eastAsia="en-GB"/>
              </w:rPr>
              <w:t xml:space="preserve">Continued monitoring of </w:t>
            </w:r>
            <w:r w:rsidRPr="005076B1">
              <w:rPr>
                <w:rFonts w:ascii="Arial" w:eastAsia="Times New Roman" w:hAnsi="Arial" w:cs="Arial"/>
                <w:sz w:val="24"/>
                <w:szCs w:val="24"/>
                <w:lang w:eastAsia="en-GB"/>
              </w:rPr>
              <w:t>government guidance, assess impact on citizens and employees and complete detailed risk assessments for any reinstatement of services with particular regard for BAME staff and citizens.</w:t>
            </w:r>
            <w:r>
              <w:rPr>
                <w:rFonts w:ascii="Arial" w:eastAsia="Times New Roman" w:hAnsi="Arial" w:cs="Arial"/>
                <w:sz w:val="24"/>
                <w:szCs w:val="24"/>
                <w:lang w:eastAsia="en-GB"/>
              </w:rPr>
              <w:t xml:space="preserve"> Implementation of Local Outbreak Control Plan if appropriate</w:t>
            </w:r>
          </w:p>
        </w:tc>
        <w:tc>
          <w:tcPr>
            <w:tcW w:w="2221" w:type="dxa"/>
          </w:tcPr>
          <w:p w14:paraId="3FB1BD4B" w14:textId="77777777" w:rsidR="005076B1" w:rsidRPr="00BB3F98" w:rsidRDefault="005076B1" w:rsidP="00F10BD0">
            <w:pPr>
              <w:autoSpaceDE w:val="0"/>
              <w:autoSpaceDN w:val="0"/>
              <w:adjustRightInd w:val="0"/>
              <w:spacing w:after="120"/>
              <w:rPr>
                <w:rFonts w:ascii="Arial" w:eastAsia="Times New Roman" w:hAnsi="Arial" w:cs="Arial"/>
                <w:sz w:val="24"/>
                <w:szCs w:val="24"/>
                <w:lang w:eastAsia="en-GB"/>
              </w:rPr>
            </w:pPr>
            <w:r w:rsidRPr="00BB3F98">
              <w:rPr>
                <w:rFonts w:ascii="Arial" w:eastAsia="Times New Roman" w:hAnsi="Arial" w:cs="Arial"/>
                <w:sz w:val="24"/>
                <w:szCs w:val="24"/>
                <w:lang w:eastAsia="en-GB"/>
              </w:rPr>
              <w:t>Chief Executive &amp; Leader</w:t>
            </w:r>
          </w:p>
        </w:tc>
        <w:tc>
          <w:tcPr>
            <w:tcW w:w="2408" w:type="dxa"/>
          </w:tcPr>
          <w:p w14:paraId="20B7CE8C" w14:textId="77777777" w:rsidR="005076B1" w:rsidRPr="00BB3F98" w:rsidRDefault="005076B1" w:rsidP="00F10BD0">
            <w:pPr>
              <w:autoSpaceDE w:val="0"/>
              <w:autoSpaceDN w:val="0"/>
              <w:adjustRightInd w:val="0"/>
              <w:spacing w:after="120"/>
              <w:rPr>
                <w:rFonts w:ascii="Arial" w:eastAsia="Times New Roman" w:hAnsi="Arial" w:cs="Arial"/>
                <w:sz w:val="24"/>
                <w:szCs w:val="24"/>
                <w:lang w:eastAsia="en-GB"/>
              </w:rPr>
            </w:pPr>
            <w:r w:rsidRPr="00BB3F98">
              <w:rPr>
                <w:rFonts w:ascii="Arial" w:eastAsia="Times New Roman" w:hAnsi="Arial" w:cs="Arial"/>
                <w:sz w:val="24"/>
                <w:szCs w:val="24"/>
                <w:lang w:eastAsia="en-GB"/>
              </w:rPr>
              <w:t>All Directors &amp; Heads of Service</w:t>
            </w:r>
          </w:p>
        </w:tc>
        <w:tc>
          <w:tcPr>
            <w:tcW w:w="1121" w:type="dxa"/>
          </w:tcPr>
          <w:p w14:paraId="467BA4B4" w14:textId="77777777" w:rsidR="005076B1" w:rsidRDefault="00596703" w:rsidP="00F10BD0">
            <w:pPr>
              <w:autoSpaceDE w:val="0"/>
              <w:autoSpaceDN w:val="0"/>
              <w:adjustRightInd w:val="0"/>
              <w:spacing w:after="120"/>
              <w:rPr>
                <w:rFonts w:ascii="Arial" w:eastAsia="Times New Roman" w:hAnsi="Arial" w:cs="Arial"/>
                <w:sz w:val="24"/>
                <w:szCs w:val="24"/>
                <w:lang w:eastAsia="en-GB"/>
              </w:rPr>
            </w:pPr>
            <w:r>
              <w:rPr>
                <w:rFonts w:ascii="Arial" w:eastAsia="Times New Roman" w:hAnsi="Arial" w:cs="Arial"/>
                <w:sz w:val="24"/>
                <w:szCs w:val="24"/>
                <w:lang w:eastAsia="en-GB"/>
              </w:rPr>
              <w:t>O</w:t>
            </w:r>
            <w:r w:rsidR="005076B1">
              <w:rPr>
                <w:rFonts w:ascii="Arial" w:eastAsia="Times New Roman" w:hAnsi="Arial" w:cs="Arial"/>
                <w:sz w:val="24"/>
                <w:szCs w:val="24"/>
                <w:lang w:eastAsia="en-GB"/>
              </w:rPr>
              <w:t>ngoing</w:t>
            </w:r>
          </w:p>
        </w:tc>
      </w:tr>
      <w:tr w:rsidR="005076B1" w:rsidRPr="00BB3F98" w14:paraId="37A066C4" w14:textId="77777777" w:rsidTr="00E02BC1">
        <w:tc>
          <w:tcPr>
            <w:tcW w:w="584" w:type="dxa"/>
          </w:tcPr>
          <w:p w14:paraId="5E7FA32A" w14:textId="77777777" w:rsidR="005076B1" w:rsidRPr="00BB3F98" w:rsidRDefault="00971C17" w:rsidP="00F10BD0">
            <w:pPr>
              <w:autoSpaceDE w:val="0"/>
              <w:autoSpaceDN w:val="0"/>
              <w:adjustRightInd w:val="0"/>
              <w:spacing w:after="120"/>
              <w:rPr>
                <w:rFonts w:ascii="Arial" w:eastAsia="Times New Roman" w:hAnsi="Arial" w:cs="Arial"/>
                <w:sz w:val="24"/>
                <w:szCs w:val="24"/>
                <w:lang w:eastAsia="en-GB"/>
              </w:rPr>
            </w:pPr>
            <w:r>
              <w:rPr>
                <w:rFonts w:ascii="Arial" w:eastAsia="Times New Roman" w:hAnsi="Arial" w:cs="Arial"/>
                <w:sz w:val="24"/>
                <w:szCs w:val="24"/>
                <w:lang w:eastAsia="en-GB"/>
              </w:rPr>
              <w:t>8</w:t>
            </w:r>
          </w:p>
        </w:tc>
        <w:tc>
          <w:tcPr>
            <w:tcW w:w="3872" w:type="dxa"/>
          </w:tcPr>
          <w:p w14:paraId="61A358E0" w14:textId="77777777" w:rsidR="005076B1" w:rsidRPr="00BB3F98" w:rsidRDefault="005076B1" w:rsidP="00F10BD0">
            <w:pPr>
              <w:autoSpaceDE w:val="0"/>
              <w:autoSpaceDN w:val="0"/>
              <w:adjustRightInd w:val="0"/>
              <w:spacing w:after="120"/>
              <w:rPr>
                <w:rFonts w:ascii="Arial" w:eastAsia="Times New Roman" w:hAnsi="Arial" w:cs="Arial"/>
                <w:sz w:val="24"/>
                <w:szCs w:val="24"/>
                <w:lang w:eastAsia="en-GB"/>
              </w:rPr>
            </w:pPr>
            <w:r>
              <w:rPr>
                <w:rFonts w:ascii="Arial" w:eastAsia="Times New Roman" w:hAnsi="Arial" w:cs="Arial"/>
                <w:sz w:val="24"/>
                <w:szCs w:val="24"/>
                <w:lang w:eastAsia="en-GB"/>
              </w:rPr>
              <w:t>A</w:t>
            </w:r>
            <w:r w:rsidRPr="00BA79BD">
              <w:rPr>
                <w:rFonts w:ascii="Arial" w:eastAsia="Times New Roman" w:hAnsi="Arial" w:cs="Arial"/>
                <w:sz w:val="24"/>
                <w:szCs w:val="24"/>
                <w:lang w:eastAsia="en-GB"/>
              </w:rPr>
              <w:t xml:space="preserve"> review of </w:t>
            </w:r>
            <w:r w:rsidR="00F938DA">
              <w:rPr>
                <w:rFonts w:ascii="Arial" w:eastAsia="Times New Roman" w:hAnsi="Arial" w:cs="Arial"/>
                <w:sz w:val="24"/>
                <w:szCs w:val="24"/>
                <w:lang w:eastAsia="en-GB"/>
              </w:rPr>
              <w:t xml:space="preserve">the </w:t>
            </w:r>
            <w:r w:rsidRPr="00BA79BD">
              <w:rPr>
                <w:rFonts w:ascii="Arial" w:eastAsia="Times New Roman" w:hAnsi="Arial" w:cs="Arial"/>
                <w:sz w:val="24"/>
                <w:szCs w:val="24"/>
                <w:lang w:eastAsia="en-GB"/>
              </w:rPr>
              <w:t>council’s commercial strategy in the light of the risks and negative financial impact the council is experiencing</w:t>
            </w:r>
            <w:r>
              <w:rPr>
                <w:rFonts w:ascii="Arial" w:eastAsia="Times New Roman" w:hAnsi="Arial" w:cs="Arial"/>
                <w:sz w:val="24"/>
                <w:szCs w:val="24"/>
                <w:lang w:eastAsia="en-GB"/>
              </w:rPr>
              <w:t xml:space="preserve">. </w:t>
            </w:r>
            <w:r>
              <w:rPr>
                <w:rFonts w:ascii="Arial" w:eastAsia="Times New Roman" w:hAnsi="Arial" w:cs="Arial"/>
                <w:sz w:val="24"/>
                <w:szCs w:val="24"/>
                <w:lang w:eastAsia="en-GB"/>
              </w:rPr>
              <w:lastRenderedPageBreak/>
              <w:t>A</w:t>
            </w:r>
            <w:r w:rsidRPr="00C17B59">
              <w:rPr>
                <w:rFonts w:ascii="Arial" w:eastAsia="Times New Roman" w:hAnsi="Arial" w:cs="Arial"/>
                <w:sz w:val="24"/>
                <w:szCs w:val="24"/>
                <w:lang w:eastAsia="en-GB"/>
              </w:rPr>
              <w:t xml:space="preserve"> review of risk to returns and dividends from council companie</w:t>
            </w:r>
            <w:r>
              <w:rPr>
                <w:rFonts w:ascii="Arial" w:eastAsia="Times New Roman" w:hAnsi="Arial" w:cs="Arial"/>
                <w:sz w:val="24"/>
                <w:szCs w:val="24"/>
                <w:lang w:eastAsia="en-GB"/>
              </w:rPr>
              <w:t>s.</w:t>
            </w:r>
          </w:p>
        </w:tc>
        <w:tc>
          <w:tcPr>
            <w:tcW w:w="2221" w:type="dxa"/>
          </w:tcPr>
          <w:p w14:paraId="52956250" w14:textId="77777777" w:rsidR="005076B1" w:rsidRPr="00BB3F98" w:rsidRDefault="005076B1" w:rsidP="00F10BD0">
            <w:pPr>
              <w:autoSpaceDE w:val="0"/>
              <w:autoSpaceDN w:val="0"/>
              <w:adjustRightInd w:val="0"/>
              <w:spacing w:after="120"/>
              <w:rPr>
                <w:rFonts w:ascii="Arial" w:eastAsia="Times New Roman" w:hAnsi="Arial" w:cs="Arial"/>
                <w:sz w:val="24"/>
                <w:szCs w:val="24"/>
                <w:lang w:eastAsia="en-GB"/>
              </w:rPr>
            </w:pPr>
            <w:r w:rsidRPr="00BB3F98">
              <w:rPr>
                <w:rFonts w:ascii="Arial" w:eastAsia="Times New Roman" w:hAnsi="Arial" w:cs="Arial"/>
                <w:sz w:val="24"/>
                <w:szCs w:val="24"/>
                <w:lang w:eastAsia="en-GB"/>
              </w:rPr>
              <w:lastRenderedPageBreak/>
              <w:t>Chief Executive</w:t>
            </w:r>
          </w:p>
        </w:tc>
        <w:tc>
          <w:tcPr>
            <w:tcW w:w="2408" w:type="dxa"/>
          </w:tcPr>
          <w:p w14:paraId="47E98834" w14:textId="77777777" w:rsidR="005076B1" w:rsidRPr="00BB3F98" w:rsidRDefault="005076B1" w:rsidP="00F10BD0">
            <w:pPr>
              <w:autoSpaceDE w:val="0"/>
              <w:autoSpaceDN w:val="0"/>
              <w:adjustRightInd w:val="0"/>
              <w:spacing w:after="120"/>
              <w:rPr>
                <w:rFonts w:ascii="Arial" w:eastAsia="Times New Roman" w:hAnsi="Arial" w:cs="Arial"/>
                <w:sz w:val="24"/>
                <w:szCs w:val="24"/>
                <w:lang w:eastAsia="en-GB"/>
              </w:rPr>
            </w:pPr>
            <w:r>
              <w:rPr>
                <w:rFonts w:ascii="Arial" w:eastAsia="Times New Roman" w:hAnsi="Arial" w:cs="Arial"/>
                <w:sz w:val="24"/>
                <w:szCs w:val="24"/>
                <w:lang w:eastAsia="en-GB"/>
              </w:rPr>
              <w:t>All Corporate Directors</w:t>
            </w:r>
          </w:p>
        </w:tc>
        <w:tc>
          <w:tcPr>
            <w:tcW w:w="1121" w:type="dxa"/>
          </w:tcPr>
          <w:p w14:paraId="651B175E" w14:textId="77777777" w:rsidR="005076B1" w:rsidRDefault="005076B1" w:rsidP="00F10BD0">
            <w:pPr>
              <w:autoSpaceDE w:val="0"/>
              <w:autoSpaceDN w:val="0"/>
              <w:adjustRightInd w:val="0"/>
              <w:spacing w:after="120"/>
              <w:rPr>
                <w:rFonts w:ascii="Arial" w:eastAsia="Times New Roman" w:hAnsi="Arial" w:cs="Arial"/>
                <w:sz w:val="24"/>
                <w:szCs w:val="24"/>
                <w:lang w:eastAsia="en-GB"/>
              </w:rPr>
            </w:pPr>
            <w:r>
              <w:rPr>
                <w:rFonts w:ascii="Arial" w:eastAsia="Times New Roman" w:hAnsi="Arial" w:cs="Arial"/>
                <w:sz w:val="24"/>
                <w:szCs w:val="24"/>
                <w:lang w:eastAsia="en-GB"/>
              </w:rPr>
              <w:t>Ongoing</w:t>
            </w:r>
          </w:p>
          <w:p w14:paraId="5B5C613D" w14:textId="77777777" w:rsidR="00356949" w:rsidRDefault="00356949" w:rsidP="00F10BD0">
            <w:pPr>
              <w:autoSpaceDE w:val="0"/>
              <w:autoSpaceDN w:val="0"/>
              <w:adjustRightInd w:val="0"/>
              <w:spacing w:after="120"/>
              <w:rPr>
                <w:rFonts w:ascii="Arial" w:eastAsia="Times New Roman" w:hAnsi="Arial" w:cs="Arial"/>
                <w:sz w:val="24"/>
                <w:szCs w:val="24"/>
                <w:lang w:eastAsia="en-GB"/>
              </w:rPr>
            </w:pPr>
          </w:p>
          <w:p w14:paraId="020B572D" w14:textId="77777777" w:rsidR="00356949" w:rsidRDefault="00356949" w:rsidP="00F10BD0">
            <w:pPr>
              <w:autoSpaceDE w:val="0"/>
              <w:autoSpaceDN w:val="0"/>
              <w:adjustRightInd w:val="0"/>
              <w:spacing w:after="120"/>
              <w:rPr>
                <w:rFonts w:ascii="Arial" w:eastAsia="Times New Roman" w:hAnsi="Arial" w:cs="Arial"/>
                <w:sz w:val="24"/>
                <w:szCs w:val="24"/>
                <w:lang w:eastAsia="en-GB"/>
              </w:rPr>
            </w:pPr>
          </w:p>
          <w:p w14:paraId="081C100D" w14:textId="77777777" w:rsidR="00356949" w:rsidRDefault="00356949" w:rsidP="00F10BD0">
            <w:pPr>
              <w:autoSpaceDE w:val="0"/>
              <w:autoSpaceDN w:val="0"/>
              <w:adjustRightInd w:val="0"/>
              <w:spacing w:after="120"/>
              <w:rPr>
                <w:rFonts w:ascii="Arial" w:eastAsia="Times New Roman" w:hAnsi="Arial" w:cs="Arial"/>
                <w:sz w:val="24"/>
                <w:szCs w:val="24"/>
                <w:lang w:eastAsia="en-GB"/>
              </w:rPr>
            </w:pPr>
            <w:r>
              <w:rPr>
                <w:rFonts w:ascii="Arial" w:eastAsia="Times New Roman" w:hAnsi="Arial" w:cs="Arial"/>
                <w:sz w:val="24"/>
                <w:szCs w:val="24"/>
                <w:lang w:eastAsia="en-GB"/>
              </w:rPr>
              <w:t>Nov2020</w:t>
            </w:r>
          </w:p>
        </w:tc>
      </w:tr>
      <w:tr w:rsidR="005076B1" w:rsidRPr="00BB3F98" w14:paraId="71B3F072" w14:textId="77777777" w:rsidTr="00E02BC1">
        <w:tc>
          <w:tcPr>
            <w:tcW w:w="584" w:type="dxa"/>
          </w:tcPr>
          <w:p w14:paraId="1F9345D6" w14:textId="77777777" w:rsidR="005076B1" w:rsidRPr="00BB3F98" w:rsidRDefault="00971C17" w:rsidP="00971C17">
            <w:pPr>
              <w:autoSpaceDE w:val="0"/>
              <w:autoSpaceDN w:val="0"/>
              <w:adjustRightInd w:val="0"/>
              <w:spacing w:after="120"/>
              <w:jc w:val="both"/>
              <w:rPr>
                <w:rFonts w:ascii="Arial" w:eastAsia="Times New Roman" w:hAnsi="Arial" w:cs="Arial"/>
                <w:sz w:val="24"/>
                <w:szCs w:val="24"/>
                <w:lang w:eastAsia="en-GB"/>
              </w:rPr>
            </w:pPr>
            <w:r>
              <w:rPr>
                <w:rFonts w:ascii="Arial" w:eastAsia="Times New Roman" w:hAnsi="Arial" w:cs="Arial"/>
                <w:sz w:val="24"/>
                <w:szCs w:val="24"/>
                <w:lang w:eastAsia="en-GB"/>
              </w:rPr>
              <w:lastRenderedPageBreak/>
              <w:t>9</w:t>
            </w:r>
          </w:p>
        </w:tc>
        <w:tc>
          <w:tcPr>
            <w:tcW w:w="3872" w:type="dxa"/>
          </w:tcPr>
          <w:p w14:paraId="6FEAE8B9" w14:textId="77777777" w:rsidR="005076B1" w:rsidRPr="00BB3F98" w:rsidRDefault="005076B1" w:rsidP="00F10BD0">
            <w:pPr>
              <w:autoSpaceDE w:val="0"/>
              <w:autoSpaceDN w:val="0"/>
              <w:adjustRightInd w:val="0"/>
              <w:spacing w:after="120"/>
              <w:rPr>
                <w:rFonts w:ascii="Arial" w:eastAsia="Times New Roman" w:hAnsi="Arial" w:cs="Arial"/>
                <w:sz w:val="24"/>
                <w:szCs w:val="24"/>
                <w:lang w:eastAsia="en-GB"/>
              </w:rPr>
            </w:pPr>
            <w:r w:rsidRPr="00BB3F98">
              <w:rPr>
                <w:rFonts w:ascii="Arial" w:eastAsia="Times New Roman" w:hAnsi="Arial" w:cs="Arial"/>
                <w:sz w:val="24"/>
                <w:szCs w:val="24"/>
                <w:lang w:eastAsia="en-GB"/>
              </w:rPr>
              <w:t xml:space="preserve">A </w:t>
            </w:r>
            <w:r w:rsidR="00ED7189">
              <w:rPr>
                <w:rFonts w:ascii="Arial" w:eastAsia="Times New Roman" w:hAnsi="Arial" w:cs="Arial"/>
                <w:sz w:val="24"/>
                <w:szCs w:val="24"/>
                <w:lang w:eastAsia="en-GB"/>
              </w:rPr>
              <w:t xml:space="preserve">strategic </w:t>
            </w:r>
            <w:r w:rsidRPr="00BB3F98">
              <w:rPr>
                <w:rFonts w:ascii="Arial" w:eastAsia="Times New Roman" w:hAnsi="Arial" w:cs="Arial"/>
                <w:sz w:val="24"/>
                <w:szCs w:val="24"/>
                <w:lang w:eastAsia="en-GB"/>
              </w:rPr>
              <w:t>review of the Council’s options in respect of Robin Hood Energy</w:t>
            </w:r>
            <w:r>
              <w:rPr>
                <w:rFonts w:ascii="Arial" w:eastAsia="Times New Roman" w:hAnsi="Arial" w:cs="Arial"/>
                <w:sz w:val="24"/>
                <w:szCs w:val="24"/>
                <w:lang w:eastAsia="en-GB"/>
              </w:rPr>
              <w:t xml:space="preserve">. </w:t>
            </w:r>
          </w:p>
        </w:tc>
        <w:tc>
          <w:tcPr>
            <w:tcW w:w="2221" w:type="dxa"/>
          </w:tcPr>
          <w:p w14:paraId="21EEF413" w14:textId="77777777" w:rsidR="005076B1" w:rsidRPr="00BB3F98" w:rsidRDefault="005076B1" w:rsidP="00F10BD0">
            <w:pPr>
              <w:autoSpaceDE w:val="0"/>
              <w:autoSpaceDN w:val="0"/>
              <w:adjustRightInd w:val="0"/>
              <w:spacing w:after="120"/>
              <w:rPr>
                <w:rFonts w:ascii="Arial" w:eastAsia="Times New Roman" w:hAnsi="Arial" w:cs="Arial"/>
                <w:sz w:val="24"/>
                <w:szCs w:val="24"/>
                <w:lang w:eastAsia="en-GB"/>
              </w:rPr>
            </w:pPr>
            <w:r w:rsidRPr="00BB3F98">
              <w:rPr>
                <w:rFonts w:ascii="Arial" w:eastAsia="Times New Roman" w:hAnsi="Arial" w:cs="Arial"/>
                <w:sz w:val="24"/>
                <w:szCs w:val="24"/>
                <w:lang w:eastAsia="en-GB"/>
              </w:rPr>
              <w:t>Chief Executive</w:t>
            </w:r>
          </w:p>
        </w:tc>
        <w:tc>
          <w:tcPr>
            <w:tcW w:w="2408" w:type="dxa"/>
          </w:tcPr>
          <w:p w14:paraId="671641E9" w14:textId="77777777" w:rsidR="005076B1" w:rsidRPr="00BB3F98" w:rsidRDefault="005076B1" w:rsidP="00F10BD0">
            <w:pPr>
              <w:autoSpaceDE w:val="0"/>
              <w:autoSpaceDN w:val="0"/>
              <w:adjustRightInd w:val="0"/>
              <w:spacing w:after="120"/>
              <w:rPr>
                <w:rFonts w:ascii="Arial" w:eastAsia="Times New Roman" w:hAnsi="Arial" w:cs="Arial"/>
                <w:sz w:val="24"/>
                <w:szCs w:val="24"/>
                <w:lang w:eastAsia="en-GB"/>
              </w:rPr>
            </w:pPr>
            <w:r w:rsidRPr="00BB3F98">
              <w:rPr>
                <w:rFonts w:ascii="Arial" w:eastAsia="Times New Roman" w:hAnsi="Arial" w:cs="Arial"/>
                <w:sz w:val="24"/>
                <w:szCs w:val="24"/>
                <w:lang w:eastAsia="en-GB"/>
              </w:rPr>
              <w:t>Corporate Director of Development &amp; Growth</w:t>
            </w:r>
          </w:p>
        </w:tc>
        <w:tc>
          <w:tcPr>
            <w:tcW w:w="1121" w:type="dxa"/>
          </w:tcPr>
          <w:p w14:paraId="5BEB6CA6" w14:textId="77777777" w:rsidR="00596703" w:rsidRPr="00BB3F98" w:rsidRDefault="00596703" w:rsidP="00F10BD0">
            <w:pPr>
              <w:autoSpaceDE w:val="0"/>
              <w:autoSpaceDN w:val="0"/>
              <w:adjustRightInd w:val="0"/>
              <w:spacing w:after="120"/>
              <w:rPr>
                <w:rFonts w:ascii="Arial" w:eastAsia="Times New Roman" w:hAnsi="Arial" w:cs="Arial"/>
                <w:sz w:val="24"/>
                <w:szCs w:val="24"/>
                <w:lang w:eastAsia="en-GB"/>
              </w:rPr>
            </w:pPr>
            <w:r>
              <w:rPr>
                <w:rFonts w:ascii="Arial" w:eastAsia="Times New Roman" w:hAnsi="Arial" w:cs="Arial"/>
                <w:sz w:val="24"/>
                <w:szCs w:val="24"/>
                <w:lang w:eastAsia="en-GB"/>
              </w:rPr>
              <w:t>Oct</w:t>
            </w:r>
            <w:r w:rsidR="005076B1">
              <w:rPr>
                <w:rFonts w:ascii="Arial" w:eastAsia="Times New Roman" w:hAnsi="Arial" w:cs="Arial"/>
                <w:sz w:val="24"/>
                <w:szCs w:val="24"/>
                <w:lang w:eastAsia="en-GB"/>
              </w:rPr>
              <w:t>2020</w:t>
            </w:r>
          </w:p>
        </w:tc>
      </w:tr>
      <w:tr w:rsidR="00ED7189" w:rsidRPr="00BB3F98" w14:paraId="5EB5C4DB" w14:textId="77777777" w:rsidTr="00E02BC1">
        <w:tc>
          <w:tcPr>
            <w:tcW w:w="584" w:type="dxa"/>
          </w:tcPr>
          <w:p w14:paraId="1F1C44F2" w14:textId="77777777" w:rsidR="00ED7189" w:rsidRDefault="00ED7189" w:rsidP="00971C17">
            <w:pPr>
              <w:autoSpaceDE w:val="0"/>
              <w:autoSpaceDN w:val="0"/>
              <w:adjustRightInd w:val="0"/>
              <w:spacing w:after="120"/>
              <w:jc w:val="both"/>
              <w:rPr>
                <w:rFonts w:ascii="Arial" w:eastAsia="Times New Roman" w:hAnsi="Arial" w:cs="Arial"/>
                <w:sz w:val="24"/>
                <w:szCs w:val="24"/>
                <w:lang w:eastAsia="en-GB"/>
              </w:rPr>
            </w:pPr>
            <w:r>
              <w:rPr>
                <w:rFonts w:ascii="Arial" w:eastAsia="Times New Roman" w:hAnsi="Arial" w:cs="Arial"/>
                <w:sz w:val="24"/>
                <w:szCs w:val="24"/>
                <w:lang w:eastAsia="en-GB"/>
              </w:rPr>
              <w:t>1</w:t>
            </w:r>
            <w:r w:rsidR="00971C17">
              <w:rPr>
                <w:rFonts w:ascii="Arial" w:eastAsia="Times New Roman" w:hAnsi="Arial" w:cs="Arial"/>
                <w:sz w:val="24"/>
                <w:szCs w:val="24"/>
                <w:lang w:eastAsia="en-GB"/>
              </w:rPr>
              <w:t>0</w:t>
            </w:r>
          </w:p>
        </w:tc>
        <w:tc>
          <w:tcPr>
            <w:tcW w:w="3872" w:type="dxa"/>
          </w:tcPr>
          <w:p w14:paraId="1A8DB163" w14:textId="77777777" w:rsidR="00ED7189" w:rsidRPr="00BB3F98" w:rsidRDefault="00ED7189" w:rsidP="00F10BD0">
            <w:pPr>
              <w:autoSpaceDE w:val="0"/>
              <w:autoSpaceDN w:val="0"/>
              <w:adjustRightInd w:val="0"/>
              <w:spacing w:after="120"/>
              <w:rPr>
                <w:rFonts w:ascii="Arial" w:eastAsia="Times New Roman" w:hAnsi="Arial" w:cs="Arial"/>
                <w:sz w:val="24"/>
                <w:szCs w:val="24"/>
                <w:lang w:eastAsia="en-GB"/>
              </w:rPr>
            </w:pPr>
            <w:r>
              <w:rPr>
                <w:rFonts w:ascii="Arial" w:eastAsia="Times New Roman" w:hAnsi="Arial" w:cs="Arial"/>
                <w:sz w:val="24"/>
                <w:szCs w:val="24"/>
                <w:lang w:eastAsia="en-GB"/>
              </w:rPr>
              <w:t>Review lessons to be learnt from the Council’s involvement with RHE.</w:t>
            </w:r>
          </w:p>
        </w:tc>
        <w:tc>
          <w:tcPr>
            <w:tcW w:w="2221" w:type="dxa"/>
          </w:tcPr>
          <w:p w14:paraId="48DAE2A7" w14:textId="77777777" w:rsidR="00ED7189" w:rsidRPr="00BB3F98" w:rsidRDefault="00ED7189" w:rsidP="00F10BD0">
            <w:pPr>
              <w:autoSpaceDE w:val="0"/>
              <w:autoSpaceDN w:val="0"/>
              <w:adjustRightInd w:val="0"/>
              <w:spacing w:after="120"/>
              <w:rPr>
                <w:rFonts w:ascii="Arial" w:eastAsia="Times New Roman" w:hAnsi="Arial" w:cs="Arial"/>
                <w:sz w:val="24"/>
                <w:szCs w:val="24"/>
                <w:lang w:eastAsia="en-GB"/>
              </w:rPr>
            </w:pPr>
            <w:r w:rsidRPr="00BB3F98">
              <w:rPr>
                <w:rFonts w:ascii="Arial" w:eastAsia="Times New Roman" w:hAnsi="Arial" w:cs="Arial"/>
                <w:sz w:val="24"/>
                <w:szCs w:val="24"/>
                <w:lang w:eastAsia="en-GB"/>
              </w:rPr>
              <w:t>Chief Executive</w:t>
            </w:r>
          </w:p>
        </w:tc>
        <w:tc>
          <w:tcPr>
            <w:tcW w:w="2408" w:type="dxa"/>
          </w:tcPr>
          <w:p w14:paraId="103609A5" w14:textId="77777777" w:rsidR="00ED7189" w:rsidRPr="00BB3F98" w:rsidRDefault="00ED7189" w:rsidP="00F10BD0">
            <w:pPr>
              <w:autoSpaceDE w:val="0"/>
              <w:autoSpaceDN w:val="0"/>
              <w:adjustRightInd w:val="0"/>
              <w:spacing w:after="120"/>
              <w:rPr>
                <w:rFonts w:ascii="Arial" w:eastAsia="Times New Roman" w:hAnsi="Arial" w:cs="Arial"/>
                <w:sz w:val="24"/>
                <w:szCs w:val="24"/>
                <w:lang w:eastAsia="en-GB"/>
              </w:rPr>
            </w:pPr>
            <w:r w:rsidRPr="00BB3F98">
              <w:rPr>
                <w:rFonts w:ascii="Arial" w:eastAsia="Times New Roman" w:hAnsi="Arial" w:cs="Arial"/>
                <w:sz w:val="24"/>
                <w:szCs w:val="24"/>
                <w:lang w:eastAsia="en-GB"/>
              </w:rPr>
              <w:t>Corporate Director of Development &amp; Growth</w:t>
            </w:r>
          </w:p>
        </w:tc>
        <w:tc>
          <w:tcPr>
            <w:tcW w:w="1121" w:type="dxa"/>
          </w:tcPr>
          <w:p w14:paraId="041CC4C7" w14:textId="77777777" w:rsidR="00ED7189" w:rsidRDefault="00ED7189" w:rsidP="00F10BD0">
            <w:pPr>
              <w:autoSpaceDE w:val="0"/>
              <w:autoSpaceDN w:val="0"/>
              <w:adjustRightInd w:val="0"/>
              <w:spacing w:after="120"/>
              <w:rPr>
                <w:rFonts w:ascii="Arial" w:eastAsia="Times New Roman" w:hAnsi="Arial" w:cs="Arial"/>
                <w:sz w:val="24"/>
                <w:szCs w:val="24"/>
                <w:lang w:eastAsia="en-GB"/>
              </w:rPr>
            </w:pPr>
            <w:r>
              <w:rPr>
                <w:rFonts w:ascii="Arial" w:eastAsia="Times New Roman" w:hAnsi="Arial" w:cs="Arial"/>
                <w:sz w:val="24"/>
                <w:szCs w:val="24"/>
                <w:lang w:eastAsia="en-GB"/>
              </w:rPr>
              <w:t>Mar2021</w:t>
            </w:r>
          </w:p>
        </w:tc>
      </w:tr>
      <w:tr w:rsidR="005076B1" w14:paraId="3D26A39F" w14:textId="77777777" w:rsidTr="00E02BC1">
        <w:tc>
          <w:tcPr>
            <w:tcW w:w="584" w:type="dxa"/>
          </w:tcPr>
          <w:p w14:paraId="7E4DF918" w14:textId="77777777" w:rsidR="005076B1" w:rsidRPr="00BB3F98" w:rsidRDefault="005076B1" w:rsidP="005076B1">
            <w:pPr>
              <w:autoSpaceDE w:val="0"/>
              <w:autoSpaceDN w:val="0"/>
              <w:adjustRightInd w:val="0"/>
              <w:spacing w:after="120"/>
              <w:jc w:val="both"/>
              <w:rPr>
                <w:rFonts w:ascii="Arial" w:eastAsia="Times New Roman" w:hAnsi="Arial" w:cs="Arial"/>
                <w:sz w:val="24"/>
                <w:szCs w:val="24"/>
                <w:lang w:eastAsia="en-GB"/>
              </w:rPr>
            </w:pPr>
            <w:r>
              <w:rPr>
                <w:rFonts w:ascii="Arial" w:eastAsia="Times New Roman" w:hAnsi="Arial" w:cs="Arial"/>
                <w:sz w:val="24"/>
                <w:szCs w:val="24"/>
                <w:lang w:eastAsia="en-GB"/>
              </w:rPr>
              <w:t>1</w:t>
            </w:r>
            <w:r w:rsidR="00971C17">
              <w:rPr>
                <w:rFonts w:ascii="Arial" w:eastAsia="Times New Roman" w:hAnsi="Arial" w:cs="Arial"/>
                <w:sz w:val="24"/>
                <w:szCs w:val="24"/>
                <w:lang w:eastAsia="en-GB"/>
              </w:rPr>
              <w:t>1</w:t>
            </w:r>
          </w:p>
        </w:tc>
        <w:tc>
          <w:tcPr>
            <w:tcW w:w="3872" w:type="dxa"/>
          </w:tcPr>
          <w:p w14:paraId="105A115F" w14:textId="77777777" w:rsidR="005076B1" w:rsidRPr="00BB3F98" w:rsidRDefault="005076B1" w:rsidP="00F10BD0">
            <w:pPr>
              <w:autoSpaceDE w:val="0"/>
              <w:autoSpaceDN w:val="0"/>
              <w:adjustRightInd w:val="0"/>
              <w:spacing w:after="120"/>
              <w:rPr>
                <w:rFonts w:ascii="Arial" w:eastAsia="Times New Roman" w:hAnsi="Arial" w:cs="Arial"/>
                <w:sz w:val="24"/>
                <w:szCs w:val="24"/>
                <w:lang w:eastAsia="en-GB"/>
              </w:rPr>
            </w:pPr>
            <w:r w:rsidRPr="00BB3F98">
              <w:rPr>
                <w:rFonts w:ascii="Arial" w:eastAsia="Times New Roman" w:hAnsi="Arial" w:cs="Arial"/>
                <w:sz w:val="24"/>
                <w:szCs w:val="24"/>
                <w:lang w:eastAsia="en-GB"/>
              </w:rPr>
              <w:t xml:space="preserve">Completion of </w:t>
            </w:r>
            <w:r w:rsidR="00F938DA">
              <w:rPr>
                <w:rFonts w:ascii="Arial" w:eastAsia="Times New Roman" w:hAnsi="Arial" w:cs="Arial"/>
                <w:sz w:val="24"/>
                <w:szCs w:val="24"/>
                <w:lang w:eastAsia="en-GB"/>
              </w:rPr>
              <w:t xml:space="preserve">Children’s Improvement Programme </w:t>
            </w:r>
            <w:r w:rsidRPr="00BB3F98">
              <w:rPr>
                <w:rFonts w:ascii="Arial" w:eastAsia="Times New Roman" w:hAnsi="Arial" w:cs="Arial"/>
                <w:sz w:val="24"/>
                <w:szCs w:val="24"/>
                <w:lang w:eastAsia="en-GB"/>
              </w:rPr>
              <w:t xml:space="preserve"> plan and delivery of sustainable social work resource levels that deliver on the council’s statutory obligations in respect of children and families</w:t>
            </w:r>
          </w:p>
        </w:tc>
        <w:tc>
          <w:tcPr>
            <w:tcW w:w="2221" w:type="dxa"/>
          </w:tcPr>
          <w:p w14:paraId="6A592288" w14:textId="77777777" w:rsidR="005076B1" w:rsidRPr="00BB3F98" w:rsidRDefault="005076B1" w:rsidP="00F10BD0">
            <w:pPr>
              <w:autoSpaceDE w:val="0"/>
              <w:autoSpaceDN w:val="0"/>
              <w:adjustRightInd w:val="0"/>
              <w:spacing w:after="120"/>
              <w:rPr>
                <w:rFonts w:ascii="Arial" w:eastAsia="Times New Roman" w:hAnsi="Arial" w:cs="Arial"/>
                <w:sz w:val="24"/>
                <w:szCs w:val="24"/>
                <w:lang w:eastAsia="en-GB"/>
              </w:rPr>
            </w:pPr>
            <w:r w:rsidRPr="00BB3F98">
              <w:rPr>
                <w:rFonts w:ascii="Arial" w:eastAsia="Times New Roman" w:hAnsi="Arial" w:cs="Arial"/>
                <w:sz w:val="24"/>
                <w:szCs w:val="24"/>
                <w:lang w:eastAsia="en-GB"/>
              </w:rPr>
              <w:t>Corporate Director for People</w:t>
            </w:r>
          </w:p>
        </w:tc>
        <w:tc>
          <w:tcPr>
            <w:tcW w:w="2408" w:type="dxa"/>
          </w:tcPr>
          <w:p w14:paraId="788E9E02" w14:textId="77777777" w:rsidR="005076B1" w:rsidRPr="00BB3F98" w:rsidRDefault="005076B1" w:rsidP="00F10BD0">
            <w:pPr>
              <w:autoSpaceDE w:val="0"/>
              <w:autoSpaceDN w:val="0"/>
              <w:adjustRightInd w:val="0"/>
              <w:spacing w:after="120"/>
              <w:rPr>
                <w:rFonts w:ascii="Arial" w:eastAsia="Times New Roman" w:hAnsi="Arial" w:cs="Arial"/>
                <w:sz w:val="24"/>
                <w:szCs w:val="24"/>
                <w:lang w:eastAsia="en-GB"/>
              </w:rPr>
            </w:pPr>
            <w:r w:rsidRPr="00BB3F98">
              <w:rPr>
                <w:rFonts w:ascii="Arial" w:eastAsia="Times New Roman" w:hAnsi="Arial" w:cs="Arial"/>
                <w:sz w:val="24"/>
                <w:szCs w:val="24"/>
                <w:lang w:eastAsia="en-GB"/>
              </w:rPr>
              <w:t>Director of Children’s Integrated Services</w:t>
            </w:r>
          </w:p>
        </w:tc>
        <w:tc>
          <w:tcPr>
            <w:tcW w:w="1121" w:type="dxa"/>
          </w:tcPr>
          <w:p w14:paraId="1250B46E" w14:textId="77777777" w:rsidR="005076B1" w:rsidRPr="00BB3F98" w:rsidRDefault="005076B1" w:rsidP="00F10BD0">
            <w:pPr>
              <w:autoSpaceDE w:val="0"/>
              <w:autoSpaceDN w:val="0"/>
              <w:adjustRightInd w:val="0"/>
              <w:spacing w:after="120"/>
              <w:rPr>
                <w:rFonts w:ascii="Arial" w:eastAsia="Times New Roman" w:hAnsi="Arial" w:cs="Arial"/>
                <w:sz w:val="24"/>
                <w:szCs w:val="24"/>
                <w:lang w:eastAsia="en-GB"/>
              </w:rPr>
            </w:pPr>
            <w:r>
              <w:rPr>
                <w:rFonts w:ascii="Arial" w:eastAsia="Times New Roman" w:hAnsi="Arial" w:cs="Arial"/>
                <w:sz w:val="24"/>
                <w:szCs w:val="24"/>
                <w:lang w:eastAsia="en-GB"/>
              </w:rPr>
              <w:t>Ongoing Mar2021</w:t>
            </w:r>
          </w:p>
        </w:tc>
      </w:tr>
      <w:tr w:rsidR="005076B1" w14:paraId="7F9DEA18" w14:textId="77777777" w:rsidTr="00E02BC1">
        <w:tc>
          <w:tcPr>
            <w:tcW w:w="584" w:type="dxa"/>
          </w:tcPr>
          <w:p w14:paraId="0E5FE56E" w14:textId="77777777" w:rsidR="005076B1" w:rsidRPr="00501328" w:rsidRDefault="005076B1" w:rsidP="005076B1">
            <w:pPr>
              <w:autoSpaceDE w:val="0"/>
              <w:autoSpaceDN w:val="0"/>
              <w:adjustRightInd w:val="0"/>
              <w:spacing w:after="120"/>
              <w:jc w:val="both"/>
              <w:rPr>
                <w:rFonts w:ascii="Arial" w:eastAsia="Times New Roman" w:hAnsi="Arial" w:cs="Arial"/>
                <w:sz w:val="24"/>
                <w:szCs w:val="24"/>
                <w:lang w:eastAsia="en-GB"/>
              </w:rPr>
            </w:pPr>
            <w:r>
              <w:rPr>
                <w:rFonts w:ascii="Arial" w:eastAsia="Times New Roman" w:hAnsi="Arial" w:cs="Arial"/>
                <w:sz w:val="24"/>
                <w:szCs w:val="24"/>
                <w:lang w:eastAsia="en-GB"/>
              </w:rPr>
              <w:t>1</w:t>
            </w:r>
            <w:r w:rsidR="00971C17">
              <w:rPr>
                <w:rFonts w:ascii="Arial" w:eastAsia="Times New Roman" w:hAnsi="Arial" w:cs="Arial"/>
                <w:sz w:val="24"/>
                <w:szCs w:val="24"/>
                <w:lang w:eastAsia="en-GB"/>
              </w:rPr>
              <w:t>2</w:t>
            </w:r>
          </w:p>
        </w:tc>
        <w:tc>
          <w:tcPr>
            <w:tcW w:w="3872" w:type="dxa"/>
          </w:tcPr>
          <w:p w14:paraId="0FF15833" w14:textId="77777777" w:rsidR="005076B1" w:rsidRPr="00F77EAE" w:rsidRDefault="00ED7189" w:rsidP="00F10BD0">
            <w:pPr>
              <w:autoSpaceDE w:val="0"/>
              <w:autoSpaceDN w:val="0"/>
              <w:adjustRightInd w:val="0"/>
              <w:spacing w:after="120"/>
              <w:rPr>
                <w:rFonts w:ascii="Arial" w:eastAsia="Times New Roman" w:hAnsi="Arial" w:cs="Arial"/>
                <w:sz w:val="24"/>
                <w:szCs w:val="24"/>
                <w:lang w:eastAsia="en-GB"/>
              </w:rPr>
            </w:pPr>
            <w:r w:rsidRPr="00F77EAE">
              <w:rPr>
                <w:rFonts w:ascii="Arial" w:eastAsia="Times New Roman" w:hAnsi="Arial" w:cs="Arial"/>
                <w:sz w:val="24"/>
                <w:szCs w:val="24"/>
                <w:lang w:eastAsia="en-GB"/>
              </w:rPr>
              <w:t xml:space="preserve">In respect of </w:t>
            </w:r>
          </w:p>
          <w:p w14:paraId="38D14896" w14:textId="77777777" w:rsidR="005F5495" w:rsidRPr="00F77EAE" w:rsidRDefault="005F5495" w:rsidP="00F10BD0">
            <w:pPr>
              <w:pStyle w:val="ListParagraph"/>
              <w:numPr>
                <w:ilvl w:val="0"/>
                <w:numId w:val="38"/>
              </w:numPr>
              <w:autoSpaceDE w:val="0"/>
              <w:autoSpaceDN w:val="0"/>
              <w:adjustRightInd w:val="0"/>
              <w:spacing w:after="120"/>
              <w:rPr>
                <w:rFonts w:ascii="Arial" w:eastAsia="Times New Roman" w:hAnsi="Arial" w:cs="Arial"/>
                <w:sz w:val="24"/>
                <w:szCs w:val="24"/>
                <w:lang w:eastAsia="en-GB"/>
              </w:rPr>
            </w:pPr>
            <w:r w:rsidRPr="00F77EAE">
              <w:rPr>
                <w:rFonts w:ascii="Arial" w:eastAsia="Times New Roman" w:hAnsi="Arial" w:cs="Arial"/>
                <w:sz w:val="24"/>
                <w:szCs w:val="24"/>
                <w:lang w:eastAsia="en-GB"/>
              </w:rPr>
              <w:t>Business planning</w:t>
            </w:r>
          </w:p>
          <w:p w14:paraId="4FDA74D6" w14:textId="77777777" w:rsidR="00ED7189" w:rsidRPr="00F77EAE" w:rsidRDefault="00ED7189" w:rsidP="00F10BD0">
            <w:pPr>
              <w:pStyle w:val="ListParagraph"/>
              <w:numPr>
                <w:ilvl w:val="0"/>
                <w:numId w:val="38"/>
              </w:numPr>
              <w:autoSpaceDE w:val="0"/>
              <w:autoSpaceDN w:val="0"/>
              <w:adjustRightInd w:val="0"/>
              <w:spacing w:after="120"/>
              <w:rPr>
                <w:rFonts w:ascii="Arial" w:eastAsia="Times New Roman" w:hAnsi="Arial" w:cs="Arial"/>
                <w:sz w:val="24"/>
                <w:szCs w:val="24"/>
                <w:lang w:eastAsia="en-GB"/>
              </w:rPr>
            </w:pPr>
            <w:r w:rsidRPr="00F77EAE">
              <w:rPr>
                <w:rFonts w:ascii="Arial" w:eastAsia="Times New Roman" w:hAnsi="Arial" w:cs="Arial"/>
                <w:sz w:val="24"/>
                <w:szCs w:val="24"/>
                <w:lang w:eastAsia="en-GB"/>
              </w:rPr>
              <w:t>Business case assurance</w:t>
            </w:r>
          </w:p>
          <w:p w14:paraId="0AC1277D" w14:textId="77777777" w:rsidR="00ED7189" w:rsidRPr="00F77EAE" w:rsidRDefault="00ED7189" w:rsidP="00F10BD0">
            <w:pPr>
              <w:pStyle w:val="ListParagraph"/>
              <w:numPr>
                <w:ilvl w:val="0"/>
                <w:numId w:val="38"/>
              </w:numPr>
              <w:autoSpaceDE w:val="0"/>
              <w:autoSpaceDN w:val="0"/>
              <w:adjustRightInd w:val="0"/>
              <w:spacing w:after="120"/>
              <w:rPr>
                <w:rFonts w:ascii="Arial" w:eastAsia="Times New Roman" w:hAnsi="Arial" w:cs="Arial"/>
                <w:sz w:val="24"/>
                <w:szCs w:val="24"/>
                <w:lang w:eastAsia="en-GB"/>
              </w:rPr>
            </w:pPr>
            <w:r w:rsidRPr="00F77EAE">
              <w:rPr>
                <w:rFonts w:ascii="Arial" w:eastAsia="Times New Roman" w:hAnsi="Arial" w:cs="Arial"/>
                <w:sz w:val="24"/>
                <w:szCs w:val="24"/>
                <w:lang w:eastAsia="en-GB"/>
              </w:rPr>
              <w:t>Programme and project management</w:t>
            </w:r>
          </w:p>
          <w:p w14:paraId="2F148F8C" w14:textId="77777777" w:rsidR="00ED7189" w:rsidRPr="00F77EAE" w:rsidRDefault="00ED7189" w:rsidP="00F10BD0">
            <w:pPr>
              <w:pStyle w:val="ListParagraph"/>
              <w:numPr>
                <w:ilvl w:val="0"/>
                <w:numId w:val="38"/>
              </w:numPr>
              <w:autoSpaceDE w:val="0"/>
              <w:autoSpaceDN w:val="0"/>
              <w:adjustRightInd w:val="0"/>
              <w:spacing w:after="120"/>
              <w:rPr>
                <w:rFonts w:ascii="Arial" w:eastAsia="Times New Roman" w:hAnsi="Arial" w:cs="Arial"/>
                <w:sz w:val="24"/>
                <w:szCs w:val="24"/>
                <w:lang w:eastAsia="en-GB"/>
              </w:rPr>
            </w:pPr>
            <w:r w:rsidRPr="00F77EAE">
              <w:rPr>
                <w:rFonts w:ascii="Arial" w:eastAsia="Times New Roman" w:hAnsi="Arial" w:cs="Arial"/>
                <w:sz w:val="24"/>
                <w:szCs w:val="24"/>
                <w:lang w:eastAsia="en-GB"/>
              </w:rPr>
              <w:t>Financial regulations &amp; standing orders</w:t>
            </w:r>
          </w:p>
          <w:p w14:paraId="42D3BCFC" w14:textId="77777777" w:rsidR="00ED7189" w:rsidRPr="00C02C4E" w:rsidRDefault="00B5153D" w:rsidP="00EB2631">
            <w:pPr>
              <w:autoSpaceDE w:val="0"/>
              <w:autoSpaceDN w:val="0"/>
              <w:adjustRightInd w:val="0"/>
              <w:spacing w:after="120"/>
              <w:rPr>
                <w:rFonts w:ascii="Arial" w:eastAsia="Times New Roman" w:hAnsi="Arial" w:cs="Arial"/>
                <w:sz w:val="24"/>
                <w:szCs w:val="24"/>
                <w:highlight w:val="yellow"/>
                <w:lang w:eastAsia="en-GB"/>
              </w:rPr>
            </w:pPr>
            <w:r w:rsidRPr="00F77EAE">
              <w:rPr>
                <w:rFonts w:ascii="Arial" w:eastAsia="Times New Roman" w:hAnsi="Arial" w:cs="Arial"/>
                <w:sz w:val="24"/>
                <w:szCs w:val="24"/>
                <w:lang w:eastAsia="en-GB"/>
              </w:rPr>
              <w:t>C</w:t>
            </w:r>
            <w:r w:rsidR="00ED7189" w:rsidRPr="00F77EAE">
              <w:rPr>
                <w:rFonts w:ascii="Arial" w:eastAsia="Times New Roman" w:hAnsi="Arial" w:cs="Arial"/>
                <w:sz w:val="24"/>
                <w:szCs w:val="24"/>
                <w:lang w:eastAsia="en-GB"/>
              </w:rPr>
              <w:t>onsider the Council’s culture and its capacity to learn through a</w:t>
            </w:r>
            <w:r w:rsidR="005F5495" w:rsidRPr="00F77EAE">
              <w:rPr>
                <w:rFonts w:ascii="Arial" w:eastAsia="Times New Roman" w:hAnsi="Arial" w:cs="Arial"/>
                <w:sz w:val="24"/>
                <w:szCs w:val="24"/>
                <w:lang w:eastAsia="en-GB"/>
              </w:rPr>
              <w:t xml:space="preserve"> </w:t>
            </w:r>
            <w:r w:rsidRPr="00F77EAE">
              <w:rPr>
                <w:rFonts w:ascii="Arial" w:eastAsia="Times New Roman" w:hAnsi="Arial" w:cs="Arial"/>
                <w:sz w:val="24"/>
                <w:szCs w:val="24"/>
                <w:lang w:eastAsia="en-GB"/>
              </w:rPr>
              <w:t xml:space="preserve">risk-based </w:t>
            </w:r>
            <w:r w:rsidR="005F5495" w:rsidRPr="00F77EAE">
              <w:rPr>
                <w:rFonts w:ascii="Arial" w:eastAsia="Times New Roman" w:hAnsi="Arial" w:cs="Arial"/>
                <w:sz w:val="24"/>
                <w:szCs w:val="24"/>
                <w:lang w:eastAsia="en-GB"/>
              </w:rPr>
              <w:t>review</w:t>
            </w:r>
            <w:r w:rsidRPr="00F77EAE">
              <w:rPr>
                <w:rFonts w:ascii="Arial" w:eastAsia="Times New Roman" w:hAnsi="Arial" w:cs="Arial"/>
                <w:sz w:val="24"/>
                <w:szCs w:val="24"/>
                <w:lang w:eastAsia="en-GB"/>
              </w:rPr>
              <w:t xml:space="preserve"> of Major Projects and companies to give assurance on the relevance of business cases, programme and project management and compliance with financial regulations</w:t>
            </w:r>
            <w:r w:rsidR="00EB2631" w:rsidRPr="00F77EAE">
              <w:rPr>
                <w:rFonts w:ascii="Arial" w:eastAsia="Times New Roman" w:hAnsi="Arial" w:cs="Arial"/>
                <w:sz w:val="24"/>
                <w:szCs w:val="24"/>
                <w:lang w:eastAsia="en-GB"/>
              </w:rPr>
              <w:t>. I</w:t>
            </w:r>
            <w:r w:rsidRPr="00F77EAE">
              <w:rPr>
                <w:rFonts w:ascii="Arial" w:eastAsia="Times New Roman" w:hAnsi="Arial" w:cs="Arial"/>
                <w:sz w:val="24"/>
                <w:szCs w:val="24"/>
                <w:lang w:eastAsia="en-GB"/>
              </w:rPr>
              <w:t>mpl</w:t>
            </w:r>
            <w:r w:rsidR="00EB2631" w:rsidRPr="00F77EAE">
              <w:rPr>
                <w:rFonts w:ascii="Arial" w:eastAsia="Times New Roman" w:hAnsi="Arial" w:cs="Arial"/>
                <w:sz w:val="24"/>
                <w:szCs w:val="24"/>
                <w:lang w:eastAsia="en-GB"/>
              </w:rPr>
              <w:t>ement all agreed recommendations.</w:t>
            </w:r>
          </w:p>
        </w:tc>
        <w:tc>
          <w:tcPr>
            <w:tcW w:w="2221" w:type="dxa"/>
          </w:tcPr>
          <w:p w14:paraId="5005E231" w14:textId="77777777" w:rsidR="005076B1" w:rsidRPr="00501328" w:rsidRDefault="005076B1" w:rsidP="00F10BD0">
            <w:pPr>
              <w:autoSpaceDE w:val="0"/>
              <w:autoSpaceDN w:val="0"/>
              <w:adjustRightInd w:val="0"/>
              <w:spacing w:after="120"/>
              <w:rPr>
                <w:rFonts w:ascii="Arial" w:eastAsia="Times New Roman" w:hAnsi="Arial" w:cs="Arial"/>
                <w:sz w:val="24"/>
                <w:szCs w:val="24"/>
                <w:lang w:eastAsia="en-GB"/>
              </w:rPr>
            </w:pPr>
            <w:r>
              <w:rPr>
                <w:rFonts w:ascii="Arial" w:eastAsia="Times New Roman" w:hAnsi="Arial" w:cs="Arial"/>
                <w:sz w:val="24"/>
                <w:szCs w:val="24"/>
                <w:lang w:eastAsia="en-GB"/>
              </w:rPr>
              <w:t>Chief Executive</w:t>
            </w:r>
          </w:p>
        </w:tc>
        <w:tc>
          <w:tcPr>
            <w:tcW w:w="2408" w:type="dxa"/>
          </w:tcPr>
          <w:p w14:paraId="0CC3590E" w14:textId="77777777" w:rsidR="005076B1" w:rsidRDefault="005076B1" w:rsidP="00F10BD0">
            <w:pPr>
              <w:autoSpaceDE w:val="0"/>
              <w:autoSpaceDN w:val="0"/>
              <w:adjustRightInd w:val="0"/>
              <w:spacing w:after="120"/>
              <w:rPr>
                <w:rFonts w:ascii="Arial" w:eastAsia="Times New Roman" w:hAnsi="Arial" w:cs="Arial"/>
                <w:sz w:val="24"/>
                <w:szCs w:val="24"/>
                <w:lang w:eastAsia="en-GB"/>
              </w:rPr>
            </w:pPr>
            <w:r w:rsidRPr="00BB3F98">
              <w:rPr>
                <w:rFonts w:ascii="Arial" w:eastAsia="Times New Roman" w:hAnsi="Arial" w:cs="Arial"/>
                <w:sz w:val="24"/>
                <w:szCs w:val="24"/>
                <w:lang w:eastAsia="en-GB"/>
              </w:rPr>
              <w:t xml:space="preserve">Director of Legal &amp; Governance </w:t>
            </w:r>
          </w:p>
          <w:p w14:paraId="3D3C2D1A" w14:textId="77777777" w:rsidR="005076B1" w:rsidRPr="00501328" w:rsidRDefault="005076B1" w:rsidP="00F10BD0">
            <w:pPr>
              <w:autoSpaceDE w:val="0"/>
              <w:autoSpaceDN w:val="0"/>
              <w:adjustRightInd w:val="0"/>
              <w:spacing w:after="120"/>
              <w:rPr>
                <w:rFonts w:ascii="Arial" w:eastAsia="Times New Roman" w:hAnsi="Arial" w:cs="Arial"/>
                <w:sz w:val="24"/>
                <w:szCs w:val="24"/>
                <w:lang w:eastAsia="en-GB"/>
              </w:rPr>
            </w:pPr>
            <w:r w:rsidRPr="00BB3F98">
              <w:rPr>
                <w:rFonts w:ascii="Arial" w:eastAsia="Times New Roman" w:hAnsi="Arial" w:cs="Arial"/>
                <w:sz w:val="24"/>
                <w:szCs w:val="24"/>
                <w:lang w:eastAsia="en-GB"/>
              </w:rPr>
              <w:t>Director of Major Projects</w:t>
            </w:r>
          </w:p>
        </w:tc>
        <w:tc>
          <w:tcPr>
            <w:tcW w:w="1121" w:type="dxa"/>
          </w:tcPr>
          <w:p w14:paraId="489B0F11" w14:textId="77777777" w:rsidR="005076B1" w:rsidRPr="00BB3F98" w:rsidRDefault="005076B1" w:rsidP="00F10BD0">
            <w:pPr>
              <w:autoSpaceDE w:val="0"/>
              <w:autoSpaceDN w:val="0"/>
              <w:adjustRightInd w:val="0"/>
              <w:spacing w:after="120"/>
              <w:rPr>
                <w:rFonts w:ascii="Arial" w:eastAsia="Times New Roman" w:hAnsi="Arial" w:cs="Arial"/>
                <w:sz w:val="24"/>
                <w:szCs w:val="24"/>
                <w:lang w:eastAsia="en-GB"/>
              </w:rPr>
            </w:pPr>
            <w:r>
              <w:rPr>
                <w:rFonts w:ascii="Arial" w:eastAsia="Times New Roman" w:hAnsi="Arial" w:cs="Arial"/>
                <w:sz w:val="24"/>
                <w:szCs w:val="24"/>
                <w:lang w:eastAsia="en-GB"/>
              </w:rPr>
              <w:t>Mar2021</w:t>
            </w:r>
          </w:p>
        </w:tc>
      </w:tr>
      <w:tr w:rsidR="00162F58" w14:paraId="189DBF18" w14:textId="77777777" w:rsidTr="00E02BC1">
        <w:tc>
          <w:tcPr>
            <w:tcW w:w="584" w:type="dxa"/>
          </w:tcPr>
          <w:p w14:paraId="682AA2A3" w14:textId="77777777" w:rsidR="00162F58" w:rsidRDefault="00162F58" w:rsidP="005076B1">
            <w:pPr>
              <w:autoSpaceDE w:val="0"/>
              <w:autoSpaceDN w:val="0"/>
              <w:adjustRightInd w:val="0"/>
              <w:spacing w:after="120"/>
              <w:jc w:val="both"/>
              <w:rPr>
                <w:rFonts w:ascii="Arial" w:eastAsia="Times New Roman" w:hAnsi="Arial" w:cs="Arial"/>
                <w:sz w:val="24"/>
                <w:szCs w:val="24"/>
                <w:lang w:eastAsia="en-GB"/>
              </w:rPr>
            </w:pPr>
            <w:r>
              <w:rPr>
                <w:rFonts w:ascii="Arial" w:eastAsia="Times New Roman" w:hAnsi="Arial" w:cs="Arial"/>
                <w:sz w:val="24"/>
                <w:szCs w:val="24"/>
                <w:lang w:eastAsia="en-GB"/>
              </w:rPr>
              <w:t>13</w:t>
            </w:r>
          </w:p>
        </w:tc>
        <w:tc>
          <w:tcPr>
            <w:tcW w:w="3872" w:type="dxa"/>
          </w:tcPr>
          <w:p w14:paraId="46AE343C" w14:textId="77777777" w:rsidR="00162F58" w:rsidRDefault="00162F58" w:rsidP="00162F58">
            <w:pPr>
              <w:autoSpaceDE w:val="0"/>
              <w:autoSpaceDN w:val="0"/>
              <w:adjustRightInd w:val="0"/>
              <w:spacing w:after="120"/>
              <w:rPr>
                <w:rFonts w:ascii="Arial" w:eastAsia="Times New Roman" w:hAnsi="Arial" w:cs="Arial"/>
                <w:sz w:val="24"/>
                <w:szCs w:val="24"/>
                <w:lang w:eastAsia="en-GB"/>
              </w:rPr>
            </w:pPr>
            <w:r>
              <w:rPr>
                <w:rFonts w:ascii="Arial" w:eastAsia="Times New Roman" w:hAnsi="Arial" w:cs="Arial"/>
                <w:sz w:val="24"/>
                <w:szCs w:val="24"/>
                <w:lang w:eastAsia="en-GB"/>
              </w:rPr>
              <w:t>Review and develop future s</w:t>
            </w:r>
            <w:r w:rsidRPr="00162F58">
              <w:rPr>
                <w:rFonts w:ascii="Arial" w:eastAsia="Times New Roman" w:hAnsi="Arial" w:cs="Arial"/>
                <w:sz w:val="24"/>
                <w:szCs w:val="24"/>
                <w:lang w:eastAsia="en-GB"/>
              </w:rPr>
              <w:t xml:space="preserve">trategy </w:t>
            </w:r>
            <w:r w:rsidR="00C02C4E" w:rsidRPr="00F77EAE">
              <w:rPr>
                <w:rFonts w:ascii="Arial" w:eastAsia="Times New Roman" w:hAnsi="Arial" w:cs="Arial"/>
                <w:sz w:val="24"/>
                <w:szCs w:val="24"/>
                <w:lang w:eastAsia="en-GB"/>
              </w:rPr>
              <w:t xml:space="preserve">including funding model </w:t>
            </w:r>
            <w:r w:rsidRPr="00F77EAE">
              <w:rPr>
                <w:rFonts w:ascii="Arial" w:eastAsia="Times New Roman" w:hAnsi="Arial" w:cs="Arial"/>
                <w:sz w:val="24"/>
                <w:szCs w:val="24"/>
                <w:lang w:eastAsia="en-GB"/>
              </w:rPr>
              <w:t>for</w:t>
            </w:r>
            <w:r w:rsidRPr="00162F58">
              <w:rPr>
                <w:rFonts w:ascii="Arial" w:eastAsia="Times New Roman" w:hAnsi="Arial" w:cs="Arial"/>
                <w:sz w:val="24"/>
                <w:szCs w:val="24"/>
                <w:lang w:eastAsia="en-GB"/>
              </w:rPr>
              <w:t xml:space="preserve"> energy &amp; waste infrastructure and long term district heating strategy for the city</w:t>
            </w:r>
          </w:p>
        </w:tc>
        <w:tc>
          <w:tcPr>
            <w:tcW w:w="2221" w:type="dxa"/>
          </w:tcPr>
          <w:p w14:paraId="2416C6A7" w14:textId="77777777" w:rsidR="00162F58" w:rsidRDefault="00162F58">
            <w:pPr>
              <w:autoSpaceDE w:val="0"/>
              <w:autoSpaceDN w:val="0"/>
              <w:adjustRightInd w:val="0"/>
              <w:spacing w:after="120"/>
              <w:rPr>
                <w:rFonts w:ascii="Arial" w:eastAsia="Times New Roman" w:hAnsi="Arial" w:cs="Arial"/>
                <w:sz w:val="24"/>
                <w:szCs w:val="24"/>
                <w:lang w:eastAsia="en-GB"/>
              </w:rPr>
            </w:pPr>
            <w:r>
              <w:rPr>
                <w:rFonts w:ascii="Arial" w:eastAsia="Times New Roman" w:hAnsi="Arial" w:cs="Arial"/>
                <w:sz w:val="24"/>
                <w:szCs w:val="24"/>
                <w:lang w:eastAsia="en-GB"/>
              </w:rPr>
              <w:t>Chief Executive</w:t>
            </w:r>
          </w:p>
        </w:tc>
        <w:tc>
          <w:tcPr>
            <w:tcW w:w="2408" w:type="dxa"/>
          </w:tcPr>
          <w:p w14:paraId="18CFBAE1" w14:textId="77777777" w:rsidR="00162F58" w:rsidRDefault="00162F58" w:rsidP="00162F58">
            <w:pPr>
              <w:autoSpaceDE w:val="0"/>
              <w:autoSpaceDN w:val="0"/>
              <w:adjustRightInd w:val="0"/>
              <w:spacing w:after="120"/>
              <w:rPr>
                <w:rFonts w:ascii="Arial" w:eastAsia="Times New Roman" w:hAnsi="Arial" w:cs="Arial"/>
                <w:sz w:val="24"/>
                <w:szCs w:val="24"/>
                <w:lang w:eastAsia="en-GB"/>
              </w:rPr>
            </w:pPr>
            <w:r>
              <w:rPr>
                <w:rFonts w:ascii="Arial" w:eastAsia="Times New Roman" w:hAnsi="Arial" w:cs="Arial"/>
                <w:sz w:val="24"/>
                <w:szCs w:val="24"/>
                <w:lang w:eastAsia="en-GB"/>
              </w:rPr>
              <w:t>Corporate Director of Commercial &amp; Operations</w:t>
            </w:r>
          </w:p>
          <w:p w14:paraId="744104C7" w14:textId="77777777" w:rsidR="00162F58" w:rsidRPr="00BB3F98" w:rsidRDefault="00162F58" w:rsidP="00162F58">
            <w:pPr>
              <w:autoSpaceDE w:val="0"/>
              <w:autoSpaceDN w:val="0"/>
              <w:adjustRightInd w:val="0"/>
              <w:spacing w:after="120"/>
              <w:rPr>
                <w:rFonts w:ascii="Arial" w:eastAsia="Times New Roman" w:hAnsi="Arial" w:cs="Arial"/>
                <w:sz w:val="24"/>
                <w:szCs w:val="24"/>
                <w:lang w:eastAsia="en-GB"/>
              </w:rPr>
            </w:pPr>
            <w:r>
              <w:rPr>
                <w:rFonts w:ascii="Arial" w:eastAsia="Times New Roman" w:hAnsi="Arial" w:cs="Arial"/>
                <w:sz w:val="24"/>
                <w:szCs w:val="24"/>
                <w:lang w:eastAsia="en-GB"/>
              </w:rPr>
              <w:t>Strategic Director of Finance</w:t>
            </w:r>
          </w:p>
        </w:tc>
        <w:tc>
          <w:tcPr>
            <w:tcW w:w="1121" w:type="dxa"/>
          </w:tcPr>
          <w:p w14:paraId="7D614B96" w14:textId="77777777" w:rsidR="00162F58" w:rsidRDefault="00162F58">
            <w:pPr>
              <w:autoSpaceDE w:val="0"/>
              <w:autoSpaceDN w:val="0"/>
              <w:adjustRightInd w:val="0"/>
              <w:spacing w:after="120"/>
              <w:rPr>
                <w:rFonts w:ascii="Arial" w:eastAsia="Times New Roman" w:hAnsi="Arial" w:cs="Arial"/>
                <w:sz w:val="24"/>
                <w:szCs w:val="24"/>
                <w:lang w:eastAsia="en-GB"/>
              </w:rPr>
            </w:pPr>
            <w:r>
              <w:rPr>
                <w:rFonts w:ascii="Arial" w:eastAsia="Times New Roman" w:hAnsi="Arial" w:cs="Arial"/>
                <w:sz w:val="24"/>
                <w:szCs w:val="24"/>
                <w:lang w:eastAsia="en-GB"/>
              </w:rPr>
              <w:t>Mar2021</w:t>
            </w:r>
          </w:p>
        </w:tc>
      </w:tr>
    </w:tbl>
    <w:p w14:paraId="76B8AA19" w14:textId="77777777" w:rsidR="007C67B8" w:rsidRDefault="007C67B8" w:rsidP="00830F20">
      <w:pPr>
        <w:autoSpaceDE w:val="0"/>
        <w:autoSpaceDN w:val="0"/>
        <w:adjustRightInd w:val="0"/>
        <w:spacing w:after="120" w:line="240" w:lineRule="auto"/>
        <w:jc w:val="both"/>
        <w:rPr>
          <w:rFonts w:ascii="Arial" w:eastAsia="Times New Roman" w:hAnsi="Arial" w:cs="Arial"/>
          <w:sz w:val="24"/>
          <w:szCs w:val="24"/>
          <w:lang w:eastAsia="en-GB"/>
        </w:rPr>
      </w:pPr>
    </w:p>
    <w:p w14:paraId="25626BA2" w14:textId="77777777" w:rsidR="00B8437C" w:rsidRPr="00BB3F98" w:rsidRDefault="00B8437C" w:rsidP="00B8437C">
      <w:pPr>
        <w:keepNext/>
        <w:keepLines/>
        <w:numPr>
          <w:ilvl w:val="0"/>
          <w:numId w:val="1"/>
        </w:numPr>
        <w:spacing w:before="240" w:after="0" w:line="240" w:lineRule="auto"/>
        <w:ind w:left="567" w:hanging="567"/>
        <w:outlineLvl w:val="0"/>
        <w:rPr>
          <w:rFonts w:ascii="Cambria" w:eastAsia="Times New Roman" w:hAnsi="Cambria" w:cs="Times New Roman"/>
          <w:b/>
          <w:bCs/>
          <w:color w:val="365F91"/>
          <w:sz w:val="28"/>
          <w:szCs w:val="28"/>
        </w:rPr>
      </w:pPr>
      <w:r w:rsidRPr="00BB3F98">
        <w:rPr>
          <w:rFonts w:ascii="Cambria" w:eastAsia="Times New Roman" w:hAnsi="Cambria" w:cs="Times New Roman"/>
          <w:b/>
          <w:bCs/>
          <w:color w:val="365F91"/>
          <w:sz w:val="28"/>
          <w:szCs w:val="28"/>
        </w:rPr>
        <w:t>Post balance sheet events and developments</w:t>
      </w:r>
    </w:p>
    <w:p w14:paraId="4BC7E4B7" w14:textId="77777777" w:rsidR="00B8437C" w:rsidRPr="00BB3F98" w:rsidRDefault="00B8437C" w:rsidP="00B8437C">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BB3F98">
        <w:rPr>
          <w:rFonts w:ascii="Arial" w:eastAsia="Times New Roman" w:hAnsi="Arial" w:cs="Arial"/>
          <w:sz w:val="24"/>
          <w:szCs w:val="24"/>
          <w:lang w:eastAsia="en-GB"/>
        </w:rPr>
        <w:t>The following have been classified as post balance sheet events for the purposes of this statement:</w:t>
      </w:r>
    </w:p>
    <w:p w14:paraId="4E9E2988" w14:textId="77777777" w:rsidR="005F4253" w:rsidRDefault="00F938DA" w:rsidP="005F4253">
      <w:pPr>
        <w:pStyle w:val="ListParagraph"/>
        <w:numPr>
          <w:ilvl w:val="0"/>
          <w:numId w:val="25"/>
        </w:numPr>
        <w:autoSpaceDE w:val="0"/>
        <w:autoSpaceDN w:val="0"/>
        <w:adjustRightInd w:val="0"/>
        <w:spacing w:after="12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lastRenderedPageBreak/>
        <w:t xml:space="preserve">Report in the </w:t>
      </w:r>
      <w:r w:rsidR="005F4253">
        <w:rPr>
          <w:rFonts w:ascii="Arial" w:eastAsia="Times New Roman" w:hAnsi="Arial" w:cs="Arial"/>
          <w:sz w:val="24"/>
          <w:szCs w:val="24"/>
          <w:lang w:eastAsia="en-GB"/>
        </w:rPr>
        <w:t>Public Interest</w:t>
      </w:r>
      <w:r w:rsidR="005F4253" w:rsidRPr="005F4253">
        <w:rPr>
          <w:rFonts w:ascii="Arial" w:eastAsia="Times New Roman" w:hAnsi="Arial" w:cs="Arial"/>
          <w:color w:val="FF0000"/>
          <w:sz w:val="24"/>
          <w:szCs w:val="24"/>
          <w:lang w:eastAsia="en-GB"/>
        </w:rPr>
        <w:t xml:space="preserve"> </w:t>
      </w:r>
      <w:r w:rsidR="005F4253" w:rsidRPr="005F4253">
        <w:rPr>
          <w:rFonts w:ascii="Arial" w:eastAsia="Times New Roman" w:hAnsi="Arial" w:cs="Arial"/>
          <w:sz w:val="24"/>
          <w:szCs w:val="24"/>
          <w:lang w:eastAsia="en-GB"/>
        </w:rPr>
        <w:t>concerning NCC’s governance of Robin Hood Energy</w:t>
      </w:r>
    </w:p>
    <w:p w14:paraId="24AC1336" w14:textId="77777777" w:rsidR="00B8437C" w:rsidRPr="00BB3F98" w:rsidRDefault="00B8437C" w:rsidP="00B8437C">
      <w:pPr>
        <w:pStyle w:val="ListParagraph"/>
        <w:numPr>
          <w:ilvl w:val="0"/>
          <w:numId w:val="25"/>
        </w:numPr>
        <w:autoSpaceDE w:val="0"/>
        <w:autoSpaceDN w:val="0"/>
        <w:adjustRightInd w:val="0"/>
        <w:spacing w:after="120" w:line="240" w:lineRule="auto"/>
        <w:jc w:val="both"/>
        <w:rPr>
          <w:rFonts w:ascii="Arial" w:eastAsia="Times New Roman" w:hAnsi="Arial" w:cs="Arial"/>
          <w:sz w:val="24"/>
          <w:szCs w:val="24"/>
          <w:lang w:eastAsia="en-GB"/>
        </w:rPr>
      </w:pPr>
      <w:r w:rsidRPr="00BB3F98">
        <w:rPr>
          <w:rFonts w:ascii="Arial" w:eastAsia="Times New Roman" w:hAnsi="Arial" w:cs="Arial"/>
          <w:sz w:val="24"/>
          <w:szCs w:val="24"/>
          <w:lang w:eastAsia="en-GB"/>
        </w:rPr>
        <w:t>Covid-19 Public Health Emergency</w:t>
      </w:r>
    </w:p>
    <w:p w14:paraId="7869B90F" w14:textId="77777777" w:rsidR="00CB73B0" w:rsidRDefault="00D00EC9" w:rsidP="00D00EC9">
      <w:pPr>
        <w:pStyle w:val="ListParagraph"/>
        <w:numPr>
          <w:ilvl w:val="1"/>
          <w:numId w:val="25"/>
        </w:numPr>
        <w:autoSpaceDE w:val="0"/>
        <w:autoSpaceDN w:val="0"/>
        <w:adjustRightInd w:val="0"/>
        <w:spacing w:after="12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Financial impact &amp; financial resilience</w:t>
      </w:r>
    </w:p>
    <w:p w14:paraId="0AED685E" w14:textId="77777777" w:rsidR="00D00EC9" w:rsidRPr="00681829" w:rsidRDefault="00CB73B0" w:rsidP="00D00EC9">
      <w:pPr>
        <w:pStyle w:val="ListParagraph"/>
        <w:numPr>
          <w:ilvl w:val="1"/>
          <w:numId w:val="25"/>
        </w:numPr>
        <w:autoSpaceDE w:val="0"/>
        <w:autoSpaceDN w:val="0"/>
        <w:adjustRightInd w:val="0"/>
        <w:spacing w:after="120" w:line="240" w:lineRule="auto"/>
        <w:jc w:val="both"/>
        <w:rPr>
          <w:rFonts w:ascii="Arial" w:eastAsia="Times New Roman" w:hAnsi="Arial" w:cs="Arial"/>
          <w:sz w:val="24"/>
          <w:szCs w:val="24"/>
          <w:lang w:eastAsia="en-GB"/>
        </w:rPr>
      </w:pPr>
      <w:r w:rsidRPr="00681829">
        <w:rPr>
          <w:rFonts w:ascii="Arial" w:eastAsia="Times New Roman" w:hAnsi="Arial" w:cs="Arial"/>
          <w:sz w:val="24"/>
          <w:szCs w:val="24"/>
          <w:lang w:eastAsia="en-GB"/>
        </w:rPr>
        <w:t>Protecting people from Covid-19</w:t>
      </w:r>
    </w:p>
    <w:p w14:paraId="50C991A0" w14:textId="77777777" w:rsidR="00B8437C" w:rsidRPr="00681829" w:rsidRDefault="00B8437C" w:rsidP="00D00EC9">
      <w:pPr>
        <w:pStyle w:val="ListParagraph"/>
        <w:numPr>
          <w:ilvl w:val="0"/>
          <w:numId w:val="25"/>
        </w:numPr>
        <w:autoSpaceDE w:val="0"/>
        <w:autoSpaceDN w:val="0"/>
        <w:adjustRightInd w:val="0"/>
        <w:spacing w:after="120" w:line="240" w:lineRule="auto"/>
        <w:jc w:val="both"/>
        <w:rPr>
          <w:rFonts w:ascii="Arial" w:eastAsia="Times New Roman" w:hAnsi="Arial" w:cs="Arial"/>
          <w:sz w:val="24"/>
          <w:szCs w:val="24"/>
          <w:lang w:eastAsia="en-GB"/>
        </w:rPr>
      </w:pPr>
      <w:r w:rsidRPr="00681829">
        <w:rPr>
          <w:rFonts w:ascii="Arial" w:eastAsia="Times New Roman" w:hAnsi="Arial" w:cs="Arial"/>
          <w:sz w:val="24"/>
          <w:szCs w:val="24"/>
          <w:lang w:eastAsia="en-GB"/>
        </w:rPr>
        <w:t>External Audit of 2018-19 Statement of Accounts</w:t>
      </w:r>
    </w:p>
    <w:p w14:paraId="5FE478CC" w14:textId="77777777" w:rsidR="00CB73B0" w:rsidRDefault="00CB73B0" w:rsidP="00B8437C">
      <w:pPr>
        <w:pStyle w:val="ListParagraph"/>
        <w:numPr>
          <w:ilvl w:val="0"/>
          <w:numId w:val="25"/>
        </w:numPr>
        <w:autoSpaceDE w:val="0"/>
        <w:autoSpaceDN w:val="0"/>
        <w:adjustRightInd w:val="0"/>
        <w:spacing w:after="120" w:line="240" w:lineRule="auto"/>
        <w:jc w:val="both"/>
        <w:rPr>
          <w:rFonts w:ascii="Arial" w:eastAsia="Times New Roman" w:hAnsi="Arial" w:cs="Arial"/>
          <w:sz w:val="24"/>
          <w:szCs w:val="24"/>
          <w:lang w:eastAsia="en-GB"/>
        </w:rPr>
      </w:pPr>
      <w:r w:rsidRPr="00681829">
        <w:rPr>
          <w:rFonts w:ascii="Arial" w:eastAsia="Times New Roman" w:hAnsi="Arial" w:cs="Arial"/>
          <w:sz w:val="24"/>
          <w:szCs w:val="24"/>
          <w:lang w:eastAsia="en-GB"/>
        </w:rPr>
        <w:t>Broadmarsh Shopping Centre</w:t>
      </w:r>
    </w:p>
    <w:p w14:paraId="5AFB037F" w14:textId="77777777" w:rsidR="00162F58" w:rsidRPr="00681829" w:rsidRDefault="00162F58" w:rsidP="00B8437C">
      <w:pPr>
        <w:pStyle w:val="ListParagraph"/>
        <w:numPr>
          <w:ilvl w:val="0"/>
          <w:numId w:val="25"/>
        </w:numPr>
        <w:autoSpaceDE w:val="0"/>
        <w:autoSpaceDN w:val="0"/>
        <w:adjustRightInd w:val="0"/>
        <w:spacing w:after="12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Energy &amp; Waste Infrastructure</w:t>
      </w:r>
    </w:p>
    <w:p w14:paraId="6AC213B9" w14:textId="77777777" w:rsidR="00D00EC9" w:rsidRPr="00BB3F98" w:rsidRDefault="00D00EC9" w:rsidP="00D00EC9">
      <w:pPr>
        <w:pStyle w:val="ListParagraph"/>
        <w:autoSpaceDE w:val="0"/>
        <w:autoSpaceDN w:val="0"/>
        <w:adjustRightInd w:val="0"/>
        <w:spacing w:after="120" w:line="240" w:lineRule="auto"/>
        <w:ind w:left="1287"/>
        <w:jc w:val="both"/>
        <w:rPr>
          <w:rFonts w:ascii="Arial" w:eastAsia="Times New Roman" w:hAnsi="Arial" w:cs="Arial"/>
          <w:sz w:val="24"/>
          <w:szCs w:val="24"/>
          <w:lang w:eastAsia="en-GB"/>
        </w:rPr>
      </w:pPr>
    </w:p>
    <w:p w14:paraId="327B9253" w14:textId="77777777" w:rsidR="00B8437C" w:rsidRPr="00BB3F98" w:rsidRDefault="00B8437C" w:rsidP="00B8437C">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BB3F98">
        <w:rPr>
          <w:rFonts w:ascii="Arial" w:eastAsia="Times New Roman" w:hAnsi="Arial" w:cs="Arial"/>
          <w:sz w:val="24"/>
          <w:szCs w:val="24"/>
          <w:lang w:eastAsia="en-GB"/>
        </w:rPr>
        <w:t xml:space="preserve">These events have had a significant impact on the Council and or its governance system including understanding of activities in </w:t>
      </w:r>
      <w:r>
        <w:rPr>
          <w:rFonts w:ascii="Arial" w:eastAsia="Times New Roman" w:hAnsi="Arial" w:cs="Arial"/>
          <w:sz w:val="24"/>
          <w:szCs w:val="24"/>
          <w:lang w:eastAsia="en-GB"/>
        </w:rPr>
        <w:t>2019-20</w:t>
      </w:r>
      <w:r w:rsidRPr="00BB3F98">
        <w:rPr>
          <w:rFonts w:ascii="Arial" w:eastAsia="Times New Roman" w:hAnsi="Arial" w:cs="Arial"/>
          <w:sz w:val="24"/>
          <w:szCs w:val="24"/>
          <w:lang w:eastAsia="en-GB"/>
        </w:rPr>
        <w:t xml:space="preserve"> and subsequently. The reasons for this are detailed below</w:t>
      </w:r>
    </w:p>
    <w:p w14:paraId="49A94621" w14:textId="77777777" w:rsidR="005F4253" w:rsidRPr="00681829" w:rsidRDefault="00F938DA" w:rsidP="005F4253">
      <w:pPr>
        <w:keepNext/>
        <w:autoSpaceDE w:val="0"/>
        <w:autoSpaceDN w:val="0"/>
        <w:adjustRightInd w:val="0"/>
        <w:spacing w:after="120" w:line="240" w:lineRule="auto"/>
        <w:ind w:left="567"/>
        <w:jc w:val="both"/>
        <w:rPr>
          <w:rFonts w:ascii="Arial" w:eastAsia="Times New Roman" w:hAnsi="Arial" w:cs="Arial"/>
          <w:b/>
          <w:sz w:val="24"/>
          <w:szCs w:val="24"/>
          <w:lang w:eastAsia="en-GB"/>
        </w:rPr>
      </w:pPr>
      <w:r>
        <w:rPr>
          <w:rFonts w:ascii="Arial" w:eastAsia="Times New Roman" w:hAnsi="Arial" w:cs="Arial"/>
          <w:b/>
          <w:sz w:val="24"/>
          <w:szCs w:val="24"/>
          <w:lang w:eastAsia="en-GB"/>
        </w:rPr>
        <w:t xml:space="preserve">Report in the </w:t>
      </w:r>
      <w:r w:rsidR="005F4253" w:rsidRPr="00681829">
        <w:rPr>
          <w:rFonts w:ascii="Arial" w:eastAsia="Times New Roman" w:hAnsi="Arial" w:cs="Arial"/>
          <w:b/>
          <w:sz w:val="24"/>
          <w:szCs w:val="24"/>
          <w:lang w:eastAsia="en-GB"/>
        </w:rPr>
        <w:t xml:space="preserve">Public </w:t>
      </w:r>
      <w:r w:rsidR="000B0B40" w:rsidRPr="00681829">
        <w:rPr>
          <w:rFonts w:ascii="Arial" w:eastAsia="Times New Roman" w:hAnsi="Arial" w:cs="Arial"/>
          <w:b/>
          <w:sz w:val="24"/>
          <w:szCs w:val="24"/>
          <w:lang w:eastAsia="en-GB"/>
        </w:rPr>
        <w:t xml:space="preserve">Interest </w:t>
      </w:r>
      <w:r w:rsidR="000B0B40" w:rsidRPr="000B0B40">
        <w:rPr>
          <w:rFonts w:ascii="Arial" w:eastAsia="Times New Roman" w:hAnsi="Arial" w:cs="Arial"/>
          <w:b/>
          <w:sz w:val="24"/>
          <w:szCs w:val="24"/>
          <w:lang w:eastAsia="en-GB"/>
        </w:rPr>
        <w:t>concerning</w:t>
      </w:r>
      <w:r w:rsidR="005F4253" w:rsidRPr="00681829">
        <w:rPr>
          <w:rFonts w:ascii="Arial" w:eastAsia="Times New Roman" w:hAnsi="Arial" w:cs="Arial"/>
          <w:b/>
          <w:sz w:val="24"/>
          <w:szCs w:val="24"/>
          <w:lang w:eastAsia="en-GB"/>
        </w:rPr>
        <w:t xml:space="preserve"> NCC’s governance of Robin Hood Energy</w:t>
      </w:r>
    </w:p>
    <w:p w14:paraId="7DF440DE" w14:textId="77777777" w:rsidR="005F4253" w:rsidRPr="00681829" w:rsidRDefault="005F4253" w:rsidP="005F4253">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681829">
        <w:rPr>
          <w:rFonts w:ascii="Arial" w:eastAsia="Times New Roman" w:hAnsi="Arial" w:cs="Arial"/>
          <w:sz w:val="24"/>
          <w:szCs w:val="24"/>
          <w:lang w:eastAsia="en-GB"/>
        </w:rPr>
        <w:t xml:space="preserve">NCC’s external auditor published a </w:t>
      </w:r>
      <w:r w:rsidR="00F938DA">
        <w:rPr>
          <w:rFonts w:ascii="Arial" w:eastAsia="Times New Roman" w:hAnsi="Arial" w:cs="Arial"/>
          <w:sz w:val="24"/>
          <w:szCs w:val="24"/>
          <w:lang w:eastAsia="en-GB"/>
        </w:rPr>
        <w:t xml:space="preserve">Report in the </w:t>
      </w:r>
      <w:r w:rsidRPr="00990659">
        <w:rPr>
          <w:rFonts w:ascii="Arial" w:eastAsia="Times New Roman" w:hAnsi="Arial" w:cs="Arial"/>
          <w:sz w:val="24"/>
          <w:szCs w:val="24"/>
          <w:lang w:eastAsia="en-GB"/>
        </w:rPr>
        <w:t>Public Interest</w:t>
      </w:r>
      <w:r w:rsidRPr="00990659">
        <w:rPr>
          <w:rStyle w:val="Hyperlink"/>
          <w:rFonts w:ascii="Arial" w:eastAsia="Times New Roman" w:hAnsi="Arial" w:cs="Arial"/>
          <w:color w:val="0000FF"/>
          <w:sz w:val="24"/>
          <w:szCs w:val="24"/>
          <w:lang w:eastAsia="en-GB"/>
        </w:rPr>
        <w:t xml:space="preserve"> </w:t>
      </w:r>
      <w:r w:rsidRPr="00681829">
        <w:rPr>
          <w:rFonts w:ascii="Arial" w:eastAsia="Times New Roman" w:hAnsi="Arial" w:cs="Arial"/>
          <w:sz w:val="24"/>
          <w:szCs w:val="24"/>
          <w:lang w:eastAsia="en-GB"/>
        </w:rPr>
        <w:t>on 11</w:t>
      </w:r>
      <w:r w:rsidRPr="00681829">
        <w:rPr>
          <w:rFonts w:ascii="Arial" w:eastAsia="Times New Roman" w:hAnsi="Arial" w:cs="Arial"/>
          <w:sz w:val="24"/>
          <w:szCs w:val="24"/>
          <w:vertAlign w:val="superscript"/>
          <w:lang w:eastAsia="en-GB"/>
        </w:rPr>
        <w:t>th</w:t>
      </w:r>
      <w:r w:rsidRPr="00681829">
        <w:rPr>
          <w:rFonts w:ascii="Arial" w:eastAsia="Times New Roman" w:hAnsi="Arial" w:cs="Arial"/>
          <w:sz w:val="24"/>
          <w:szCs w:val="24"/>
          <w:lang w:eastAsia="en-GB"/>
        </w:rPr>
        <w:t xml:space="preserve"> August 2020 concerning NCC’s governance of Robin Hood Energy. The Council is meeting its requirements under the Local Accountability and Audit Act 2014 by media statements and public notices, including publishing the report on its website allowing for public inspection, and communicating with internal and external stakeholders. Notice has been issued of the full Council meeting on 27</w:t>
      </w:r>
      <w:r w:rsidRPr="00681829">
        <w:rPr>
          <w:rFonts w:ascii="Arial" w:eastAsia="Times New Roman" w:hAnsi="Arial" w:cs="Arial"/>
          <w:sz w:val="24"/>
          <w:szCs w:val="24"/>
          <w:vertAlign w:val="superscript"/>
          <w:lang w:eastAsia="en-GB"/>
        </w:rPr>
        <w:t>th</w:t>
      </w:r>
      <w:r w:rsidRPr="00681829">
        <w:rPr>
          <w:rFonts w:ascii="Arial" w:eastAsia="Times New Roman" w:hAnsi="Arial" w:cs="Arial"/>
          <w:sz w:val="24"/>
          <w:szCs w:val="24"/>
          <w:lang w:eastAsia="en-GB"/>
        </w:rPr>
        <w:t xml:space="preserve"> August to consider the </w:t>
      </w:r>
      <w:r w:rsidR="00F938DA">
        <w:rPr>
          <w:rFonts w:ascii="Arial" w:eastAsia="Times New Roman" w:hAnsi="Arial" w:cs="Arial"/>
          <w:sz w:val="24"/>
          <w:szCs w:val="24"/>
          <w:lang w:eastAsia="en-GB"/>
        </w:rPr>
        <w:t xml:space="preserve">report’s </w:t>
      </w:r>
      <w:r w:rsidRPr="00681829">
        <w:rPr>
          <w:rFonts w:ascii="Arial" w:eastAsia="Times New Roman" w:hAnsi="Arial" w:cs="Arial"/>
          <w:sz w:val="24"/>
          <w:szCs w:val="24"/>
          <w:lang w:eastAsia="en-GB"/>
        </w:rPr>
        <w:t xml:space="preserve">findings </w:t>
      </w:r>
      <w:r w:rsidR="00F10BD0">
        <w:rPr>
          <w:rFonts w:ascii="Arial" w:eastAsia="Times New Roman" w:hAnsi="Arial" w:cs="Arial"/>
          <w:sz w:val="24"/>
          <w:szCs w:val="24"/>
          <w:lang w:eastAsia="en-GB"/>
        </w:rPr>
        <w:t xml:space="preserve">and </w:t>
      </w:r>
      <w:r w:rsidR="00F938DA">
        <w:rPr>
          <w:rFonts w:ascii="Arial" w:eastAsia="Times New Roman" w:hAnsi="Arial" w:cs="Arial"/>
          <w:sz w:val="24"/>
          <w:szCs w:val="24"/>
          <w:lang w:eastAsia="en-GB"/>
        </w:rPr>
        <w:t>the proposed action plan</w:t>
      </w:r>
      <w:r w:rsidR="0014397D">
        <w:rPr>
          <w:rFonts w:ascii="Arial" w:eastAsia="Times New Roman" w:hAnsi="Arial" w:cs="Arial"/>
          <w:sz w:val="24"/>
          <w:szCs w:val="24"/>
          <w:lang w:eastAsia="en-GB"/>
        </w:rPr>
        <w:t xml:space="preserve"> (Appendix 2)</w:t>
      </w:r>
      <w:r w:rsidRPr="00681829">
        <w:rPr>
          <w:rFonts w:ascii="Arial" w:eastAsia="Times New Roman" w:hAnsi="Arial" w:cs="Arial"/>
          <w:sz w:val="24"/>
          <w:szCs w:val="24"/>
          <w:lang w:eastAsia="en-GB"/>
        </w:rPr>
        <w:t xml:space="preserve">. Following this </w:t>
      </w:r>
      <w:r w:rsidR="000B0B40" w:rsidRPr="00681829">
        <w:rPr>
          <w:rFonts w:ascii="Arial" w:eastAsia="Times New Roman" w:hAnsi="Arial" w:cs="Arial"/>
          <w:sz w:val="24"/>
          <w:szCs w:val="24"/>
          <w:lang w:eastAsia="en-GB"/>
        </w:rPr>
        <w:t>meeting,</w:t>
      </w:r>
      <w:r w:rsidRPr="00681829">
        <w:rPr>
          <w:rFonts w:ascii="Arial" w:eastAsia="Times New Roman" w:hAnsi="Arial" w:cs="Arial"/>
          <w:sz w:val="24"/>
          <w:szCs w:val="24"/>
          <w:lang w:eastAsia="en-GB"/>
        </w:rPr>
        <w:t xml:space="preserve"> the Council will formally respond to the external auditor and MHCLG.</w:t>
      </w:r>
    </w:p>
    <w:p w14:paraId="1E697F89" w14:textId="77777777" w:rsidR="005F4253" w:rsidRPr="00681829" w:rsidRDefault="005F4253" w:rsidP="005F4253">
      <w:pPr>
        <w:numPr>
          <w:ilvl w:val="1"/>
          <w:numId w:val="1"/>
        </w:numPr>
        <w:autoSpaceDE w:val="0"/>
        <w:autoSpaceDN w:val="0"/>
        <w:adjustRightInd w:val="0"/>
        <w:spacing w:after="0" w:line="240" w:lineRule="auto"/>
        <w:ind w:left="567" w:hanging="567"/>
        <w:jc w:val="both"/>
        <w:rPr>
          <w:rFonts w:ascii="Arial" w:eastAsia="Times New Roman" w:hAnsi="Arial" w:cs="Arial"/>
          <w:sz w:val="24"/>
          <w:szCs w:val="24"/>
          <w:lang w:eastAsia="en-GB"/>
        </w:rPr>
      </w:pPr>
      <w:r w:rsidRPr="00681829">
        <w:rPr>
          <w:rFonts w:ascii="Arial" w:eastAsia="Times New Roman" w:hAnsi="Arial" w:cs="Arial"/>
          <w:sz w:val="24"/>
          <w:szCs w:val="24"/>
          <w:lang w:val="en-US" w:eastAsia="en-GB"/>
        </w:rPr>
        <w:t xml:space="preserve">In particular, </w:t>
      </w:r>
      <w:r w:rsidRPr="00681829">
        <w:rPr>
          <w:rFonts w:ascii="Arial" w:eastAsia="Times New Roman" w:hAnsi="Arial" w:cs="Arial"/>
          <w:iCs/>
          <w:sz w:val="24"/>
          <w:szCs w:val="24"/>
          <w:lang w:val="en-US" w:eastAsia="en-GB"/>
        </w:rPr>
        <w:t>the Public Interest</w:t>
      </w:r>
      <w:r w:rsidRPr="00681829">
        <w:rPr>
          <w:rFonts w:ascii="Arial" w:eastAsia="Times New Roman" w:hAnsi="Arial" w:cs="Arial"/>
          <w:i/>
          <w:iCs/>
          <w:sz w:val="24"/>
          <w:szCs w:val="24"/>
          <w:lang w:val="en-US" w:eastAsia="en-GB"/>
        </w:rPr>
        <w:t xml:space="preserve"> </w:t>
      </w:r>
      <w:r w:rsidRPr="00681829">
        <w:rPr>
          <w:rFonts w:ascii="Arial" w:eastAsia="Times New Roman" w:hAnsi="Arial" w:cs="Arial"/>
          <w:iCs/>
          <w:sz w:val="24"/>
          <w:szCs w:val="24"/>
          <w:lang w:val="en-US" w:eastAsia="en-GB"/>
        </w:rPr>
        <w:t xml:space="preserve">Report </w:t>
      </w:r>
      <w:r w:rsidRPr="00681829">
        <w:rPr>
          <w:rFonts w:ascii="Arial" w:eastAsia="Times New Roman" w:hAnsi="Arial" w:cs="Arial"/>
          <w:sz w:val="24"/>
          <w:szCs w:val="24"/>
          <w:lang w:val="en-US" w:eastAsia="en-GB"/>
        </w:rPr>
        <w:t xml:space="preserve">states that:  </w:t>
      </w:r>
    </w:p>
    <w:p w14:paraId="504E5A0C" w14:textId="77777777" w:rsidR="005F4253" w:rsidRPr="00681829" w:rsidRDefault="005F4253" w:rsidP="005F4253">
      <w:pPr>
        <w:pStyle w:val="ListParagraph"/>
        <w:numPr>
          <w:ilvl w:val="0"/>
          <w:numId w:val="36"/>
        </w:numPr>
        <w:autoSpaceDE w:val="0"/>
        <w:autoSpaceDN w:val="0"/>
        <w:adjustRightInd w:val="0"/>
        <w:spacing w:after="120" w:line="240" w:lineRule="auto"/>
        <w:jc w:val="both"/>
        <w:rPr>
          <w:rFonts w:ascii="Arial" w:eastAsia="Times New Roman" w:hAnsi="Arial" w:cs="Arial"/>
          <w:sz w:val="24"/>
          <w:szCs w:val="24"/>
          <w:lang w:eastAsia="en-GB"/>
        </w:rPr>
      </w:pPr>
      <w:r w:rsidRPr="00681829">
        <w:rPr>
          <w:rFonts w:ascii="Arial" w:eastAsia="Times New Roman" w:hAnsi="Arial" w:cs="Arial"/>
          <w:sz w:val="24"/>
          <w:szCs w:val="24"/>
          <w:lang w:val="en-US" w:eastAsia="en-GB"/>
        </w:rPr>
        <w:t>There was an insufficient appreciation within the Council (as a corporate body) of the huge risks involved in ownership of, and investment in RHE,</w:t>
      </w:r>
    </w:p>
    <w:p w14:paraId="68E16FCC" w14:textId="77777777" w:rsidR="005F4253" w:rsidRPr="00681829" w:rsidRDefault="005F4253" w:rsidP="005F4253">
      <w:pPr>
        <w:pStyle w:val="ListParagraph"/>
        <w:numPr>
          <w:ilvl w:val="0"/>
          <w:numId w:val="36"/>
        </w:numPr>
        <w:autoSpaceDE w:val="0"/>
        <w:autoSpaceDN w:val="0"/>
        <w:adjustRightInd w:val="0"/>
        <w:spacing w:after="120" w:line="240" w:lineRule="auto"/>
        <w:jc w:val="both"/>
        <w:rPr>
          <w:rFonts w:ascii="Arial" w:eastAsia="Times New Roman" w:hAnsi="Arial" w:cs="Arial"/>
          <w:sz w:val="24"/>
          <w:szCs w:val="24"/>
          <w:lang w:eastAsia="en-GB"/>
        </w:rPr>
      </w:pPr>
      <w:r w:rsidRPr="00681829">
        <w:rPr>
          <w:rFonts w:ascii="Arial" w:eastAsia="Times New Roman" w:hAnsi="Arial" w:cs="Arial"/>
          <w:sz w:val="24"/>
          <w:szCs w:val="24"/>
          <w:lang w:eastAsia="en-GB"/>
        </w:rPr>
        <w:t>There was insufficient understanding within the Council of RHE’s financial position, partly due to delays in the provision of information by RHE and the quality and accuracy of that information</w:t>
      </w:r>
    </w:p>
    <w:p w14:paraId="2B8AE577" w14:textId="77777777" w:rsidR="004C03B3" w:rsidRPr="00B1290E" w:rsidRDefault="004C03B3" w:rsidP="004C03B3">
      <w:pPr>
        <w:numPr>
          <w:ilvl w:val="1"/>
          <w:numId w:val="1"/>
        </w:numPr>
        <w:tabs>
          <w:tab w:val="num" w:pos="720"/>
        </w:tabs>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B1290E">
        <w:rPr>
          <w:rFonts w:ascii="Arial" w:eastAsia="Times New Roman" w:hAnsi="Arial" w:cs="Arial"/>
          <w:sz w:val="24"/>
          <w:szCs w:val="24"/>
          <w:lang w:eastAsia="en-GB"/>
        </w:rPr>
        <w:t>The Local Government Act 1999 duty of “best value” requires councils to “make arrangements to secure continuous improvement in the way in which its functions are exercised having regard to a combination of economy, efficiency and effectiveness”.</w:t>
      </w:r>
      <w:r>
        <w:rPr>
          <w:rFonts w:ascii="Arial" w:eastAsia="Times New Roman" w:hAnsi="Arial" w:cs="Arial"/>
          <w:sz w:val="24"/>
          <w:szCs w:val="24"/>
          <w:lang w:eastAsia="en-GB"/>
        </w:rPr>
        <w:t xml:space="preserve"> </w:t>
      </w:r>
      <w:r w:rsidRPr="00B1290E">
        <w:rPr>
          <w:rFonts w:ascii="Arial" w:eastAsia="Times New Roman" w:hAnsi="Arial" w:cs="Arial"/>
          <w:sz w:val="24"/>
          <w:szCs w:val="24"/>
          <w:lang w:eastAsia="en-GB"/>
        </w:rPr>
        <w:t>In addressing that duty, the Council needs to be a learning organisation that focuses on improvement and developmen</w:t>
      </w:r>
      <w:r>
        <w:rPr>
          <w:rFonts w:ascii="Arial" w:eastAsia="Times New Roman" w:hAnsi="Arial" w:cs="Arial"/>
          <w:sz w:val="24"/>
          <w:szCs w:val="24"/>
          <w:lang w:eastAsia="en-GB"/>
        </w:rPr>
        <w:t>t,</w:t>
      </w:r>
      <w:r w:rsidRPr="00B1290E">
        <w:rPr>
          <w:rFonts w:ascii="Arial" w:eastAsia="Times New Roman" w:hAnsi="Arial" w:cs="Arial"/>
          <w:sz w:val="24"/>
          <w:szCs w:val="24"/>
          <w:lang w:eastAsia="en-GB"/>
        </w:rPr>
        <w:t xml:space="preserve"> is open to challenge</w:t>
      </w:r>
      <w:r>
        <w:rPr>
          <w:rFonts w:ascii="Arial" w:eastAsia="Times New Roman" w:hAnsi="Arial" w:cs="Arial"/>
          <w:sz w:val="24"/>
          <w:szCs w:val="24"/>
          <w:lang w:eastAsia="en-GB"/>
        </w:rPr>
        <w:t>,</w:t>
      </w:r>
      <w:r w:rsidRPr="00B1290E">
        <w:rPr>
          <w:rFonts w:ascii="Arial" w:eastAsia="Times New Roman" w:hAnsi="Arial" w:cs="Arial"/>
          <w:sz w:val="24"/>
          <w:szCs w:val="24"/>
          <w:lang w:eastAsia="en-GB"/>
        </w:rPr>
        <w:t xml:space="preserve"> and is dynamically accountable to the citizens of Nottingham. As part of this commitment, the Council will seek support from outside bodies in how it can best respond to the recommendations. It will look to engage with bodies such as the Local Government Association and others to assist with its improvement journey. </w:t>
      </w:r>
      <w:r>
        <w:rPr>
          <w:rFonts w:ascii="Arial" w:eastAsia="Times New Roman" w:hAnsi="Arial" w:cs="Arial"/>
          <w:sz w:val="24"/>
          <w:szCs w:val="24"/>
          <w:lang w:eastAsia="en-GB"/>
        </w:rPr>
        <w:t>The</w:t>
      </w:r>
      <w:r w:rsidRPr="00B1290E">
        <w:rPr>
          <w:rFonts w:ascii="Arial" w:eastAsia="Times New Roman" w:hAnsi="Arial" w:cs="Arial"/>
          <w:sz w:val="24"/>
          <w:szCs w:val="24"/>
          <w:lang w:eastAsia="en-GB"/>
        </w:rPr>
        <w:t xml:space="preserve"> Council has been involved in the national peer review programme which is delivered by the Local Government Association. A return visit was due within the next 12-18 months. Consideration will be given as to how a return visit could support the work outlined in Appendix to address the external auditor’s recommendations.</w:t>
      </w:r>
    </w:p>
    <w:p w14:paraId="0A91BF7B" w14:textId="77777777" w:rsidR="005F4253" w:rsidRPr="00681829" w:rsidRDefault="005F4253" w:rsidP="005F4253">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681829">
        <w:rPr>
          <w:rFonts w:ascii="Arial" w:eastAsia="Times New Roman" w:hAnsi="Arial" w:cs="Arial"/>
          <w:sz w:val="24"/>
          <w:szCs w:val="24"/>
          <w:lang w:eastAsia="en-GB"/>
        </w:rPr>
        <w:t xml:space="preserve">The Council’s proposed response fully accepts the findings and recommendations and </w:t>
      </w:r>
      <w:r w:rsidRPr="00681829">
        <w:rPr>
          <w:rFonts w:ascii="Arial" w:eastAsia="Times New Roman" w:hAnsi="Arial" w:cs="Arial"/>
          <w:sz w:val="24"/>
          <w:szCs w:val="24"/>
          <w:lang w:val="en-US" w:eastAsia="en-GB"/>
        </w:rPr>
        <w:t xml:space="preserve">proposes a number of additional actions to further support the </w:t>
      </w:r>
      <w:r w:rsidR="007F473E">
        <w:rPr>
          <w:rFonts w:ascii="Arial" w:eastAsia="Times New Roman" w:hAnsi="Arial" w:cs="Arial"/>
          <w:sz w:val="24"/>
          <w:szCs w:val="24"/>
          <w:lang w:val="en-US" w:eastAsia="en-GB"/>
        </w:rPr>
        <w:t>e</w:t>
      </w:r>
      <w:r w:rsidRPr="00681829">
        <w:rPr>
          <w:rFonts w:ascii="Arial" w:eastAsia="Times New Roman" w:hAnsi="Arial" w:cs="Arial"/>
          <w:sz w:val="24"/>
          <w:szCs w:val="24"/>
          <w:lang w:val="en-US" w:eastAsia="en-GB"/>
        </w:rPr>
        <w:t xml:space="preserve">xternal </w:t>
      </w:r>
      <w:r w:rsidR="007F473E">
        <w:rPr>
          <w:rFonts w:ascii="Arial" w:eastAsia="Times New Roman" w:hAnsi="Arial" w:cs="Arial"/>
          <w:sz w:val="24"/>
          <w:szCs w:val="24"/>
          <w:lang w:val="en-US" w:eastAsia="en-GB"/>
        </w:rPr>
        <w:t>a</w:t>
      </w:r>
      <w:r w:rsidRPr="00681829">
        <w:rPr>
          <w:rFonts w:ascii="Arial" w:eastAsia="Times New Roman" w:hAnsi="Arial" w:cs="Arial"/>
          <w:sz w:val="24"/>
          <w:szCs w:val="24"/>
          <w:lang w:val="en-US" w:eastAsia="en-GB"/>
        </w:rPr>
        <w:t xml:space="preserve">uditor’s recommendations, and to secure the necessary improvements required. Accountability for its delivery will jointly rest with the </w:t>
      </w:r>
      <w:r w:rsidRPr="00681829">
        <w:rPr>
          <w:rFonts w:ascii="Arial" w:eastAsia="Times New Roman" w:hAnsi="Arial" w:cs="Arial"/>
          <w:sz w:val="24"/>
          <w:szCs w:val="24"/>
          <w:lang w:val="en-US" w:eastAsia="en-GB"/>
        </w:rPr>
        <w:lastRenderedPageBreak/>
        <w:t xml:space="preserve">Leader of the Council and the Chief Executive designate. They will both work closely with the Executive, the Overview and Scrutiny Committee, the Audit Committee and Chief Officers.  </w:t>
      </w:r>
    </w:p>
    <w:p w14:paraId="146B7C78" w14:textId="77777777" w:rsidR="005F4253" w:rsidRPr="004C03B3" w:rsidRDefault="005F4253" w:rsidP="004C03B3">
      <w:pPr>
        <w:numPr>
          <w:ilvl w:val="1"/>
          <w:numId w:val="1"/>
        </w:numPr>
        <w:tabs>
          <w:tab w:val="num" w:pos="720"/>
        </w:tabs>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681829">
        <w:rPr>
          <w:rFonts w:ascii="Arial" w:eastAsia="Times New Roman" w:hAnsi="Arial" w:cs="Arial"/>
          <w:sz w:val="24"/>
          <w:szCs w:val="24"/>
          <w:lang w:val="en-US" w:eastAsia="en-GB"/>
        </w:rPr>
        <w:t>This will include quarterly reports to the Executive Board and full involvement of Overview and Scrutiny and the Audit Committee in overseeing the implementation of the Action Plan</w:t>
      </w:r>
      <w:r w:rsidR="0014397D">
        <w:rPr>
          <w:rFonts w:ascii="Arial" w:eastAsia="Times New Roman" w:hAnsi="Arial" w:cs="Arial"/>
          <w:sz w:val="24"/>
          <w:szCs w:val="24"/>
          <w:lang w:val="en-US" w:eastAsia="en-GB"/>
        </w:rPr>
        <w:t xml:space="preserve"> (Appendix 2)</w:t>
      </w:r>
      <w:r w:rsidRPr="00681829">
        <w:rPr>
          <w:rFonts w:ascii="Arial" w:eastAsia="Times New Roman" w:hAnsi="Arial" w:cs="Arial"/>
          <w:sz w:val="24"/>
          <w:szCs w:val="24"/>
          <w:lang w:val="en-US" w:eastAsia="en-GB"/>
        </w:rPr>
        <w:t xml:space="preserve">. Regular reports will be provided to the External Auditor and </w:t>
      </w:r>
      <w:r w:rsidR="000B0B40" w:rsidRPr="00681829">
        <w:rPr>
          <w:rFonts w:ascii="Arial" w:eastAsia="Times New Roman" w:hAnsi="Arial" w:cs="Arial"/>
          <w:sz w:val="24"/>
          <w:szCs w:val="24"/>
          <w:lang w:val="en-US" w:eastAsia="en-GB"/>
        </w:rPr>
        <w:t>MHCLG on</w:t>
      </w:r>
      <w:r w:rsidRPr="00681829">
        <w:rPr>
          <w:rFonts w:ascii="Arial" w:eastAsia="Times New Roman" w:hAnsi="Arial" w:cs="Arial"/>
          <w:sz w:val="24"/>
          <w:szCs w:val="24"/>
          <w:lang w:val="en-US" w:eastAsia="en-GB"/>
        </w:rPr>
        <w:t xml:space="preserve"> progress.</w:t>
      </w:r>
      <w:r w:rsidR="004C03B3" w:rsidRPr="004C03B3">
        <w:rPr>
          <w:rFonts w:ascii="Arial" w:hAnsi="Arial" w:cs="Arial"/>
          <w:sz w:val="24"/>
          <w:szCs w:val="24"/>
        </w:rPr>
        <w:t xml:space="preserve"> </w:t>
      </w:r>
      <w:r w:rsidR="004C03B3" w:rsidRPr="004C03B3">
        <w:rPr>
          <w:rFonts w:ascii="Arial" w:eastAsia="Times New Roman" w:hAnsi="Arial" w:cs="Arial"/>
          <w:sz w:val="24"/>
          <w:szCs w:val="24"/>
          <w:lang w:eastAsia="en-GB"/>
        </w:rPr>
        <w:t>There will be a report back to full Council in 12 months’ time to the September 2021</w:t>
      </w:r>
      <w:r w:rsidR="004C03B3">
        <w:rPr>
          <w:rFonts w:ascii="Arial" w:eastAsia="Times New Roman" w:hAnsi="Arial" w:cs="Arial"/>
          <w:sz w:val="24"/>
          <w:szCs w:val="24"/>
          <w:lang w:eastAsia="en-GB"/>
        </w:rPr>
        <w:t xml:space="preserve"> </w:t>
      </w:r>
      <w:r w:rsidR="004C03B3" w:rsidRPr="004C03B3">
        <w:rPr>
          <w:rFonts w:ascii="Arial" w:eastAsia="Times New Roman" w:hAnsi="Arial" w:cs="Arial"/>
          <w:sz w:val="24"/>
          <w:szCs w:val="24"/>
          <w:lang w:eastAsia="en-GB"/>
        </w:rPr>
        <w:t>meeting on progress against the Action Plan.</w:t>
      </w:r>
    </w:p>
    <w:p w14:paraId="7A92D691" w14:textId="77777777" w:rsidR="00B1290E" w:rsidRPr="00B1290E" w:rsidRDefault="00B1290E" w:rsidP="00B1290E">
      <w:pPr>
        <w:numPr>
          <w:ilvl w:val="1"/>
          <w:numId w:val="1"/>
        </w:numPr>
        <w:tabs>
          <w:tab w:val="num" w:pos="720"/>
        </w:tabs>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B1290E">
        <w:rPr>
          <w:rFonts w:ascii="Arial" w:eastAsia="Times New Roman" w:hAnsi="Arial" w:cs="Arial"/>
          <w:sz w:val="24"/>
          <w:szCs w:val="24"/>
          <w:lang w:eastAsia="en-GB"/>
        </w:rPr>
        <w:t>It will take some time to fully implement all the changes required in the</w:t>
      </w:r>
      <w:r>
        <w:rPr>
          <w:rFonts w:ascii="Arial" w:eastAsia="Times New Roman" w:hAnsi="Arial" w:cs="Arial"/>
          <w:sz w:val="24"/>
          <w:szCs w:val="24"/>
          <w:lang w:eastAsia="en-GB"/>
        </w:rPr>
        <w:t xml:space="preserve"> </w:t>
      </w:r>
      <w:r w:rsidRPr="00B1290E">
        <w:rPr>
          <w:rFonts w:ascii="Arial" w:eastAsia="Times New Roman" w:hAnsi="Arial" w:cs="Arial"/>
          <w:sz w:val="24"/>
          <w:szCs w:val="24"/>
          <w:lang w:eastAsia="en-GB"/>
        </w:rPr>
        <w:t>recommendations proposed in the Action Plan. However, the Council has already started to address a number of the issues that are highlighted in the external auditor’s report. These actions include:</w:t>
      </w:r>
    </w:p>
    <w:p w14:paraId="6E3E63BF" w14:textId="77777777" w:rsidR="00B1290E" w:rsidRPr="00B1290E" w:rsidRDefault="00B1290E" w:rsidP="00B1290E">
      <w:pPr>
        <w:pStyle w:val="ListParagraph"/>
        <w:numPr>
          <w:ilvl w:val="0"/>
          <w:numId w:val="37"/>
        </w:numPr>
        <w:autoSpaceDE w:val="0"/>
        <w:autoSpaceDN w:val="0"/>
        <w:adjustRightInd w:val="0"/>
        <w:spacing w:after="120" w:line="240" w:lineRule="auto"/>
        <w:jc w:val="both"/>
        <w:rPr>
          <w:rFonts w:ascii="Arial" w:eastAsia="Times New Roman" w:hAnsi="Arial" w:cs="Arial"/>
          <w:sz w:val="24"/>
          <w:szCs w:val="24"/>
          <w:lang w:eastAsia="en-GB"/>
        </w:rPr>
      </w:pPr>
      <w:r w:rsidRPr="00B1290E">
        <w:rPr>
          <w:rFonts w:ascii="Arial" w:eastAsia="Times New Roman" w:hAnsi="Arial" w:cs="Arial"/>
          <w:sz w:val="24"/>
          <w:szCs w:val="24"/>
          <w:lang w:eastAsia="en-GB"/>
        </w:rPr>
        <w:t>Establishment of a fortnightly Robin Hood Energy Steering Group chaired by the Leader.</w:t>
      </w:r>
    </w:p>
    <w:p w14:paraId="6A8585F4" w14:textId="77777777" w:rsidR="00B1290E" w:rsidRPr="00B1290E" w:rsidRDefault="00B1290E" w:rsidP="00B1290E">
      <w:pPr>
        <w:pStyle w:val="ListParagraph"/>
        <w:numPr>
          <w:ilvl w:val="0"/>
          <w:numId w:val="37"/>
        </w:numPr>
        <w:autoSpaceDE w:val="0"/>
        <w:autoSpaceDN w:val="0"/>
        <w:adjustRightInd w:val="0"/>
        <w:spacing w:after="120" w:line="240" w:lineRule="auto"/>
        <w:jc w:val="both"/>
        <w:rPr>
          <w:rFonts w:ascii="Arial" w:eastAsia="Times New Roman" w:hAnsi="Arial" w:cs="Arial"/>
          <w:sz w:val="24"/>
          <w:szCs w:val="24"/>
          <w:lang w:eastAsia="en-GB"/>
        </w:rPr>
      </w:pPr>
      <w:r w:rsidRPr="00B1290E">
        <w:rPr>
          <w:rFonts w:ascii="Arial" w:eastAsia="Times New Roman" w:hAnsi="Arial" w:cs="Arial"/>
          <w:sz w:val="24"/>
          <w:szCs w:val="24"/>
          <w:lang w:eastAsia="en-GB"/>
        </w:rPr>
        <w:t>The replacement of the Council’s Shareholder Representative.</w:t>
      </w:r>
    </w:p>
    <w:p w14:paraId="1F70CD51" w14:textId="77777777" w:rsidR="00B1290E" w:rsidRPr="00B1290E" w:rsidRDefault="00B1290E" w:rsidP="00B1290E">
      <w:pPr>
        <w:pStyle w:val="ListParagraph"/>
        <w:numPr>
          <w:ilvl w:val="0"/>
          <w:numId w:val="37"/>
        </w:numPr>
        <w:autoSpaceDE w:val="0"/>
        <w:autoSpaceDN w:val="0"/>
        <w:adjustRightInd w:val="0"/>
        <w:spacing w:after="120" w:line="240" w:lineRule="auto"/>
        <w:jc w:val="both"/>
        <w:rPr>
          <w:rFonts w:ascii="Arial" w:eastAsia="Times New Roman" w:hAnsi="Arial" w:cs="Arial"/>
          <w:sz w:val="24"/>
          <w:szCs w:val="24"/>
          <w:lang w:eastAsia="en-GB"/>
        </w:rPr>
      </w:pPr>
      <w:r w:rsidRPr="00B1290E">
        <w:rPr>
          <w:rFonts w:ascii="Arial" w:eastAsia="Times New Roman" w:hAnsi="Arial" w:cs="Arial"/>
          <w:sz w:val="24"/>
          <w:szCs w:val="24"/>
          <w:lang w:eastAsia="en-GB"/>
        </w:rPr>
        <w:t>Joint action with the new Chair of the Robin Hood Energy Board, to strengthen the Board with a Councillor who is a qualified accountant and more legal and</w:t>
      </w:r>
      <w:r w:rsidR="007F473E">
        <w:rPr>
          <w:rFonts w:ascii="Arial" w:eastAsia="Times New Roman" w:hAnsi="Arial" w:cs="Arial"/>
          <w:sz w:val="24"/>
          <w:szCs w:val="24"/>
          <w:lang w:eastAsia="en-GB"/>
        </w:rPr>
        <w:t xml:space="preserve"> </w:t>
      </w:r>
      <w:r w:rsidRPr="00B1290E">
        <w:rPr>
          <w:rFonts w:ascii="Arial" w:eastAsia="Times New Roman" w:hAnsi="Arial" w:cs="Arial"/>
          <w:sz w:val="24"/>
          <w:szCs w:val="24"/>
          <w:lang w:eastAsia="en-GB"/>
        </w:rPr>
        <w:t>administrative support and expertise.</w:t>
      </w:r>
    </w:p>
    <w:p w14:paraId="45815093" w14:textId="77777777" w:rsidR="00B1290E" w:rsidRPr="00B1290E" w:rsidRDefault="00B1290E" w:rsidP="00B1290E">
      <w:pPr>
        <w:pStyle w:val="ListParagraph"/>
        <w:numPr>
          <w:ilvl w:val="0"/>
          <w:numId w:val="37"/>
        </w:numPr>
        <w:autoSpaceDE w:val="0"/>
        <w:autoSpaceDN w:val="0"/>
        <w:adjustRightInd w:val="0"/>
        <w:spacing w:after="120" w:line="240" w:lineRule="auto"/>
        <w:jc w:val="both"/>
        <w:rPr>
          <w:rFonts w:ascii="Arial" w:eastAsia="Times New Roman" w:hAnsi="Arial" w:cs="Arial"/>
          <w:sz w:val="24"/>
          <w:szCs w:val="24"/>
          <w:lang w:eastAsia="en-GB"/>
        </w:rPr>
      </w:pPr>
      <w:r w:rsidRPr="00B1290E">
        <w:rPr>
          <w:rFonts w:ascii="Arial" w:eastAsia="Times New Roman" w:hAnsi="Arial" w:cs="Arial"/>
          <w:sz w:val="24"/>
          <w:szCs w:val="24"/>
          <w:lang w:eastAsia="en-GB"/>
        </w:rPr>
        <w:t>The suspension of senior staff at Robin Hood Energy.</w:t>
      </w:r>
    </w:p>
    <w:p w14:paraId="0CFD016E" w14:textId="77777777" w:rsidR="00B1290E" w:rsidRPr="00B1290E" w:rsidRDefault="00B1290E" w:rsidP="00B1290E">
      <w:pPr>
        <w:pStyle w:val="ListParagraph"/>
        <w:numPr>
          <w:ilvl w:val="0"/>
          <w:numId w:val="37"/>
        </w:numPr>
        <w:autoSpaceDE w:val="0"/>
        <w:autoSpaceDN w:val="0"/>
        <w:adjustRightInd w:val="0"/>
        <w:spacing w:after="120" w:line="240" w:lineRule="auto"/>
        <w:jc w:val="both"/>
        <w:rPr>
          <w:rFonts w:ascii="Arial" w:eastAsia="Times New Roman" w:hAnsi="Arial" w:cs="Arial"/>
          <w:sz w:val="24"/>
          <w:szCs w:val="24"/>
          <w:lang w:eastAsia="en-GB"/>
        </w:rPr>
      </w:pPr>
      <w:r w:rsidRPr="00B1290E">
        <w:rPr>
          <w:rFonts w:ascii="Arial" w:eastAsia="Times New Roman" w:hAnsi="Arial" w:cs="Arial"/>
          <w:sz w:val="24"/>
          <w:szCs w:val="24"/>
          <w:lang w:eastAsia="en-GB"/>
        </w:rPr>
        <w:t>The appointment of industry experts and a new management team to lead the company, to bring a fresh approach to governance.</w:t>
      </w:r>
    </w:p>
    <w:p w14:paraId="612C8D42" w14:textId="77777777" w:rsidR="00B1290E" w:rsidRPr="00B1290E" w:rsidRDefault="00B1290E" w:rsidP="00B1290E">
      <w:pPr>
        <w:pStyle w:val="ListParagraph"/>
        <w:numPr>
          <w:ilvl w:val="0"/>
          <w:numId w:val="37"/>
        </w:numPr>
        <w:autoSpaceDE w:val="0"/>
        <w:autoSpaceDN w:val="0"/>
        <w:adjustRightInd w:val="0"/>
        <w:spacing w:after="120" w:line="240" w:lineRule="auto"/>
        <w:jc w:val="both"/>
        <w:rPr>
          <w:rFonts w:ascii="Arial" w:eastAsia="Times New Roman" w:hAnsi="Arial" w:cs="Arial"/>
          <w:sz w:val="24"/>
          <w:szCs w:val="24"/>
          <w:lang w:eastAsia="en-GB"/>
        </w:rPr>
      </w:pPr>
      <w:r w:rsidRPr="00B1290E">
        <w:rPr>
          <w:rFonts w:ascii="Arial" w:eastAsia="Times New Roman" w:hAnsi="Arial" w:cs="Arial"/>
          <w:sz w:val="24"/>
          <w:szCs w:val="24"/>
          <w:lang w:eastAsia="en-GB"/>
        </w:rPr>
        <w:t>The establishment of a Companies’ Governance Executive Sub-Committee to strengthen the Council’s approach to governance across the authority.</w:t>
      </w:r>
    </w:p>
    <w:p w14:paraId="053414F1" w14:textId="77777777" w:rsidR="00B1290E" w:rsidRPr="00B1290E" w:rsidRDefault="00B1290E" w:rsidP="00B1290E">
      <w:pPr>
        <w:pStyle w:val="ListParagraph"/>
        <w:numPr>
          <w:ilvl w:val="0"/>
          <w:numId w:val="37"/>
        </w:numPr>
        <w:autoSpaceDE w:val="0"/>
        <w:autoSpaceDN w:val="0"/>
        <w:adjustRightInd w:val="0"/>
        <w:spacing w:after="120" w:line="240" w:lineRule="auto"/>
        <w:jc w:val="both"/>
        <w:rPr>
          <w:rFonts w:ascii="Arial" w:eastAsia="Times New Roman" w:hAnsi="Arial" w:cs="Arial"/>
          <w:sz w:val="24"/>
          <w:szCs w:val="24"/>
          <w:lang w:eastAsia="en-GB"/>
        </w:rPr>
      </w:pPr>
      <w:r w:rsidRPr="00B1290E">
        <w:rPr>
          <w:rFonts w:ascii="Arial" w:eastAsia="Times New Roman" w:hAnsi="Arial" w:cs="Arial"/>
          <w:sz w:val="24"/>
          <w:szCs w:val="24"/>
          <w:lang w:eastAsia="en-GB"/>
        </w:rPr>
        <w:t>The commencement of a strategic review to consider all options for the future of Robin Hood Energy Ltd.</w:t>
      </w:r>
    </w:p>
    <w:p w14:paraId="3A140D9C" w14:textId="77777777" w:rsidR="00B8437C" w:rsidRPr="00BB3F98" w:rsidRDefault="00B8437C" w:rsidP="00B8437C">
      <w:pPr>
        <w:autoSpaceDE w:val="0"/>
        <w:autoSpaceDN w:val="0"/>
        <w:adjustRightInd w:val="0"/>
        <w:spacing w:after="120" w:line="240" w:lineRule="auto"/>
        <w:ind w:left="567"/>
        <w:jc w:val="both"/>
        <w:rPr>
          <w:rFonts w:ascii="Arial" w:eastAsia="Times New Roman" w:hAnsi="Arial" w:cs="Arial"/>
          <w:b/>
          <w:sz w:val="24"/>
          <w:szCs w:val="24"/>
          <w:lang w:eastAsia="en-GB"/>
        </w:rPr>
      </w:pPr>
      <w:r w:rsidRPr="00BB3F98">
        <w:rPr>
          <w:rFonts w:ascii="Arial" w:eastAsia="Times New Roman" w:hAnsi="Arial" w:cs="Arial"/>
          <w:b/>
          <w:sz w:val="24"/>
          <w:szCs w:val="24"/>
          <w:lang w:eastAsia="en-GB"/>
        </w:rPr>
        <w:t>Covid-19 Public Health Emergency</w:t>
      </w:r>
    </w:p>
    <w:p w14:paraId="2E5AEC05" w14:textId="77777777" w:rsidR="00B8437C" w:rsidRPr="00BB3F98" w:rsidRDefault="00F7243E" w:rsidP="00B8437C">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BB3F98">
        <w:rPr>
          <w:rFonts w:ascii="Arial" w:eastAsia="Times New Roman" w:hAnsi="Arial" w:cs="Arial"/>
          <w:sz w:val="24"/>
          <w:szCs w:val="24"/>
          <w:lang w:eastAsia="en-GB"/>
        </w:rPr>
        <w:t>The emergency was declared on 16</w:t>
      </w:r>
      <w:r w:rsidRPr="00BB3F98">
        <w:rPr>
          <w:rFonts w:ascii="Arial" w:eastAsia="Times New Roman" w:hAnsi="Arial" w:cs="Arial"/>
          <w:sz w:val="24"/>
          <w:szCs w:val="24"/>
          <w:vertAlign w:val="superscript"/>
          <w:lang w:eastAsia="en-GB"/>
        </w:rPr>
        <w:t>th</w:t>
      </w:r>
      <w:r w:rsidRPr="00BB3F98">
        <w:rPr>
          <w:rFonts w:ascii="Arial" w:eastAsia="Times New Roman" w:hAnsi="Arial" w:cs="Arial"/>
          <w:sz w:val="24"/>
          <w:szCs w:val="24"/>
          <w:lang w:eastAsia="en-GB"/>
        </w:rPr>
        <w:t xml:space="preserve"> March 2020 and various legislation has been brought in to regulate society and help the country weather the impact of the virus and lead to recovery.</w:t>
      </w:r>
      <w:r>
        <w:rPr>
          <w:rFonts w:ascii="Arial" w:eastAsia="Times New Roman" w:hAnsi="Arial" w:cs="Arial"/>
          <w:sz w:val="24"/>
          <w:szCs w:val="24"/>
          <w:lang w:eastAsia="en-GB"/>
        </w:rPr>
        <w:t xml:space="preserve"> </w:t>
      </w:r>
      <w:r w:rsidR="00B8437C" w:rsidRPr="00BB3F98">
        <w:rPr>
          <w:rFonts w:ascii="Arial" w:eastAsia="Times New Roman" w:hAnsi="Arial" w:cs="Arial"/>
          <w:sz w:val="24"/>
          <w:szCs w:val="24"/>
          <w:lang w:eastAsia="en-GB"/>
        </w:rPr>
        <w:t>The emergency did not impact gover</w:t>
      </w:r>
      <w:r w:rsidR="00B8437C">
        <w:rPr>
          <w:rFonts w:ascii="Arial" w:eastAsia="Times New Roman" w:hAnsi="Arial" w:cs="Arial"/>
          <w:sz w:val="24"/>
          <w:szCs w:val="24"/>
          <w:lang w:eastAsia="en-GB"/>
        </w:rPr>
        <w:t>nance until March 2020</w:t>
      </w:r>
      <w:r w:rsidR="00B8437C" w:rsidRPr="00BB3F98">
        <w:rPr>
          <w:rFonts w:ascii="Arial" w:eastAsia="Times New Roman" w:hAnsi="Arial" w:cs="Arial"/>
          <w:sz w:val="24"/>
          <w:szCs w:val="24"/>
          <w:lang w:eastAsia="en-GB"/>
        </w:rPr>
        <w:t xml:space="preserve">. </w:t>
      </w:r>
      <w:r w:rsidR="00B8437C" w:rsidRPr="00F10BD0">
        <w:rPr>
          <w:rFonts w:ascii="Arial" w:eastAsia="Times New Roman" w:hAnsi="Arial" w:cs="Arial"/>
          <w:sz w:val="24"/>
          <w:szCs w:val="24"/>
          <w:lang w:eastAsia="en-GB"/>
        </w:rPr>
        <w:t>However</w:t>
      </w:r>
      <w:r w:rsidR="007F473E" w:rsidRPr="00F10BD0">
        <w:rPr>
          <w:rFonts w:ascii="Arial" w:eastAsia="Times New Roman" w:hAnsi="Arial" w:cs="Arial"/>
          <w:sz w:val="24"/>
          <w:szCs w:val="24"/>
          <w:lang w:eastAsia="en-GB"/>
        </w:rPr>
        <w:t>,</w:t>
      </w:r>
      <w:r w:rsidR="00B8437C" w:rsidRPr="00F10BD0">
        <w:rPr>
          <w:rFonts w:ascii="Arial" w:eastAsia="Times New Roman" w:hAnsi="Arial" w:cs="Arial"/>
          <w:sz w:val="24"/>
          <w:szCs w:val="24"/>
          <w:lang w:eastAsia="en-GB"/>
        </w:rPr>
        <w:t xml:space="preserve"> as a result of the emergency our view of the state of governance in 2019-20 has </w:t>
      </w:r>
      <w:r w:rsidR="00BF7C85" w:rsidRPr="00F10BD0">
        <w:rPr>
          <w:rFonts w:ascii="Arial" w:eastAsia="Times New Roman" w:hAnsi="Arial" w:cs="Arial"/>
          <w:sz w:val="24"/>
          <w:szCs w:val="24"/>
          <w:lang w:eastAsia="en-GB"/>
        </w:rPr>
        <w:t>developed</w:t>
      </w:r>
      <w:r w:rsidR="00B8437C" w:rsidRPr="00F10BD0">
        <w:rPr>
          <w:rFonts w:ascii="Arial" w:eastAsia="Times New Roman" w:hAnsi="Arial" w:cs="Arial"/>
          <w:sz w:val="24"/>
          <w:szCs w:val="24"/>
          <w:lang w:eastAsia="en-GB"/>
        </w:rPr>
        <w:t xml:space="preserve">. Also the governance environment for the Council has significantly changed </w:t>
      </w:r>
      <w:r w:rsidR="005F5495" w:rsidRPr="00AF480D">
        <w:rPr>
          <w:rFonts w:ascii="Arial" w:eastAsia="Times New Roman" w:hAnsi="Arial" w:cs="Arial"/>
          <w:sz w:val="24"/>
          <w:szCs w:val="24"/>
          <w:lang w:eastAsia="en-GB"/>
        </w:rPr>
        <w:t xml:space="preserve">in respect of processes and legislation </w:t>
      </w:r>
      <w:r w:rsidR="00B8437C" w:rsidRPr="00F10BD0">
        <w:rPr>
          <w:rFonts w:ascii="Arial" w:eastAsia="Times New Roman" w:hAnsi="Arial" w:cs="Arial"/>
          <w:sz w:val="24"/>
          <w:szCs w:val="24"/>
          <w:lang w:eastAsia="en-GB"/>
        </w:rPr>
        <w:t>since the emergency was declared</w:t>
      </w:r>
      <w:r w:rsidR="00B8437C" w:rsidRPr="00AF480D">
        <w:rPr>
          <w:rFonts w:ascii="Arial" w:eastAsia="Times New Roman" w:hAnsi="Arial" w:cs="Arial"/>
          <w:sz w:val="24"/>
          <w:szCs w:val="24"/>
          <w:lang w:eastAsia="en-GB"/>
        </w:rPr>
        <w:t>.</w:t>
      </w:r>
      <w:r w:rsidR="00B8437C" w:rsidRPr="00BB3F98">
        <w:rPr>
          <w:rFonts w:ascii="Arial" w:eastAsia="Times New Roman" w:hAnsi="Arial" w:cs="Arial"/>
          <w:sz w:val="24"/>
          <w:szCs w:val="24"/>
          <w:lang w:eastAsia="en-GB"/>
        </w:rPr>
        <w:t xml:space="preserve"> </w:t>
      </w:r>
    </w:p>
    <w:p w14:paraId="711D4731" w14:textId="77777777" w:rsidR="005F5495" w:rsidRDefault="00B8437C" w:rsidP="00B8437C">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BB3F98">
        <w:rPr>
          <w:rFonts w:ascii="Arial" w:eastAsia="Times New Roman" w:hAnsi="Arial" w:cs="Arial"/>
          <w:sz w:val="24"/>
          <w:szCs w:val="24"/>
          <w:lang w:eastAsia="en-GB"/>
        </w:rPr>
        <w:t xml:space="preserve">In the short term following the declaration of the emergency the majority of council staff and councillors were required to work from home, as they were not key workers. </w:t>
      </w:r>
      <w:r w:rsidR="00E11104">
        <w:rPr>
          <w:rFonts w:ascii="Arial" w:eastAsia="Times New Roman" w:hAnsi="Arial" w:cs="Arial"/>
          <w:sz w:val="24"/>
          <w:szCs w:val="24"/>
          <w:lang w:eastAsia="en-GB"/>
        </w:rPr>
        <w:t xml:space="preserve">This enabled them to continue to support key workers and manage the situation as it developed. The Council was in a good position to achieve this because as part of its activity to get better value from its corporate </w:t>
      </w:r>
      <w:r w:rsidR="008A4009">
        <w:rPr>
          <w:rFonts w:ascii="Arial" w:eastAsia="Times New Roman" w:hAnsi="Arial" w:cs="Arial"/>
          <w:sz w:val="24"/>
          <w:szCs w:val="24"/>
          <w:lang w:eastAsia="en-GB"/>
        </w:rPr>
        <w:t>headquarters</w:t>
      </w:r>
      <w:r w:rsidR="00E11104">
        <w:rPr>
          <w:rFonts w:ascii="Arial" w:eastAsia="Times New Roman" w:hAnsi="Arial" w:cs="Arial"/>
          <w:sz w:val="24"/>
          <w:szCs w:val="24"/>
          <w:lang w:eastAsia="en-GB"/>
        </w:rPr>
        <w:t xml:space="preserve"> at Loxley House</w:t>
      </w:r>
      <w:r w:rsidR="008A4009">
        <w:rPr>
          <w:rFonts w:ascii="Arial" w:eastAsia="Times New Roman" w:hAnsi="Arial" w:cs="Arial"/>
          <w:sz w:val="24"/>
          <w:szCs w:val="24"/>
          <w:lang w:eastAsia="en-GB"/>
        </w:rPr>
        <w:t xml:space="preserve"> and other buildings</w:t>
      </w:r>
      <w:r w:rsidR="005F5495">
        <w:rPr>
          <w:rFonts w:ascii="Arial" w:eastAsia="Times New Roman" w:hAnsi="Arial" w:cs="Arial"/>
          <w:sz w:val="24"/>
          <w:szCs w:val="24"/>
          <w:lang w:eastAsia="en-GB"/>
        </w:rPr>
        <w:t>,</w:t>
      </w:r>
      <w:r w:rsidR="008A4009">
        <w:rPr>
          <w:rFonts w:ascii="Arial" w:eastAsia="Times New Roman" w:hAnsi="Arial" w:cs="Arial"/>
          <w:sz w:val="24"/>
          <w:szCs w:val="24"/>
          <w:lang w:eastAsia="en-GB"/>
        </w:rPr>
        <w:t xml:space="preserve"> </w:t>
      </w:r>
    </w:p>
    <w:p w14:paraId="0B4118AB" w14:textId="77777777" w:rsidR="005F5495" w:rsidRDefault="008A4009" w:rsidP="00AF480D">
      <w:pPr>
        <w:pStyle w:val="ListParagraph"/>
        <w:numPr>
          <w:ilvl w:val="0"/>
          <w:numId w:val="39"/>
        </w:numPr>
        <w:autoSpaceDE w:val="0"/>
        <w:autoSpaceDN w:val="0"/>
        <w:adjustRightInd w:val="0"/>
        <w:spacing w:after="120" w:line="240" w:lineRule="auto"/>
        <w:jc w:val="both"/>
        <w:rPr>
          <w:rFonts w:ascii="Arial" w:eastAsia="Times New Roman" w:hAnsi="Arial" w:cs="Arial"/>
          <w:sz w:val="24"/>
          <w:szCs w:val="24"/>
          <w:lang w:eastAsia="en-GB"/>
        </w:rPr>
      </w:pPr>
      <w:r w:rsidRPr="00AF480D">
        <w:rPr>
          <w:rFonts w:ascii="Arial" w:eastAsia="Times New Roman" w:hAnsi="Arial" w:cs="Arial"/>
          <w:sz w:val="24"/>
          <w:szCs w:val="24"/>
          <w:lang w:eastAsia="en-GB"/>
        </w:rPr>
        <w:t xml:space="preserve">a significant level of working from home had been introduced, </w:t>
      </w:r>
    </w:p>
    <w:p w14:paraId="5B5C00F5" w14:textId="77777777" w:rsidR="005F5495" w:rsidRDefault="008A4009" w:rsidP="00AF480D">
      <w:pPr>
        <w:pStyle w:val="ListParagraph"/>
        <w:numPr>
          <w:ilvl w:val="0"/>
          <w:numId w:val="39"/>
        </w:numPr>
        <w:autoSpaceDE w:val="0"/>
        <w:autoSpaceDN w:val="0"/>
        <w:adjustRightInd w:val="0"/>
        <w:spacing w:after="120" w:line="240" w:lineRule="auto"/>
        <w:jc w:val="both"/>
        <w:rPr>
          <w:rFonts w:ascii="Arial" w:eastAsia="Times New Roman" w:hAnsi="Arial" w:cs="Arial"/>
          <w:sz w:val="24"/>
          <w:szCs w:val="24"/>
          <w:lang w:eastAsia="en-GB"/>
        </w:rPr>
      </w:pPr>
      <w:r w:rsidRPr="00174080">
        <w:rPr>
          <w:rFonts w:ascii="Arial" w:eastAsia="Times New Roman" w:hAnsi="Arial" w:cs="Arial"/>
          <w:sz w:val="24"/>
          <w:szCs w:val="24"/>
          <w:lang w:eastAsia="en-GB"/>
        </w:rPr>
        <w:t>the enabling work systems, communication and network tools</w:t>
      </w:r>
      <w:r w:rsidR="005F5495">
        <w:rPr>
          <w:rFonts w:ascii="Arial" w:eastAsia="Times New Roman" w:hAnsi="Arial" w:cs="Arial"/>
          <w:sz w:val="24"/>
          <w:szCs w:val="24"/>
          <w:lang w:eastAsia="en-GB"/>
        </w:rPr>
        <w:t xml:space="preserve"> were in place</w:t>
      </w:r>
    </w:p>
    <w:p w14:paraId="739D909E" w14:textId="77777777" w:rsidR="008A4009" w:rsidRPr="00174080" w:rsidRDefault="005F5495" w:rsidP="00AF480D">
      <w:pPr>
        <w:pStyle w:val="ListParagraph"/>
        <w:numPr>
          <w:ilvl w:val="0"/>
          <w:numId w:val="39"/>
        </w:numPr>
        <w:autoSpaceDE w:val="0"/>
        <w:autoSpaceDN w:val="0"/>
        <w:adjustRightInd w:val="0"/>
        <w:spacing w:after="12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lastRenderedPageBreak/>
        <w:t>t</w:t>
      </w:r>
      <w:r w:rsidR="008A4009" w:rsidRPr="00174080">
        <w:rPr>
          <w:rFonts w:ascii="Arial" w:eastAsia="Times New Roman" w:hAnsi="Arial" w:cs="Arial"/>
          <w:sz w:val="24"/>
          <w:szCs w:val="24"/>
          <w:lang w:eastAsia="en-GB"/>
        </w:rPr>
        <w:t>he council’s IT services speedily made arrangements to increase the bandwidth available on the Council’s VPN and rolled out new software in order to deal with further operational needs.</w:t>
      </w:r>
    </w:p>
    <w:p w14:paraId="7EC1E086" w14:textId="77777777" w:rsidR="00B8437C" w:rsidRPr="00BB3F98" w:rsidRDefault="00B8437C" w:rsidP="00B8437C">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BB3F98">
        <w:rPr>
          <w:rFonts w:ascii="Arial" w:eastAsia="Times New Roman" w:hAnsi="Arial" w:cs="Arial"/>
          <w:sz w:val="24"/>
          <w:szCs w:val="24"/>
          <w:lang w:eastAsia="en-GB"/>
        </w:rPr>
        <w:t>In</w:t>
      </w:r>
      <w:r w:rsidR="008A4009">
        <w:rPr>
          <w:rFonts w:ascii="Arial" w:eastAsia="Times New Roman" w:hAnsi="Arial" w:cs="Arial"/>
          <w:sz w:val="24"/>
          <w:szCs w:val="24"/>
          <w:lang w:eastAsia="en-GB"/>
        </w:rPr>
        <w:t>itially</w:t>
      </w:r>
      <w:r w:rsidRPr="00BB3F98">
        <w:rPr>
          <w:rFonts w:ascii="Arial" w:eastAsia="Times New Roman" w:hAnsi="Arial" w:cs="Arial"/>
          <w:sz w:val="24"/>
          <w:szCs w:val="24"/>
          <w:lang w:eastAsia="en-GB"/>
        </w:rPr>
        <w:t xml:space="preserve"> the </w:t>
      </w:r>
      <w:r>
        <w:rPr>
          <w:rFonts w:ascii="Arial" w:eastAsia="Times New Roman" w:hAnsi="Arial" w:cs="Arial"/>
          <w:sz w:val="24"/>
          <w:szCs w:val="24"/>
          <w:lang w:eastAsia="en-GB"/>
        </w:rPr>
        <w:t>C</w:t>
      </w:r>
      <w:r w:rsidRPr="00BB3F98">
        <w:rPr>
          <w:rFonts w:ascii="Arial" w:eastAsia="Times New Roman" w:hAnsi="Arial" w:cs="Arial"/>
          <w:sz w:val="24"/>
          <w:szCs w:val="24"/>
          <w:lang w:eastAsia="en-GB"/>
        </w:rPr>
        <w:t xml:space="preserve">ouncil was unable to follow its normal decision making processes as meetings of the Council and its committees were required by law to be in person. Executive arrangements and financial limits were extended to enable business to continue. The relative continuity of activities and ability to take on new functions effectively at this time has proved the resilience of certain aspects of the </w:t>
      </w:r>
      <w:r>
        <w:rPr>
          <w:rFonts w:ascii="Arial" w:eastAsia="Times New Roman" w:hAnsi="Arial" w:cs="Arial"/>
          <w:sz w:val="24"/>
          <w:szCs w:val="24"/>
          <w:lang w:eastAsia="en-GB"/>
        </w:rPr>
        <w:t>C</w:t>
      </w:r>
      <w:r w:rsidRPr="00BB3F98">
        <w:rPr>
          <w:rFonts w:ascii="Arial" w:eastAsia="Times New Roman" w:hAnsi="Arial" w:cs="Arial"/>
          <w:sz w:val="24"/>
          <w:szCs w:val="24"/>
          <w:lang w:eastAsia="en-GB"/>
        </w:rPr>
        <w:t>ouncil’s governance systems and staffing.</w:t>
      </w:r>
    </w:p>
    <w:p w14:paraId="6ECF80DE" w14:textId="77777777" w:rsidR="00B8437C" w:rsidRPr="00BB3F98" w:rsidRDefault="00B8437C" w:rsidP="00B8437C">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BB3F98">
        <w:rPr>
          <w:rFonts w:ascii="Arial" w:eastAsia="Times New Roman" w:hAnsi="Arial" w:cs="Arial"/>
          <w:sz w:val="24"/>
          <w:szCs w:val="24"/>
          <w:lang w:eastAsia="en-GB"/>
        </w:rPr>
        <w:t>In addition</w:t>
      </w:r>
      <w:r w:rsidR="00F7243E">
        <w:rPr>
          <w:rFonts w:ascii="Arial" w:eastAsia="Times New Roman" w:hAnsi="Arial" w:cs="Arial"/>
          <w:sz w:val="24"/>
          <w:szCs w:val="24"/>
          <w:lang w:eastAsia="en-GB"/>
        </w:rPr>
        <w:t>,</w:t>
      </w:r>
      <w:r w:rsidRPr="00BB3F98">
        <w:rPr>
          <w:rFonts w:ascii="Arial" w:eastAsia="Times New Roman" w:hAnsi="Arial" w:cs="Arial"/>
          <w:sz w:val="24"/>
          <w:szCs w:val="24"/>
          <w:lang w:eastAsia="en-GB"/>
        </w:rPr>
        <w:t xml:space="preserve"> to comply with government guidelines to ensure that businesses were provided with timely support, payments were released earlier than normal, and grant payments were subject to less stringent verifications.</w:t>
      </w:r>
    </w:p>
    <w:p w14:paraId="298FBF28" w14:textId="77777777" w:rsidR="00B8437C" w:rsidRPr="00BB3F98" w:rsidRDefault="000A128E" w:rsidP="00B8437C">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Monthly returns were required by MHCLG to understand the cost to councils of Covid-19. </w:t>
      </w:r>
      <w:r w:rsidR="00B8437C">
        <w:rPr>
          <w:rFonts w:ascii="Arial" w:eastAsia="Times New Roman" w:hAnsi="Arial" w:cs="Arial"/>
          <w:sz w:val="24"/>
          <w:szCs w:val="24"/>
          <w:lang w:eastAsia="en-GB"/>
        </w:rPr>
        <w:t xml:space="preserve">In order that </w:t>
      </w:r>
      <w:r w:rsidR="00B8437C" w:rsidRPr="00BB3F98">
        <w:rPr>
          <w:rFonts w:ascii="Arial" w:eastAsia="Times New Roman" w:hAnsi="Arial" w:cs="Arial"/>
          <w:sz w:val="24"/>
          <w:szCs w:val="24"/>
          <w:lang w:eastAsia="en-GB"/>
        </w:rPr>
        <w:t>the financial impacts of the emergency could be better understood</w:t>
      </w:r>
      <w:r>
        <w:rPr>
          <w:rFonts w:ascii="Arial" w:eastAsia="Times New Roman" w:hAnsi="Arial" w:cs="Arial"/>
          <w:sz w:val="24"/>
          <w:szCs w:val="24"/>
          <w:lang w:eastAsia="en-GB"/>
        </w:rPr>
        <w:t>, t</w:t>
      </w:r>
      <w:r w:rsidR="00B8437C" w:rsidRPr="00BB3F98">
        <w:rPr>
          <w:rFonts w:ascii="Arial" w:eastAsia="Times New Roman" w:hAnsi="Arial" w:cs="Arial"/>
          <w:sz w:val="24"/>
          <w:szCs w:val="24"/>
          <w:lang w:eastAsia="en-GB"/>
        </w:rPr>
        <w:t xml:space="preserve">he S151 Officer required additional financial monitoring to be undertaken </w:t>
      </w:r>
      <w:r w:rsidR="00F7243E">
        <w:rPr>
          <w:rFonts w:ascii="Arial" w:eastAsia="Times New Roman" w:hAnsi="Arial" w:cs="Arial"/>
          <w:sz w:val="24"/>
          <w:szCs w:val="24"/>
          <w:lang w:eastAsia="en-GB"/>
        </w:rPr>
        <w:t>from</w:t>
      </w:r>
      <w:r w:rsidR="00B8437C" w:rsidRPr="00BB3F98">
        <w:rPr>
          <w:rFonts w:ascii="Arial" w:eastAsia="Times New Roman" w:hAnsi="Arial" w:cs="Arial"/>
          <w:sz w:val="24"/>
          <w:szCs w:val="24"/>
          <w:lang w:eastAsia="en-GB"/>
        </w:rPr>
        <w:t xml:space="preserve"> April. She continues to assess financial monitoring and forecasts and to</w:t>
      </w:r>
      <w:r w:rsidR="00B8437C">
        <w:rPr>
          <w:rFonts w:ascii="Arial" w:eastAsia="Times New Roman" w:hAnsi="Arial" w:cs="Arial"/>
          <w:sz w:val="24"/>
          <w:szCs w:val="24"/>
          <w:lang w:eastAsia="en-GB"/>
        </w:rPr>
        <w:t xml:space="preserve"> update assumptions. The C</w:t>
      </w:r>
      <w:r w:rsidR="00B8437C" w:rsidRPr="00BB3F98">
        <w:rPr>
          <w:rFonts w:ascii="Arial" w:eastAsia="Times New Roman" w:hAnsi="Arial" w:cs="Arial"/>
          <w:sz w:val="24"/>
          <w:szCs w:val="24"/>
          <w:lang w:eastAsia="en-GB"/>
        </w:rPr>
        <w:t>ouncil’s M</w:t>
      </w:r>
      <w:r w:rsidR="00F7243E">
        <w:rPr>
          <w:rFonts w:ascii="Arial" w:eastAsia="Times New Roman" w:hAnsi="Arial" w:cs="Arial"/>
          <w:sz w:val="24"/>
          <w:szCs w:val="24"/>
          <w:lang w:eastAsia="en-GB"/>
        </w:rPr>
        <w:t xml:space="preserve">edium </w:t>
      </w:r>
      <w:r w:rsidR="00B8437C" w:rsidRPr="00BB3F98">
        <w:rPr>
          <w:rFonts w:ascii="Arial" w:eastAsia="Times New Roman" w:hAnsi="Arial" w:cs="Arial"/>
          <w:sz w:val="24"/>
          <w:szCs w:val="24"/>
          <w:lang w:eastAsia="en-GB"/>
        </w:rPr>
        <w:t>T</w:t>
      </w:r>
      <w:r w:rsidR="00F7243E">
        <w:rPr>
          <w:rFonts w:ascii="Arial" w:eastAsia="Times New Roman" w:hAnsi="Arial" w:cs="Arial"/>
          <w:sz w:val="24"/>
          <w:szCs w:val="24"/>
          <w:lang w:eastAsia="en-GB"/>
        </w:rPr>
        <w:t xml:space="preserve">erm </w:t>
      </w:r>
      <w:r w:rsidR="00B8437C" w:rsidRPr="00BB3F98">
        <w:rPr>
          <w:rFonts w:ascii="Arial" w:eastAsia="Times New Roman" w:hAnsi="Arial" w:cs="Arial"/>
          <w:sz w:val="24"/>
          <w:szCs w:val="24"/>
          <w:lang w:eastAsia="en-GB"/>
        </w:rPr>
        <w:t>F</w:t>
      </w:r>
      <w:r w:rsidR="00F7243E">
        <w:rPr>
          <w:rFonts w:ascii="Arial" w:eastAsia="Times New Roman" w:hAnsi="Arial" w:cs="Arial"/>
          <w:sz w:val="24"/>
          <w:szCs w:val="24"/>
          <w:lang w:eastAsia="en-GB"/>
        </w:rPr>
        <w:t xml:space="preserve">inancial </w:t>
      </w:r>
      <w:r w:rsidR="00B8437C" w:rsidRPr="00BB3F98">
        <w:rPr>
          <w:rFonts w:ascii="Arial" w:eastAsia="Times New Roman" w:hAnsi="Arial" w:cs="Arial"/>
          <w:sz w:val="24"/>
          <w:szCs w:val="24"/>
          <w:lang w:eastAsia="en-GB"/>
        </w:rPr>
        <w:t>O</w:t>
      </w:r>
      <w:r w:rsidR="00F7243E">
        <w:rPr>
          <w:rFonts w:ascii="Arial" w:eastAsia="Times New Roman" w:hAnsi="Arial" w:cs="Arial"/>
          <w:sz w:val="24"/>
          <w:szCs w:val="24"/>
          <w:lang w:eastAsia="en-GB"/>
        </w:rPr>
        <w:t>utlook</w:t>
      </w:r>
      <w:r w:rsidR="00B8437C" w:rsidRPr="00BB3F98">
        <w:rPr>
          <w:rFonts w:ascii="Arial" w:eastAsia="Times New Roman" w:hAnsi="Arial" w:cs="Arial"/>
          <w:sz w:val="24"/>
          <w:szCs w:val="24"/>
          <w:lang w:eastAsia="en-GB"/>
        </w:rPr>
        <w:t xml:space="preserve"> and M</w:t>
      </w:r>
      <w:r w:rsidR="00F7243E">
        <w:rPr>
          <w:rFonts w:ascii="Arial" w:eastAsia="Times New Roman" w:hAnsi="Arial" w:cs="Arial"/>
          <w:sz w:val="24"/>
          <w:szCs w:val="24"/>
          <w:lang w:eastAsia="en-GB"/>
        </w:rPr>
        <w:t xml:space="preserve">edium </w:t>
      </w:r>
      <w:r w:rsidR="00B8437C" w:rsidRPr="00BB3F98">
        <w:rPr>
          <w:rFonts w:ascii="Arial" w:eastAsia="Times New Roman" w:hAnsi="Arial" w:cs="Arial"/>
          <w:sz w:val="24"/>
          <w:szCs w:val="24"/>
          <w:lang w:eastAsia="en-GB"/>
        </w:rPr>
        <w:t>T</w:t>
      </w:r>
      <w:r w:rsidR="00F7243E">
        <w:rPr>
          <w:rFonts w:ascii="Arial" w:eastAsia="Times New Roman" w:hAnsi="Arial" w:cs="Arial"/>
          <w:sz w:val="24"/>
          <w:szCs w:val="24"/>
          <w:lang w:eastAsia="en-GB"/>
        </w:rPr>
        <w:t xml:space="preserve">erm </w:t>
      </w:r>
      <w:r w:rsidR="00B8437C" w:rsidRPr="00BB3F98">
        <w:rPr>
          <w:rFonts w:ascii="Arial" w:eastAsia="Times New Roman" w:hAnsi="Arial" w:cs="Arial"/>
          <w:sz w:val="24"/>
          <w:szCs w:val="24"/>
          <w:lang w:eastAsia="en-GB"/>
        </w:rPr>
        <w:t>F</w:t>
      </w:r>
      <w:r w:rsidR="00F7243E">
        <w:rPr>
          <w:rFonts w:ascii="Arial" w:eastAsia="Times New Roman" w:hAnsi="Arial" w:cs="Arial"/>
          <w:sz w:val="24"/>
          <w:szCs w:val="24"/>
          <w:lang w:eastAsia="en-GB"/>
        </w:rPr>
        <w:t xml:space="preserve">inancial </w:t>
      </w:r>
      <w:r w:rsidR="00B8437C" w:rsidRPr="00BB3F98">
        <w:rPr>
          <w:rFonts w:ascii="Arial" w:eastAsia="Times New Roman" w:hAnsi="Arial" w:cs="Arial"/>
          <w:sz w:val="24"/>
          <w:szCs w:val="24"/>
          <w:lang w:eastAsia="en-GB"/>
        </w:rPr>
        <w:t>S</w:t>
      </w:r>
      <w:r w:rsidR="00F7243E">
        <w:rPr>
          <w:rFonts w:ascii="Arial" w:eastAsia="Times New Roman" w:hAnsi="Arial" w:cs="Arial"/>
          <w:sz w:val="24"/>
          <w:szCs w:val="24"/>
          <w:lang w:eastAsia="en-GB"/>
        </w:rPr>
        <w:t>trategy</w:t>
      </w:r>
      <w:r w:rsidR="00B8437C" w:rsidRPr="00BB3F98">
        <w:rPr>
          <w:rFonts w:ascii="Arial" w:eastAsia="Times New Roman" w:hAnsi="Arial" w:cs="Arial"/>
          <w:sz w:val="24"/>
          <w:szCs w:val="24"/>
          <w:lang w:eastAsia="en-GB"/>
        </w:rPr>
        <w:t xml:space="preserve"> will be updated in September 2020</w:t>
      </w:r>
      <w:r w:rsidR="00F7243E">
        <w:rPr>
          <w:rFonts w:ascii="Arial" w:eastAsia="Times New Roman" w:hAnsi="Arial" w:cs="Arial"/>
          <w:sz w:val="24"/>
          <w:szCs w:val="24"/>
          <w:lang w:eastAsia="en-GB"/>
        </w:rPr>
        <w:t xml:space="preserve"> to take account of the significant changes</w:t>
      </w:r>
      <w:r w:rsidR="00B8437C" w:rsidRPr="00BB3F98">
        <w:rPr>
          <w:rFonts w:ascii="Arial" w:eastAsia="Times New Roman" w:hAnsi="Arial" w:cs="Arial"/>
          <w:sz w:val="24"/>
          <w:szCs w:val="24"/>
          <w:lang w:eastAsia="en-GB"/>
        </w:rPr>
        <w:t xml:space="preserve"> </w:t>
      </w:r>
      <w:r w:rsidR="00F7243E">
        <w:rPr>
          <w:rFonts w:ascii="Arial" w:eastAsia="Times New Roman" w:hAnsi="Arial" w:cs="Arial"/>
          <w:sz w:val="24"/>
          <w:szCs w:val="24"/>
          <w:lang w:eastAsia="en-GB"/>
        </w:rPr>
        <w:t>and identify a pathway that might enable the Council to best manage the challenges ahead.</w:t>
      </w:r>
    </w:p>
    <w:p w14:paraId="0AA53AC6" w14:textId="77777777" w:rsidR="00B8437C" w:rsidRPr="00BB3F98" w:rsidRDefault="000A128E" w:rsidP="00B8437C">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Pr>
          <w:rFonts w:ascii="Arial" w:eastAsia="Times New Roman" w:hAnsi="Arial" w:cs="Arial"/>
          <w:sz w:val="24"/>
          <w:szCs w:val="24"/>
          <w:lang w:eastAsia="en-GB"/>
        </w:rPr>
        <w:t>By mid-May, o</w:t>
      </w:r>
      <w:r w:rsidR="00BC7574">
        <w:rPr>
          <w:rFonts w:ascii="Arial" w:eastAsia="Times New Roman" w:hAnsi="Arial" w:cs="Arial"/>
          <w:sz w:val="24"/>
          <w:szCs w:val="24"/>
          <w:lang w:eastAsia="en-GB"/>
        </w:rPr>
        <w:t>nce t</w:t>
      </w:r>
      <w:r w:rsidR="00E11104">
        <w:rPr>
          <w:rFonts w:ascii="Arial" w:eastAsia="Times New Roman" w:hAnsi="Arial" w:cs="Arial"/>
          <w:sz w:val="24"/>
          <w:szCs w:val="24"/>
          <w:lang w:eastAsia="en-GB"/>
        </w:rPr>
        <w:t xml:space="preserve">he government </w:t>
      </w:r>
      <w:r>
        <w:rPr>
          <w:rFonts w:ascii="Arial" w:eastAsia="Times New Roman" w:hAnsi="Arial" w:cs="Arial"/>
          <w:sz w:val="24"/>
          <w:szCs w:val="24"/>
          <w:lang w:eastAsia="en-GB"/>
        </w:rPr>
        <w:t xml:space="preserve">had </w:t>
      </w:r>
      <w:r w:rsidR="00B8437C" w:rsidRPr="00BB3F98">
        <w:rPr>
          <w:rFonts w:ascii="Arial" w:eastAsia="Times New Roman" w:hAnsi="Arial" w:cs="Arial"/>
          <w:sz w:val="24"/>
          <w:szCs w:val="24"/>
          <w:lang w:eastAsia="en-GB"/>
        </w:rPr>
        <w:t xml:space="preserve">enacted </w:t>
      </w:r>
      <w:r w:rsidR="00E11104">
        <w:rPr>
          <w:rFonts w:ascii="Arial" w:eastAsia="Times New Roman" w:hAnsi="Arial" w:cs="Arial"/>
          <w:sz w:val="24"/>
          <w:szCs w:val="24"/>
          <w:lang w:eastAsia="en-GB"/>
        </w:rPr>
        <w:t>l</w:t>
      </w:r>
      <w:r w:rsidR="00E11104" w:rsidRPr="00BB3F98">
        <w:rPr>
          <w:rFonts w:ascii="Arial" w:eastAsia="Times New Roman" w:hAnsi="Arial" w:cs="Arial"/>
          <w:sz w:val="24"/>
          <w:szCs w:val="24"/>
          <w:lang w:eastAsia="en-GB"/>
        </w:rPr>
        <w:t xml:space="preserve">egislation </w:t>
      </w:r>
      <w:r w:rsidR="00B8437C" w:rsidRPr="00BB3F98">
        <w:rPr>
          <w:rFonts w:ascii="Arial" w:eastAsia="Times New Roman" w:hAnsi="Arial" w:cs="Arial"/>
          <w:sz w:val="24"/>
          <w:szCs w:val="24"/>
          <w:lang w:eastAsia="en-GB"/>
        </w:rPr>
        <w:t>enabling Council</w:t>
      </w:r>
      <w:r>
        <w:rPr>
          <w:rFonts w:ascii="Arial" w:eastAsia="Times New Roman" w:hAnsi="Arial" w:cs="Arial"/>
          <w:sz w:val="24"/>
          <w:szCs w:val="24"/>
          <w:lang w:eastAsia="en-GB"/>
        </w:rPr>
        <w:t>s</w:t>
      </w:r>
      <w:r w:rsidR="00B8437C" w:rsidRPr="00BB3F98">
        <w:rPr>
          <w:rFonts w:ascii="Arial" w:eastAsia="Times New Roman" w:hAnsi="Arial" w:cs="Arial"/>
          <w:sz w:val="24"/>
          <w:szCs w:val="24"/>
          <w:lang w:eastAsia="en-GB"/>
        </w:rPr>
        <w:t xml:space="preserve"> and </w:t>
      </w:r>
      <w:r>
        <w:rPr>
          <w:rFonts w:ascii="Arial" w:eastAsia="Times New Roman" w:hAnsi="Arial" w:cs="Arial"/>
          <w:sz w:val="24"/>
          <w:szCs w:val="24"/>
          <w:lang w:eastAsia="en-GB"/>
        </w:rPr>
        <w:t>their</w:t>
      </w:r>
      <w:r w:rsidRPr="00BB3F98">
        <w:rPr>
          <w:rFonts w:ascii="Arial" w:eastAsia="Times New Roman" w:hAnsi="Arial" w:cs="Arial"/>
          <w:sz w:val="24"/>
          <w:szCs w:val="24"/>
          <w:lang w:eastAsia="en-GB"/>
        </w:rPr>
        <w:t xml:space="preserve"> </w:t>
      </w:r>
      <w:r w:rsidR="00B8437C" w:rsidRPr="00BB3F98">
        <w:rPr>
          <w:rFonts w:ascii="Arial" w:eastAsia="Times New Roman" w:hAnsi="Arial" w:cs="Arial"/>
          <w:sz w:val="24"/>
          <w:szCs w:val="24"/>
          <w:lang w:eastAsia="en-GB"/>
        </w:rPr>
        <w:t>committees to m</w:t>
      </w:r>
      <w:r w:rsidR="00B8437C">
        <w:rPr>
          <w:rFonts w:ascii="Arial" w:eastAsia="Times New Roman" w:hAnsi="Arial" w:cs="Arial"/>
          <w:sz w:val="24"/>
          <w:szCs w:val="24"/>
          <w:lang w:eastAsia="en-GB"/>
        </w:rPr>
        <w:t xml:space="preserve">eet </w:t>
      </w:r>
      <w:r w:rsidR="00BC7574">
        <w:rPr>
          <w:rFonts w:ascii="Arial" w:eastAsia="Times New Roman" w:hAnsi="Arial" w:cs="Arial"/>
          <w:sz w:val="24"/>
          <w:szCs w:val="24"/>
          <w:lang w:eastAsia="en-GB"/>
        </w:rPr>
        <w:t xml:space="preserve">and take decisions </w:t>
      </w:r>
      <w:r w:rsidR="00B8437C">
        <w:rPr>
          <w:rFonts w:ascii="Arial" w:eastAsia="Times New Roman" w:hAnsi="Arial" w:cs="Arial"/>
          <w:sz w:val="24"/>
          <w:szCs w:val="24"/>
          <w:lang w:eastAsia="en-GB"/>
        </w:rPr>
        <w:t>virtuall</w:t>
      </w:r>
      <w:r w:rsidR="004E39BA">
        <w:rPr>
          <w:rFonts w:ascii="Arial" w:eastAsia="Times New Roman" w:hAnsi="Arial" w:cs="Arial"/>
          <w:sz w:val="24"/>
          <w:szCs w:val="24"/>
          <w:lang w:eastAsia="en-GB"/>
        </w:rPr>
        <w:t>y</w:t>
      </w:r>
      <w:r>
        <w:rPr>
          <w:rFonts w:ascii="Arial" w:eastAsia="Times New Roman" w:hAnsi="Arial" w:cs="Arial"/>
          <w:sz w:val="24"/>
          <w:szCs w:val="24"/>
          <w:lang w:eastAsia="en-GB"/>
        </w:rPr>
        <w:t>, t</w:t>
      </w:r>
      <w:r w:rsidR="00BC7574">
        <w:rPr>
          <w:rFonts w:ascii="Arial" w:eastAsia="Times New Roman" w:hAnsi="Arial" w:cs="Arial"/>
          <w:sz w:val="24"/>
          <w:szCs w:val="24"/>
          <w:lang w:eastAsia="en-GB"/>
        </w:rPr>
        <w:t>he Council</w:t>
      </w:r>
      <w:r>
        <w:rPr>
          <w:rFonts w:ascii="Arial" w:eastAsia="Times New Roman" w:hAnsi="Arial" w:cs="Arial"/>
          <w:sz w:val="24"/>
          <w:szCs w:val="24"/>
          <w:lang w:eastAsia="en-GB"/>
        </w:rPr>
        <w:t xml:space="preserve"> implemented a system to enable those meetings to take place.</w:t>
      </w:r>
      <w:r w:rsidR="004E39BA">
        <w:rPr>
          <w:rFonts w:ascii="Arial" w:eastAsia="Times New Roman" w:hAnsi="Arial" w:cs="Arial"/>
          <w:sz w:val="24"/>
          <w:szCs w:val="24"/>
          <w:lang w:eastAsia="en-GB"/>
        </w:rPr>
        <w:t xml:space="preserve"> Virtual meetings have been taking</w:t>
      </w:r>
      <w:r w:rsidR="00B8437C">
        <w:rPr>
          <w:rFonts w:ascii="Arial" w:eastAsia="Times New Roman" w:hAnsi="Arial" w:cs="Arial"/>
          <w:sz w:val="24"/>
          <w:szCs w:val="24"/>
          <w:lang w:eastAsia="en-GB"/>
        </w:rPr>
        <w:t xml:space="preserve"> place since </w:t>
      </w:r>
      <w:r w:rsidR="004E39BA">
        <w:rPr>
          <w:rFonts w:ascii="Arial" w:eastAsia="Times New Roman" w:hAnsi="Arial" w:cs="Arial"/>
          <w:sz w:val="24"/>
          <w:szCs w:val="24"/>
          <w:lang w:eastAsia="en-GB"/>
        </w:rPr>
        <w:t>mid-May</w:t>
      </w:r>
      <w:r w:rsidR="00B8437C" w:rsidRPr="00BB3F98">
        <w:rPr>
          <w:rFonts w:ascii="Arial" w:eastAsia="Times New Roman" w:hAnsi="Arial" w:cs="Arial"/>
          <w:sz w:val="24"/>
          <w:szCs w:val="24"/>
          <w:lang w:eastAsia="en-GB"/>
        </w:rPr>
        <w:t xml:space="preserve">. </w:t>
      </w:r>
    </w:p>
    <w:p w14:paraId="7FCC7E37" w14:textId="77777777" w:rsidR="00B8437C" w:rsidRPr="00BB3F98" w:rsidRDefault="00B8437C" w:rsidP="00B8437C">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BB3F98">
        <w:rPr>
          <w:rFonts w:ascii="Arial" w:eastAsia="Times New Roman" w:hAnsi="Arial" w:cs="Arial"/>
          <w:sz w:val="24"/>
          <w:szCs w:val="24"/>
          <w:lang w:eastAsia="en-GB"/>
        </w:rPr>
        <w:t xml:space="preserve">The additional service demand, reduced income and additional functions arising out of the emergency together with the delays to capital schemes have proved </w:t>
      </w:r>
      <w:r>
        <w:rPr>
          <w:rFonts w:ascii="Arial" w:eastAsia="Times New Roman" w:hAnsi="Arial" w:cs="Arial"/>
          <w:sz w:val="24"/>
          <w:szCs w:val="24"/>
          <w:lang w:eastAsia="en-GB"/>
        </w:rPr>
        <w:t>a huge financial burden on the C</w:t>
      </w:r>
      <w:r w:rsidRPr="00BB3F98">
        <w:rPr>
          <w:rFonts w:ascii="Arial" w:eastAsia="Times New Roman" w:hAnsi="Arial" w:cs="Arial"/>
          <w:sz w:val="24"/>
          <w:szCs w:val="24"/>
          <w:lang w:eastAsia="en-GB"/>
        </w:rPr>
        <w:t>ouncil. In part this is because the government has so far onl</w:t>
      </w:r>
      <w:r>
        <w:rPr>
          <w:rFonts w:ascii="Arial" w:eastAsia="Times New Roman" w:hAnsi="Arial" w:cs="Arial"/>
          <w:sz w:val="24"/>
          <w:szCs w:val="24"/>
          <w:lang w:eastAsia="en-GB"/>
        </w:rPr>
        <w:t>y partly funded these pressures</w:t>
      </w:r>
      <w:r w:rsidRPr="00BB3F98">
        <w:rPr>
          <w:rFonts w:ascii="Arial" w:eastAsia="Times New Roman" w:hAnsi="Arial" w:cs="Arial"/>
          <w:sz w:val="24"/>
          <w:szCs w:val="24"/>
          <w:lang w:eastAsia="en-GB"/>
        </w:rPr>
        <w:t>.  The following financial impacts have been identified by the S151 Officer in her communications with councillors.</w:t>
      </w:r>
    </w:p>
    <w:p w14:paraId="6312FE56" w14:textId="77777777" w:rsidR="00B8437C" w:rsidRPr="00BB3F98" w:rsidRDefault="00B8437C" w:rsidP="00B8437C">
      <w:pPr>
        <w:pStyle w:val="ListParagraph"/>
        <w:numPr>
          <w:ilvl w:val="0"/>
          <w:numId w:val="26"/>
        </w:numPr>
        <w:autoSpaceDE w:val="0"/>
        <w:autoSpaceDN w:val="0"/>
        <w:adjustRightInd w:val="0"/>
        <w:spacing w:after="120" w:line="240" w:lineRule="auto"/>
        <w:jc w:val="both"/>
        <w:rPr>
          <w:rFonts w:ascii="Arial" w:eastAsia="Times New Roman" w:hAnsi="Arial" w:cs="Arial"/>
          <w:sz w:val="24"/>
          <w:szCs w:val="24"/>
          <w:lang w:eastAsia="en-GB"/>
        </w:rPr>
      </w:pPr>
      <w:r w:rsidRPr="00BB3F98">
        <w:rPr>
          <w:rFonts w:ascii="Arial" w:eastAsia="Times New Roman" w:hAnsi="Arial" w:cs="Arial"/>
          <w:sz w:val="24"/>
          <w:szCs w:val="24"/>
          <w:lang w:eastAsia="en-GB"/>
        </w:rPr>
        <w:t>Staffing costs in social care</w:t>
      </w:r>
    </w:p>
    <w:p w14:paraId="6AB41AE8" w14:textId="77777777" w:rsidR="00B8437C" w:rsidRPr="00BB3F98" w:rsidRDefault="00B8437C" w:rsidP="00B8437C">
      <w:pPr>
        <w:pStyle w:val="ListParagraph"/>
        <w:numPr>
          <w:ilvl w:val="0"/>
          <w:numId w:val="26"/>
        </w:numPr>
        <w:autoSpaceDE w:val="0"/>
        <w:autoSpaceDN w:val="0"/>
        <w:adjustRightInd w:val="0"/>
        <w:spacing w:after="120" w:line="240" w:lineRule="auto"/>
        <w:jc w:val="both"/>
        <w:rPr>
          <w:rFonts w:ascii="Arial" w:eastAsia="Times New Roman" w:hAnsi="Arial" w:cs="Arial"/>
          <w:sz w:val="24"/>
          <w:szCs w:val="24"/>
          <w:lang w:eastAsia="en-GB"/>
        </w:rPr>
      </w:pPr>
      <w:r w:rsidRPr="00BB3F98">
        <w:rPr>
          <w:rFonts w:ascii="Arial" w:eastAsia="Times New Roman" w:hAnsi="Arial" w:cs="Arial"/>
          <w:sz w:val="24"/>
          <w:szCs w:val="24"/>
          <w:lang w:eastAsia="en-GB"/>
        </w:rPr>
        <w:t>Staffing costs in Development and Growth and Commercial and Operations which would normally be capitalised but cannot due to delays or suspension of capital schemes due to Covid-19</w:t>
      </w:r>
    </w:p>
    <w:p w14:paraId="1A79252E" w14:textId="77777777" w:rsidR="00B8437C" w:rsidRPr="00BB3F98" w:rsidRDefault="00B8437C" w:rsidP="00B8437C">
      <w:pPr>
        <w:pStyle w:val="ListParagraph"/>
        <w:numPr>
          <w:ilvl w:val="0"/>
          <w:numId w:val="26"/>
        </w:numPr>
        <w:autoSpaceDE w:val="0"/>
        <w:autoSpaceDN w:val="0"/>
        <w:adjustRightInd w:val="0"/>
        <w:spacing w:after="120" w:line="240" w:lineRule="auto"/>
        <w:jc w:val="both"/>
        <w:rPr>
          <w:rFonts w:ascii="Arial" w:eastAsia="Times New Roman" w:hAnsi="Arial" w:cs="Arial"/>
          <w:sz w:val="24"/>
          <w:szCs w:val="24"/>
          <w:lang w:eastAsia="en-GB"/>
        </w:rPr>
      </w:pPr>
      <w:r w:rsidRPr="00BB3F98">
        <w:rPr>
          <w:rFonts w:ascii="Arial" w:eastAsia="Times New Roman" w:hAnsi="Arial" w:cs="Arial"/>
          <w:sz w:val="24"/>
          <w:szCs w:val="24"/>
          <w:lang w:eastAsia="en-GB"/>
        </w:rPr>
        <w:t>Protective Personal Equipment (PPE)</w:t>
      </w:r>
    </w:p>
    <w:p w14:paraId="34940298" w14:textId="77777777" w:rsidR="00B8437C" w:rsidRPr="00BB3F98" w:rsidRDefault="00B8437C" w:rsidP="00B8437C">
      <w:pPr>
        <w:pStyle w:val="ListParagraph"/>
        <w:numPr>
          <w:ilvl w:val="0"/>
          <w:numId w:val="26"/>
        </w:numPr>
        <w:autoSpaceDE w:val="0"/>
        <w:autoSpaceDN w:val="0"/>
        <w:adjustRightInd w:val="0"/>
        <w:spacing w:after="120" w:line="240" w:lineRule="auto"/>
        <w:jc w:val="both"/>
        <w:rPr>
          <w:rFonts w:ascii="Arial" w:eastAsia="Times New Roman" w:hAnsi="Arial" w:cs="Arial"/>
          <w:sz w:val="24"/>
          <w:szCs w:val="24"/>
          <w:lang w:eastAsia="en-GB"/>
        </w:rPr>
      </w:pPr>
      <w:r w:rsidRPr="00BB3F98">
        <w:rPr>
          <w:rFonts w:ascii="Arial" w:eastAsia="Times New Roman" w:hAnsi="Arial" w:cs="Arial"/>
          <w:sz w:val="24"/>
          <w:szCs w:val="24"/>
          <w:lang w:eastAsia="en-GB"/>
        </w:rPr>
        <w:t xml:space="preserve">Furloughing of staff </w:t>
      </w:r>
    </w:p>
    <w:p w14:paraId="2D34537E" w14:textId="77777777" w:rsidR="00B8437C" w:rsidRPr="00BB3F98" w:rsidRDefault="00B8437C" w:rsidP="00B8437C">
      <w:pPr>
        <w:pStyle w:val="ListParagraph"/>
        <w:numPr>
          <w:ilvl w:val="0"/>
          <w:numId w:val="26"/>
        </w:numPr>
        <w:autoSpaceDE w:val="0"/>
        <w:autoSpaceDN w:val="0"/>
        <w:adjustRightInd w:val="0"/>
        <w:spacing w:after="120" w:line="240" w:lineRule="auto"/>
        <w:jc w:val="both"/>
        <w:rPr>
          <w:rFonts w:ascii="Arial" w:eastAsia="Times New Roman" w:hAnsi="Arial" w:cs="Arial"/>
          <w:sz w:val="24"/>
          <w:szCs w:val="24"/>
          <w:lang w:eastAsia="en-GB"/>
        </w:rPr>
      </w:pPr>
      <w:r w:rsidRPr="00BB3F98">
        <w:rPr>
          <w:rFonts w:ascii="Arial" w:eastAsia="Times New Roman" w:hAnsi="Arial" w:cs="Arial"/>
          <w:sz w:val="24"/>
          <w:szCs w:val="24"/>
          <w:lang w:eastAsia="en-GB"/>
        </w:rPr>
        <w:t xml:space="preserve">The ability to deliver 2020/21 savings </w:t>
      </w:r>
    </w:p>
    <w:p w14:paraId="4B73CD2F" w14:textId="77777777" w:rsidR="00B8437C" w:rsidRPr="00BB3F98" w:rsidRDefault="00B8437C" w:rsidP="00B8437C">
      <w:pPr>
        <w:pStyle w:val="ListParagraph"/>
        <w:numPr>
          <w:ilvl w:val="0"/>
          <w:numId w:val="26"/>
        </w:numPr>
        <w:autoSpaceDE w:val="0"/>
        <w:autoSpaceDN w:val="0"/>
        <w:adjustRightInd w:val="0"/>
        <w:spacing w:after="120" w:line="240" w:lineRule="auto"/>
        <w:jc w:val="both"/>
        <w:rPr>
          <w:rFonts w:ascii="Arial" w:eastAsia="Times New Roman" w:hAnsi="Arial" w:cs="Arial"/>
          <w:sz w:val="24"/>
          <w:szCs w:val="24"/>
          <w:lang w:eastAsia="en-GB"/>
        </w:rPr>
      </w:pPr>
      <w:r w:rsidRPr="00BB3F98">
        <w:rPr>
          <w:rFonts w:ascii="Arial" w:eastAsia="Times New Roman" w:hAnsi="Arial" w:cs="Arial"/>
          <w:sz w:val="24"/>
          <w:szCs w:val="24"/>
          <w:lang w:eastAsia="en-GB"/>
        </w:rPr>
        <w:t>Commercial Property Income</w:t>
      </w:r>
      <w:r>
        <w:rPr>
          <w:rFonts w:ascii="Arial" w:eastAsia="Times New Roman" w:hAnsi="Arial" w:cs="Arial"/>
          <w:sz w:val="24"/>
          <w:szCs w:val="24"/>
          <w:lang w:eastAsia="en-GB"/>
        </w:rPr>
        <w:t xml:space="preserve"> and Capital Receipts</w:t>
      </w:r>
    </w:p>
    <w:p w14:paraId="349357B2" w14:textId="77777777" w:rsidR="00B8437C" w:rsidRPr="00BB3F98" w:rsidRDefault="00B8437C" w:rsidP="00B8437C">
      <w:pPr>
        <w:pStyle w:val="ListParagraph"/>
        <w:numPr>
          <w:ilvl w:val="0"/>
          <w:numId w:val="26"/>
        </w:numPr>
        <w:autoSpaceDE w:val="0"/>
        <w:autoSpaceDN w:val="0"/>
        <w:adjustRightInd w:val="0"/>
        <w:spacing w:after="120" w:line="240" w:lineRule="auto"/>
        <w:jc w:val="both"/>
        <w:rPr>
          <w:rFonts w:ascii="Arial" w:eastAsia="Times New Roman" w:hAnsi="Arial" w:cs="Arial"/>
          <w:sz w:val="24"/>
          <w:szCs w:val="24"/>
          <w:lang w:eastAsia="en-GB"/>
        </w:rPr>
      </w:pPr>
      <w:r w:rsidRPr="00BB3F98">
        <w:rPr>
          <w:rFonts w:ascii="Arial" w:eastAsia="Times New Roman" w:hAnsi="Arial" w:cs="Arial"/>
          <w:sz w:val="24"/>
          <w:szCs w:val="24"/>
          <w:lang w:eastAsia="en-GB"/>
        </w:rPr>
        <w:t>Other Commercial Income – e.g. Commercial Waste, Catering Services</w:t>
      </w:r>
    </w:p>
    <w:p w14:paraId="1398166B" w14:textId="77777777" w:rsidR="00B8437C" w:rsidRPr="00BB3F98" w:rsidRDefault="00B8437C" w:rsidP="00B8437C">
      <w:pPr>
        <w:pStyle w:val="ListParagraph"/>
        <w:numPr>
          <w:ilvl w:val="0"/>
          <w:numId w:val="26"/>
        </w:numPr>
        <w:autoSpaceDE w:val="0"/>
        <w:autoSpaceDN w:val="0"/>
        <w:adjustRightInd w:val="0"/>
        <w:spacing w:after="120" w:line="240" w:lineRule="auto"/>
        <w:jc w:val="both"/>
        <w:rPr>
          <w:rFonts w:ascii="Arial" w:eastAsia="Times New Roman" w:hAnsi="Arial" w:cs="Arial"/>
          <w:sz w:val="24"/>
          <w:szCs w:val="24"/>
          <w:lang w:eastAsia="en-GB"/>
        </w:rPr>
      </w:pPr>
      <w:r w:rsidRPr="00BB3F98">
        <w:rPr>
          <w:rFonts w:ascii="Arial" w:eastAsia="Times New Roman" w:hAnsi="Arial" w:cs="Arial"/>
          <w:sz w:val="24"/>
          <w:szCs w:val="24"/>
          <w:lang w:eastAsia="en-GB"/>
        </w:rPr>
        <w:t>Dividends and returns received by group companies e.g.  Nottingham City Transport and Scape</w:t>
      </w:r>
      <w:r>
        <w:rPr>
          <w:rFonts w:ascii="Arial" w:eastAsia="Times New Roman" w:hAnsi="Arial" w:cs="Arial"/>
          <w:sz w:val="24"/>
          <w:szCs w:val="24"/>
          <w:lang w:eastAsia="en-GB"/>
        </w:rPr>
        <w:t xml:space="preserve"> and their impact on the Council’s and the companies’ balance sheets</w:t>
      </w:r>
    </w:p>
    <w:p w14:paraId="4CA0B6AD" w14:textId="77777777" w:rsidR="00B8437C" w:rsidRPr="00BB3F98" w:rsidRDefault="00B8437C" w:rsidP="00B8437C">
      <w:pPr>
        <w:pStyle w:val="ListParagraph"/>
        <w:numPr>
          <w:ilvl w:val="0"/>
          <w:numId w:val="26"/>
        </w:numPr>
        <w:autoSpaceDE w:val="0"/>
        <w:autoSpaceDN w:val="0"/>
        <w:adjustRightInd w:val="0"/>
        <w:spacing w:after="120" w:line="240" w:lineRule="auto"/>
        <w:jc w:val="both"/>
        <w:rPr>
          <w:rFonts w:ascii="Arial" w:eastAsia="Times New Roman" w:hAnsi="Arial" w:cs="Arial"/>
          <w:sz w:val="24"/>
          <w:szCs w:val="24"/>
          <w:lang w:eastAsia="en-GB"/>
        </w:rPr>
      </w:pPr>
      <w:r w:rsidRPr="00BB3F98">
        <w:rPr>
          <w:rFonts w:ascii="Arial" w:eastAsia="Times New Roman" w:hAnsi="Arial" w:cs="Arial"/>
          <w:sz w:val="24"/>
          <w:szCs w:val="24"/>
          <w:lang w:eastAsia="en-GB"/>
        </w:rPr>
        <w:t>Funding assumptions – Business Rates and Council Tax in particular – this will have significant impact in 2021/22 and future years</w:t>
      </w:r>
    </w:p>
    <w:p w14:paraId="4C8CE057" w14:textId="77777777" w:rsidR="00B8437C" w:rsidRPr="00BB3F98" w:rsidRDefault="00B8437C" w:rsidP="00B8437C">
      <w:pPr>
        <w:pStyle w:val="ListParagraph"/>
        <w:numPr>
          <w:ilvl w:val="0"/>
          <w:numId w:val="26"/>
        </w:numPr>
        <w:autoSpaceDE w:val="0"/>
        <w:autoSpaceDN w:val="0"/>
        <w:adjustRightInd w:val="0"/>
        <w:spacing w:after="12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C</w:t>
      </w:r>
      <w:r w:rsidRPr="00BB3F98">
        <w:rPr>
          <w:rFonts w:ascii="Arial" w:eastAsia="Times New Roman" w:hAnsi="Arial" w:cs="Arial"/>
          <w:sz w:val="24"/>
          <w:szCs w:val="24"/>
          <w:lang w:eastAsia="en-GB"/>
        </w:rPr>
        <w:t>ontinued viability and affordability of business cases in the capital programme</w:t>
      </w:r>
    </w:p>
    <w:p w14:paraId="53874D1C" w14:textId="77777777" w:rsidR="00B8437C" w:rsidRPr="00BB3F98" w:rsidRDefault="00B8437C" w:rsidP="00B8437C">
      <w:pPr>
        <w:pStyle w:val="ListParagraph"/>
        <w:numPr>
          <w:ilvl w:val="0"/>
          <w:numId w:val="26"/>
        </w:numPr>
        <w:autoSpaceDE w:val="0"/>
        <w:autoSpaceDN w:val="0"/>
        <w:adjustRightInd w:val="0"/>
        <w:spacing w:after="120" w:line="240" w:lineRule="auto"/>
        <w:jc w:val="both"/>
        <w:rPr>
          <w:rFonts w:ascii="Arial" w:eastAsia="Times New Roman" w:hAnsi="Arial" w:cs="Arial"/>
          <w:sz w:val="24"/>
          <w:szCs w:val="24"/>
          <w:lang w:eastAsia="en-GB"/>
        </w:rPr>
      </w:pPr>
      <w:r w:rsidRPr="00BB3F98">
        <w:rPr>
          <w:rFonts w:ascii="Arial" w:eastAsia="Times New Roman" w:hAnsi="Arial" w:cs="Arial"/>
          <w:sz w:val="24"/>
          <w:szCs w:val="24"/>
          <w:lang w:eastAsia="en-GB"/>
        </w:rPr>
        <w:t>The impact of Covid on the H</w:t>
      </w:r>
      <w:r w:rsidR="004E39BA">
        <w:rPr>
          <w:rFonts w:ascii="Arial" w:eastAsia="Times New Roman" w:hAnsi="Arial" w:cs="Arial"/>
          <w:sz w:val="24"/>
          <w:szCs w:val="24"/>
          <w:lang w:eastAsia="en-GB"/>
        </w:rPr>
        <w:t xml:space="preserve">ousing </w:t>
      </w:r>
      <w:r w:rsidRPr="00BB3F98">
        <w:rPr>
          <w:rFonts w:ascii="Arial" w:eastAsia="Times New Roman" w:hAnsi="Arial" w:cs="Arial"/>
          <w:sz w:val="24"/>
          <w:szCs w:val="24"/>
          <w:lang w:eastAsia="en-GB"/>
        </w:rPr>
        <w:t>R</w:t>
      </w:r>
      <w:r w:rsidR="004E39BA">
        <w:rPr>
          <w:rFonts w:ascii="Arial" w:eastAsia="Times New Roman" w:hAnsi="Arial" w:cs="Arial"/>
          <w:sz w:val="24"/>
          <w:szCs w:val="24"/>
          <w:lang w:eastAsia="en-GB"/>
        </w:rPr>
        <w:t xml:space="preserve">evenue </w:t>
      </w:r>
      <w:r w:rsidRPr="00BB3F98">
        <w:rPr>
          <w:rFonts w:ascii="Arial" w:eastAsia="Times New Roman" w:hAnsi="Arial" w:cs="Arial"/>
          <w:sz w:val="24"/>
          <w:szCs w:val="24"/>
          <w:lang w:eastAsia="en-GB"/>
        </w:rPr>
        <w:t>A</w:t>
      </w:r>
      <w:r w:rsidR="004E39BA">
        <w:rPr>
          <w:rFonts w:ascii="Arial" w:eastAsia="Times New Roman" w:hAnsi="Arial" w:cs="Arial"/>
          <w:sz w:val="24"/>
          <w:szCs w:val="24"/>
          <w:lang w:eastAsia="en-GB"/>
        </w:rPr>
        <w:t>ccount</w:t>
      </w:r>
    </w:p>
    <w:p w14:paraId="08A60D68" w14:textId="77777777" w:rsidR="00B8437C" w:rsidRPr="00BB3F98" w:rsidRDefault="00B8437C" w:rsidP="00B8437C">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BB3F98">
        <w:rPr>
          <w:rFonts w:ascii="Arial" w:eastAsia="Times New Roman" w:hAnsi="Arial" w:cs="Arial"/>
          <w:sz w:val="24"/>
          <w:szCs w:val="24"/>
          <w:lang w:eastAsia="en-GB"/>
        </w:rPr>
        <w:lastRenderedPageBreak/>
        <w:t>The estimated net financial impact</w:t>
      </w:r>
      <w:r w:rsidR="00BF7C85">
        <w:rPr>
          <w:rFonts w:ascii="Arial" w:eastAsia="Times New Roman" w:hAnsi="Arial" w:cs="Arial"/>
          <w:sz w:val="24"/>
          <w:szCs w:val="24"/>
          <w:lang w:eastAsia="en-GB"/>
        </w:rPr>
        <w:t xml:space="preserve"> of Covid-19 after government support is £64.411</w:t>
      </w:r>
      <w:r w:rsidRPr="00BB3F98">
        <w:rPr>
          <w:rFonts w:ascii="Arial" w:eastAsia="Times New Roman" w:hAnsi="Arial" w:cs="Arial"/>
          <w:sz w:val="24"/>
          <w:szCs w:val="24"/>
          <w:lang w:eastAsia="en-GB"/>
        </w:rPr>
        <w:t>m in 2020-21</w:t>
      </w:r>
      <w:r w:rsidR="00BF7C85">
        <w:rPr>
          <w:rFonts w:ascii="Arial" w:eastAsia="Times New Roman" w:hAnsi="Arial" w:cs="Arial"/>
          <w:sz w:val="24"/>
          <w:szCs w:val="24"/>
          <w:lang w:eastAsia="en-GB"/>
        </w:rPr>
        <w:t xml:space="preserve">, based on period </w:t>
      </w:r>
      <w:r w:rsidR="00990659">
        <w:rPr>
          <w:rFonts w:ascii="Arial" w:eastAsia="Times New Roman" w:hAnsi="Arial" w:cs="Arial"/>
          <w:sz w:val="24"/>
          <w:szCs w:val="24"/>
          <w:lang w:eastAsia="en-GB"/>
        </w:rPr>
        <w:t>3</w:t>
      </w:r>
      <w:r w:rsidR="00BF7C85">
        <w:rPr>
          <w:rFonts w:ascii="Arial" w:eastAsia="Times New Roman" w:hAnsi="Arial" w:cs="Arial"/>
          <w:sz w:val="24"/>
          <w:szCs w:val="24"/>
          <w:lang w:eastAsia="en-GB"/>
        </w:rPr>
        <w:t xml:space="preserve"> forecasts and various other assumptions</w:t>
      </w:r>
      <w:r w:rsidRPr="00BB3F98">
        <w:rPr>
          <w:rFonts w:ascii="Arial" w:eastAsia="Times New Roman" w:hAnsi="Arial" w:cs="Arial"/>
          <w:sz w:val="24"/>
          <w:szCs w:val="24"/>
          <w:lang w:eastAsia="en-GB"/>
        </w:rPr>
        <w:t>.</w:t>
      </w:r>
    </w:p>
    <w:p w14:paraId="655D0746" w14:textId="77777777" w:rsidR="00234A11" w:rsidRPr="00681829" w:rsidRDefault="00234A11" w:rsidP="00234A11">
      <w:pPr>
        <w:pStyle w:val="ListParagraph"/>
        <w:autoSpaceDE w:val="0"/>
        <w:autoSpaceDN w:val="0"/>
        <w:spacing w:after="120"/>
        <w:ind w:left="567"/>
        <w:jc w:val="both"/>
        <w:rPr>
          <w:rFonts w:ascii="Arial" w:hAnsi="Arial" w:cs="Arial"/>
          <w:b/>
          <w:bCs/>
          <w:sz w:val="24"/>
          <w:szCs w:val="24"/>
          <w:lang w:eastAsia="en-GB"/>
        </w:rPr>
      </w:pPr>
      <w:r w:rsidRPr="00681829">
        <w:rPr>
          <w:rFonts w:ascii="Arial" w:hAnsi="Arial" w:cs="Arial"/>
          <w:b/>
          <w:bCs/>
          <w:sz w:val="24"/>
          <w:szCs w:val="24"/>
          <w:lang w:eastAsia="en-GB"/>
        </w:rPr>
        <w:t>Protecting people from Covid</w:t>
      </w:r>
    </w:p>
    <w:p w14:paraId="3CED06FC" w14:textId="77777777" w:rsidR="00234A11" w:rsidRPr="00681829" w:rsidRDefault="00234A11" w:rsidP="00234A11">
      <w:pPr>
        <w:numPr>
          <w:ilvl w:val="1"/>
          <w:numId w:val="1"/>
        </w:numPr>
        <w:autoSpaceDE w:val="0"/>
        <w:autoSpaceDN w:val="0"/>
        <w:adjustRightInd w:val="0"/>
        <w:spacing w:after="120" w:line="240" w:lineRule="auto"/>
        <w:ind w:left="567" w:hanging="567"/>
        <w:jc w:val="both"/>
        <w:rPr>
          <w:rFonts w:ascii="Arial" w:hAnsi="Arial" w:cs="Arial"/>
          <w:sz w:val="24"/>
          <w:szCs w:val="24"/>
          <w:lang w:eastAsia="en-GB"/>
        </w:rPr>
      </w:pPr>
      <w:r w:rsidRPr="00681829">
        <w:rPr>
          <w:rFonts w:ascii="Arial" w:eastAsia="Times New Roman" w:hAnsi="Arial" w:cs="Arial"/>
          <w:sz w:val="24"/>
          <w:szCs w:val="24"/>
          <w:lang w:eastAsia="en-GB"/>
        </w:rPr>
        <w:t>The</w:t>
      </w:r>
      <w:r w:rsidRPr="00681829">
        <w:rPr>
          <w:rFonts w:ascii="Arial" w:hAnsi="Arial" w:cs="Arial"/>
          <w:sz w:val="24"/>
          <w:szCs w:val="24"/>
          <w:lang w:eastAsia="en-GB"/>
        </w:rPr>
        <w:t xml:space="preserve"> Council has prioritised protection of its citizens and employees during the COVID-19 recovery noting a disproportionate impact on BAME. The COVID work streams led the response and recovery to the pandemic</w:t>
      </w:r>
      <w:r w:rsidR="007F473E">
        <w:rPr>
          <w:rFonts w:ascii="Arial" w:hAnsi="Arial" w:cs="Arial"/>
          <w:sz w:val="24"/>
          <w:szCs w:val="24"/>
          <w:lang w:eastAsia="en-GB"/>
        </w:rPr>
        <w:t>.</w:t>
      </w:r>
      <w:r w:rsidRPr="00681829">
        <w:rPr>
          <w:rFonts w:ascii="Arial" w:hAnsi="Arial" w:cs="Arial"/>
          <w:sz w:val="24"/>
          <w:szCs w:val="24"/>
          <w:lang w:eastAsia="en-GB"/>
        </w:rPr>
        <w:t xml:space="preserve"> </w:t>
      </w:r>
      <w:r w:rsidR="007F473E">
        <w:rPr>
          <w:rFonts w:ascii="Arial" w:hAnsi="Arial" w:cs="Arial"/>
          <w:sz w:val="24"/>
          <w:szCs w:val="24"/>
          <w:lang w:eastAsia="en-GB"/>
        </w:rPr>
        <w:t>R</w:t>
      </w:r>
      <w:r w:rsidRPr="00681829">
        <w:rPr>
          <w:rFonts w:ascii="Arial" w:hAnsi="Arial" w:cs="Arial"/>
          <w:sz w:val="24"/>
          <w:szCs w:val="24"/>
          <w:lang w:eastAsia="en-GB"/>
        </w:rPr>
        <w:t>isk assessments with mitigations were completed for Covid specific risks and departments identified and managed existing risks impacted by the pandemic through their established risk management processes. Regular communication was provided to citizens and employees to advise of the live situation and the Council continues to monitor government guidance, assess impact on citizens and employees and complete detailed risk assessments for any reinstatement of services with particular regard for BAME staff and citizens.</w:t>
      </w:r>
    </w:p>
    <w:p w14:paraId="6C31C35E" w14:textId="77777777" w:rsidR="005F4253" w:rsidRPr="00681829" w:rsidRDefault="005F4253" w:rsidP="00596703">
      <w:pPr>
        <w:numPr>
          <w:ilvl w:val="1"/>
          <w:numId w:val="1"/>
        </w:numPr>
        <w:autoSpaceDE w:val="0"/>
        <w:autoSpaceDN w:val="0"/>
        <w:adjustRightInd w:val="0"/>
        <w:spacing w:after="120" w:line="240" w:lineRule="auto"/>
        <w:ind w:left="567" w:hanging="567"/>
        <w:jc w:val="both"/>
        <w:rPr>
          <w:rFonts w:ascii="Arial" w:hAnsi="Arial" w:cs="Arial"/>
          <w:sz w:val="24"/>
          <w:szCs w:val="24"/>
          <w:lang w:eastAsia="en-GB"/>
        </w:rPr>
      </w:pPr>
      <w:r w:rsidRPr="00681829">
        <w:rPr>
          <w:rFonts w:ascii="Arial" w:hAnsi="Arial" w:cs="Arial"/>
          <w:sz w:val="24"/>
          <w:szCs w:val="24"/>
          <w:lang w:eastAsia="en-GB"/>
        </w:rPr>
        <w:t>The Council is working closely with Nottinghamshire County Council</w:t>
      </w:r>
      <w:r w:rsidR="007F473E">
        <w:rPr>
          <w:rFonts w:ascii="Arial" w:hAnsi="Arial" w:cs="Arial"/>
          <w:sz w:val="24"/>
          <w:szCs w:val="24"/>
          <w:lang w:eastAsia="en-GB"/>
        </w:rPr>
        <w:t xml:space="preserve"> and the District and Borough </w:t>
      </w:r>
      <w:r w:rsidR="00EE7F03">
        <w:rPr>
          <w:rFonts w:ascii="Arial" w:hAnsi="Arial" w:cs="Arial"/>
          <w:sz w:val="24"/>
          <w:szCs w:val="24"/>
          <w:lang w:eastAsia="en-GB"/>
        </w:rPr>
        <w:t xml:space="preserve">Councils </w:t>
      </w:r>
      <w:r w:rsidR="00EE7F03" w:rsidRPr="00681829">
        <w:rPr>
          <w:rFonts w:ascii="Arial" w:hAnsi="Arial" w:cs="Arial"/>
          <w:sz w:val="24"/>
          <w:szCs w:val="24"/>
          <w:lang w:eastAsia="en-GB"/>
        </w:rPr>
        <w:t>to</w:t>
      </w:r>
      <w:r w:rsidRPr="00681829">
        <w:rPr>
          <w:rFonts w:ascii="Arial" w:hAnsi="Arial" w:cs="Arial"/>
          <w:sz w:val="24"/>
          <w:szCs w:val="24"/>
          <w:lang w:eastAsia="en-GB"/>
        </w:rPr>
        <w:t xml:space="preserve"> develop local arrangements, with aligned operating procedures and shared structures where possible, and is working with other partners and the Local Resilience Forum.</w:t>
      </w:r>
    </w:p>
    <w:p w14:paraId="4C20D479" w14:textId="77777777" w:rsidR="005F4253" w:rsidRPr="00681829" w:rsidRDefault="005F4253" w:rsidP="00681829">
      <w:pPr>
        <w:numPr>
          <w:ilvl w:val="1"/>
          <w:numId w:val="1"/>
        </w:numPr>
        <w:autoSpaceDE w:val="0"/>
        <w:autoSpaceDN w:val="0"/>
        <w:adjustRightInd w:val="0"/>
        <w:spacing w:after="120" w:line="240" w:lineRule="auto"/>
        <w:ind w:left="567" w:hanging="567"/>
        <w:jc w:val="both"/>
        <w:rPr>
          <w:rFonts w:ascii="Arial" w:hAnsi="Arial" w:cs="Arial"/>
          <w:sz w:val="24"/>
          <w:szCs w:val="24"/>
          <w:lang w:eastAsia="en-GB"/>
        </w:rPr>
      </w:pPr>
      <w:r w:rsidRPr="00681829">
        <w:rPr>
          <w:rFonts w:ascii="Arial" w:hAnsi="Arial" w:cs="Arial"/>
          <w:sz w:val="24"/>
          <w:szCs w:val="24"/>
          <w:lang w:eastAsia="en-GB"/>
        </w:rPr>
        <w:t xml:space="preserve">The Council has published a </w:t>
      </w:r>
      <w:hyperlink r:id="rId8" w:history="1">
        <w:r w:rsidRPr="005F4253">
          <w:rPr>
            <w:rStyle w:val="Hyperlink"/>
            <w:rFonts w:ascii="Arial" w:hAnsi="Arial" w:cs="Arial"/>
            <w:sz w:val="24"/>
            <w:szCs w:val="24"/>
            <w:lang w:eastAsia="en-GB"/>
          </w:rPr>
          <w:t>Local Outbreak Control Plan</w:t>
        </w:r>
      </w:hyperlink>
      <w:r w:rsidR="00681829" w:rsidRPr="00681829">
        <w:t xml:space="preserve"> </w:t>
      </w:r>
      <w:r w:rsidR="00681829" w:rsidRPr="00681829">
        <w:rPr>
          <w:rFonts w:ascii="Arial" w:hAnsi="Arial" w:cs="Arial"/>
          <w:sz w:val="24"/>
          <w:szCs w:val="24"/>
          <w:lang w:eastAsia="en-GB"/>
        </w:rPr>
        <w:t xml:space="preserve">that sets out how we will prepare for future outbreaks of Covid-19 in Nottingham. </w:t>
      </w:r>
    </w:p>
    <w:p w14:paraId="22841261" w14:textId="77777777" w:rsidR="00B8437C" w:rsidRPr="00BB3F98" w:rsidRDefault="00B8437C" w:rsidP="00B8437C">
      <w:pPr>
        <w:autoSpaceDE w:val="0"/>
        <w:autoSpaceDN w:val="0"/>
        <w:adjustRightInd w:val="0"/>
        <w:spacing w:after="120" w:line="240" w:lineRule="auto"/>
        <w:ind w:left="567"/>
        <w:jc w:val="both"/>
        <w:rPr>
          <w:rFonts w:ascii="Arial" w:eastAsia="Times New Roman" w:hAnsi="Arial" w:cs="Arial"/>
          <w:b/>
          <w:sz w:val="24"/>
          <w:szCs w:val="24"/>
          <w:lang w:eastAsia="en-GB"/>
        </w:rPr>
      </w:pPr>
      <w:r w:rsidRPr="00681829">
        <w:rPr>
          <w:rFonts w:ascii="Arial" w:eastAsia="Times New Roman" w:hAnsi="Arial" w:cs="Arial"/>
          <w:b/>
          <w:sz w:val="24"/>
          <w:szCs w:val="24"/>
          <w:lang w:eastAsia="en-GB"/>
        </w:rPr>
        <w:t xml:space="preserve">External </w:t>
      </w:r>
      <w:r w:rsidRPr="00BB3F98">
        <w:rPr>
          <w:rFonts w:ascii="Arial" w:eastAsia="Times New Roman" w:hAnsi="Arial" w:cs="Arial"/>
          <w:b/>
          <w:sz w:val="24"/>
          <w:szCs w:val="24"/>
          <w:lang w:eastAsia="en-GB"/>
        </w:rPr>
        <w:t>Audit of 2018-19 Statement of Accounts</w:t>
      </w:r>
    </w:p>
    <w:p w14:paraId="3FC1E6B5" w14:textId="77777777" w:rsidR="00B8437C" w:rsidRPr="00BB3F98" w:rsidRDefault="00F504D9" w:rsidP="00B8437C">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In his recent </w:t>
      </w:r>
      <w:r w:rsidR="00B8437C">
        <w:rPr>
          <w:rFonts w:ascii="Arial" w:eastAsia="Times New Roman" w:hAnsi="Arial" w:cs="Arial"/>
          <w:sz w:val="24"/>
          <w:szCs w:val="24"/>
          <w:lang w:eastAsia="en-GB"/>
        </w:rPr>
        <w:t>Audit Findings Report the C</w:t>
      </w:r>
      <w:r w:rsidR="00B8437C" w:rsidRPr="00BB3F98">
        <w:rPr>
          <w:rFonts w:ascii="Arial" w:eastAsia="Times New Roman" w:hAnsi="Arial" w:cs="Arial"/>
          <w:sz w:val="24"/>
          <w:szCs w:val="24"/>
          <w:lang w:eastAsia="en-GB"/>
        </w:rPr>
        <w:t xml:space="preserve">ouncil’s external auditor has </w:t>
      </w:r>
      <w:r w:rsidR="00B8437C">
        <w:rPr>
          <w:rFonts w:ascii="Arial" w:eastAsia="Times New Roman" w:hAnsi="Arial" w:cs="Arial"/>
          <w:sz w:val="24"/>
          <w:szCs w:val="24"/>
          <w:lang w:eastAsia="en-GB"/>
        </w:rPr>
        <w:t>highlight</w:t>
      </w:r>
      <w:r>
        <w:rPr>
          <w:rFonts w:ascii="Arial" w:eastAsia="Times New Roman" w:hAnsi="Arial" w:cs="Arial"/>
          <w:sz w:val="24"/>
          <w:szCs w:val="24"/>
          <w:lang w:eastAsia="en-GB"/>
        </w:rPr>
        <w:t xml:space="preserve">ed the following as significant </w:t>
      </w:r>
      <w:r w:rsidR="00B8437C">
        <w:rPr>
          <w:rFonts w:ascii="Arial" w:eastAsia="Times New Roman" w:hAnsi="Arial" w:cs="Arial"/>
          <w:sz w:val="24"/>
          <w:szCs w:val="24"/>
          <w:lang w:eastAsia="en-GB"/>
        </w:rPr>
        <w:t xml:space="preserve">during his review of the Council’s </w:t>
      </w:r>
      <w:r w:rsidR="00B8437C" w:rsidRPr="00BB3F98">
        <w:rPr>
          <w:rFonts w:ascii="Arial" w:eastAsia="Times New Roman" w:hAnsi="Arial" w:cs="Arial"/>
          <w:sz w:val="24"/>
          <w:szCs w:val="24"/>
          <w:lang w:eastAsia="en-GB"/>
        </w:rPr>
        <w:t>2018-19 statement of accounts:</w:t>
      </w:r>
    </w:p>
    <w:p w14:paraId="0CBC94EF" w14:textId="77777777" w:rsidR="00B8437C" w:rsidRPr="00BB3F98" w:rsidRDefault="00B8437C" w:rsidP="00B8437C">
      <w:pPr>
        <w:pStyle w:val="ListParagraph"/>
        <w:numPr>
          <w:ilvl w:val="0"/>
          <w:numId w:val="29"/>
        </w:numPr>
        <w:autoSpaceDE w:val="0"/>
        <w:autoSpaceDN w:val="0"/>
        <w:adjustRightInd w:val="0"/>
        <w:spacing w:after="120" w:line="240" w:lineRule="auto"/>
        <w:ind w:left="1418"/>
        <w:jc w:val="both"/>
        <w:rPr>
          <w:rFonts w:ascii="Arial" w:eastAsia="Times New Roman" w:hAnsi="Arial" w:cs="Arial"/>
          <w:sz w:val="24"/>
          <w:szCs w:val="24"/>
          <w:lang w:eastAsia="en-GB"/>
        </w:rPr>
      </w:pPr>
      <w:r>
        <w:rPr>
          <w:rFonts w:ascii="Arial" w:eastAsia="Times New Roman" w:hAnsi="Arial" w:cs="Arial"/>
          <w:sz w:val="24"/>
          <w:szCs w:val="24"/>
          <w:lang w:eastAsia="en-GB"/>
        </w:rPr>
        <w:t>The C</w:t>
      </w:r>
      <w:r w:rsidRPr="00BB3F98">
        <w:rPr>
          <w:rFonts w:ascii="Arial" w:eastAsia="Times New Roman" w:hAnsi="Arial" w:cs="Arial"/>
          <w:sz w:val="24"/>
          <w:szCs w:val="24"/>
          <w:lang w:eastAsia="en-GB"/>
        </w:rPr>
        <w:t>ouncil’s company governance arrangements</w:t>
      </w:r>
    </w:p>
    <w:p w14:paraId="39AA4CDF" w14:textId="77777777" w:rsidR="00B8437C" w:rsidRPr="00BB3F98" w:rsidRDefault="00B8437C" w:rsidP="00B8437C">
      <w:pPr>
        <w:pStyle w:val="ListParagraph"/>
        <w:numPr>
          <w:ilvl w:val="0"/>
          <w:numId w:val="29"/>
        </w:numPr>
        <w:autoSpaceDE w:val="0"/>
        <w:autoSpaceDN w:val="0"/>
        <w:adjustRightInd w:val="0"/>
        <w:spacing w:after="120" w:line="240" w:lineRule="auto"/>
        <w:ind w:left="1418"/>
        <w:jc w:val="both"/>
        <w:rPr>
          <w:rFonts w:ascii="Arial" w:eastAsia="Times New Roman" w:hAnsi="Arial" w:cs="Arial"/>
          <w:sz w:val="24"/>
          <w:szCs w:val="24"/>
          <w:lang w:eastAsia="en-GB"/>
        </w:rPr>
      </w:pPr>
      <w:r>
        <w:rPr>
          <w:rFonts w:ascii="Arial" w:eastAsia="Times New Roman" w:hAnsi="Arial" w:cs="Arial"/>
          <w:sz w:val="24"/>
          <w:szCs w:val="24"/>
          <w:lang w:eastAsia="en-GB"/>
        </w:rPr>
        <w:t>The C</w:t>
      </w:r>
      <w:r w:rsidRPr="00BB3F98">
        <w:rPr>
          <w:rFonts w:ascii="Arial" w:eastAsia="Times New Roman" w:hAnsi="Arial" w:cs="Arial"/>
          <w:sz w:val="24"/>
          <w:szCs w:val="24"/>
          <w:lang w:eastAsia="en-GB"/>
        </w:rPr>
        <w:t>ouncil’s relationship with its subsidiary company Robin Hood Energy</w:t>
      </w:r>
      <w:r>
        <w:rPr>
          <w:rFonts w:ascii="Arial" w:eastAsia="Times New Roman" w:hAnsi="Arial" w:cs="Arial"/>
          <w:sz w:val="24"/>
          <w:szCs w:val="24"/>
          <w:lang w:eastAsia="en-GB"/>
        </w:rPr>
        <w:t xml:space="preserve"> Ltd.</w:t>
      </w:r>
    </w:p>
    <w:p w14:paraId="5553DBC1" w14:textId="77777777" w:rsidR="00B8437C" w:rsidRPr="00BB3F98" w:rsidRDefault="00B8437C" w:rsidP="00B8437C">
      <w:pPr>
        <w:pStyle w:val="ListParagraph"/>
        <w:numPr>
          <w:ilvl w:val="0"/>
          <w:numId w:val="29"/>
        </w:numPr>
        <w:autoSpaceDE w:val="0"/>
        <w:autoSpaceDN w:val="0"/>
        <w:adjustRightInd w:val="0"/>
        <w:spacing w:after="120" w:line="240" w:lineRule="auto"/>
        <w:ind w:left="1418"/>
        <w:jc w:val="both"/>
        <w:rPr>
          <w:rFonts w:ascii="Arial" w:eastAsia="Times New Roman" w:hAnsi="Arial" w:cs="Arial"/>
          <w:sz w:val="24"/>
          <w:szCs w:val="24"/>
          <w:lang w:eastAsia="en-GB"/>
        </w:rPr>
      </w:pPr>
      <w:r>
        <w:rPr>
          <w:rFonts w:ascii="Arial" w:eastAsia="Times New Roman" w:hAnsi="Arial" w:cs="Arial"/>
          <w:sz w:val="24"/>
          <w:szCs w:val="24"/>
          <w:lang w:eastAsia="en-GB"/>
        </w:rPr>
        <w:t>The C</w:t>
      </w:r>
      <w:r w:rsidRPr="00BB3F98">
        <w:rPr>
          <w:rFonts w:ascii="Arial" w:eastAsia="Times New Roman" w:hAnsi="Arial" w:cs="Arial"/>
          <w:sz w:val="24"/>
          <w:szCs w:val="24"/>
          <w:lang w:eastAsia="en-GB"/>
        </w:rPr>
        <w:t>ouncil’s capital programme</w:t>
      </w:r>
    </w:p>
    <w:p w14:paraId="0D2265AA" w14:textId="77777777" w:rsidR="00B8437C" w:rsidRDefault="00B8437C" w:rsidP="00B8437C">
      <w:pPr>
        <w:autoSpaceDE w:val="0"/>
        <w:autoSpaceDN w:val="0"/>
        <w:adjustRightInd w:val="0"/>
        <w:spacing w:after="120" w:line="240" w:lineRule="auto"/>
        <w:ind w:left="567"/>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The external audit is substantially complete but the Value for Money conclusion is </w:t>
      </w:r>
      <w:r w:rsidRPr="001917AF">
        <w:rPr>
          <w:rFonts w:ascii="Arial" w:eastAsia="Times New Roman" w:hAnsi="Arial" w:cs="Arial"/>
          <w:sz w:val="24"/>
          <w:szCs w:val="24"/>
          <w:lang w:eastAsia="en-GB"/>
        </w:rPr>
        <w:t>delay</w:t>
      </w:r>
      <w:r>
        <w:rPr>
          <w:rFonts w:ascii="Arial" w:eastAsia="Times New Roman" w:hAnsi="Arial" w:cs="Arial"/>
          <w:sz w:val="24"/>
          <w:szCs w:val="24"/>
          <w:lang w:eastAsia="en-GB"/>
        </w:rPr>
        <w:t>ed as</w:t>
      </w:r>
      <w:r w:rsidRPr="001917AF">
        <w:rPr>
          <w:rFonts w:ascii="Arial" w:eastAsia="Times New Roman" w:hAnsi="Arial" w:cs="Arial"/>
          <w:sz w:val="24"/>
          <w:szCs w:val="24"/>
          <w:lang w:eastAsia="en-GB"/>
        </w:rPr>
        <w:t xml:space="preserve"> discussion with officers and other inter</w:t>
      </w:r>
      <w:r>
        <w:rPr>
          <w:rFonts w:ascii="Arial" w:eastAsia="Times New Roman" w:hAnsi="Arial" w:cs="Arial"/>
          <w:sz w:val="24"/>
          <w:szCs w:val="24"/>
          <w:lang w:eastAsia="en-GB"/>
        </w:rPr>
        <w:t>ested parties in relation to</w:t>
      </w:r>
      <w:r w:rsidRPr="001917AF">
        <w:rPr>
          <w:rFonts w:ascii="Arial" w:eastAsia="Times New Roman" w:hAnsi="Arial" w:cs="Arial"/>
          <w:sz w:val="24"/>
          <w:szCs w:val="24"/>
          <w:lang w:eastAsia="en-GB"/>
        </w:rPr>
        <w:t xml:space="preserve"> findings in respect of the Council’s arrangements </w:t>
      </w:r>
      <w:r>
        <w:rPr>
          <w:rFonts w:ascii="Arial" w:eastAsia="Times New Roman" w:hAnsi="Arial" w:cs="Arial"/>
          <w:sz w:val="24"/>
          <w:szCs w:val="24"/>
          <w:lang w:eastAsia="en-GB"/>
        </w:rPr>
        <w:t>for governance of its companies are still ongoing. In addition</w:t>
      </w:r>
      <w:r w:rsidR="007F473E">
        <w:rPr>
          <w:rFonts w:ascii="Arial" w:eastAsia="Times New Roman" w:hAnsi="Arial" w:cs="Arial"/>
          <w:sz w:val="24"/>
          <w:szCs w:val="24"/>
          <w:lang w:eastAsia="en-GB"/>
        </w:rPr>
        <w:t>,</w:t>
      </w:r>
      <w:r>
        <w:rPr>
          <w:rFonts w:ascii="Arial" w:eastAsia="Times New Roman" w:hAnsi="Arial" w:cs="Arial"/>
          <w:sz w:val="24"/>
          <w:szCs w:val="24"/>
          <w:lang w:eastAsia="en-GB"/>
        </w:rPr>
        <w:t xml:space="preserve"> there are various items of information awaited to enable the external audit opinion to be concluded.</w:t>
      </w:r>
    </w:p>
    <w:p w14:paraId="7BA2E978" w14:textId="77777777" w:rsidR="00B8437C" w:rsidRPr="00BB3F98" w:rsidRDefault="00B8437C" w:rsidP="00B8437C">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Pr>
          <w:rFonts w:ascii="Arial" w:eastAsia="Times New Roman" w:hAnsi="Arial" w:cs="Arial"/>
          <w:sz w:val="24"/>
          <w:szCs w:val="24"/>
          <w:lang w:eastAsia="en-GB"/>
        </w:rPr>
        <w:t>The Council is continuing its dialogue with it</w:t>
      </w:r>
      <w:r w:rsidRPr="00BB3F98">
        <w:rPr>
          <w:rFonts w:ascii="Arial" w:eastAsia="Times New Roman" w:hAnsi="Arial" w:cs="Arial"/>
          <w:sz w:val="24"/>
          <w:szCs w:val="24"/>
          <w:lang w:eastAsia="en-GB"/>
        </w:rPr>
        <w:t>s external auditor</w:t>
      </w:r>
      <w:r>
        <w:rPr>
          <w:rFonts w:ascii="Arial" w:eastAsia="Times New Roman" w:hAnsi="Arial" w:cs="Arial"/>
          <w:sz w:val="24"/>
          <w:szCs w:val="24"/>
          <w:lang w:eastAsia="en-GB"/>
        </w:rPr>
        <w:t xml:space="preserve"> about the </w:t>
      </w:r>
      <w:r w:rsidRPr="007E70B6">
        <w:rPr>
          <w:rFonts w:ascii="Arial" w:eastAsia="Times New Roman" w:hAnsi="Arial" w:cs="Arial"/>
          <w:sz w:val="24"/>
          <w:szCs w:val="24"/>
          <w:lang w:eastAsia="en-GB"/>
        </w:rPr>
        <w:t xml:space="preserve">significant financial impact being involved with </w:t>
      </w:r>
      <w:r w:rsidRPr="00BB3F98">
        <w:rPr>
          <w:rFonts w:ascii="Arial" w:eastAsia="Times New Roman" w:hAnsi="Arial" w:cs="Arial"/>
          <w:sz w:val="24"/>
          <w:szCs w:val="24"/>
          <w:lang w:eastAsia="en-GB"/>
        </w:rPr>
        <w:t>Robin Hood Energy</w:t>
      </w:r>
      <w:r w:rsidRPr="007E70B6">
        <w:rPr>
          <w:rFonts w:ascii="Arial" w:eastAsia="Times New Roman" w:hAnsi="Arial" w:cs="Arial"/>
          <w:sz w:val="24"/>
          <w:szCs w:val="24"/>
          <w:lang w:eastAsia="en-GB"/>
        </w:rPr>
        <w:t xml:space="preserve"> has had on the Council</w:t>
      </w:r>
      <w:r>
        <w:rPr>
          <w:rFonts w:ascii="Arial" w:eastAsia="Times New Roman" w:hAnsi="Arial" w:cs="Arial"/>
          <w:sz w:val="24"/>
          <w:szCs w:val="24"/>
          <w:lang w:eastAsia="en-GB"/>
        </w:rPr>
        <w:t xml:space="preserve"> and will take further action where indicated</w:t>
      </w:r>
      <w:r w:rsidRPr="007E70B6">
        <w:rPr>
          <w:rFonts w:ascii="Arial" w:eastAsia="Times New Roman" w:hAnsi="Arial" w:cs="Arial"/>
          <w:sz w:val="24"/>
          <w:szCs w:val="24"/>
          <w:lang w:eastAsia="en-GB"/>
        </w:rPr>
        <w:t>.</w:t>
      </w:r>
      <w:r>
        <w:rPr>
          <w:rFonts w:ascii="Arial" w:eastAsia="Times New Roman" w:hAnsi="Arial" w:cs="Arial"/>
          <w:sz w:val="24"/>
          <w:szCs w:val="24"/>
          <w:lang w:eastAsia="en-GB"/>
        </w:rPr>
        <w:t xml:space="preserve"> An update on this will be provided to the Audit Committee in due course.</w:t>
      </w:r>
    </w:p>
    <w:p w14:paraId="33E3A212" w14:textId="77777777" w:rsidR="00B8437C" w:rsidRPr="00BB3F98" w:rsidRDefault="00B8437C" w:rsidP="00B8437C">
      <w:pPr>
        <w:keepNext/>
        <w:autoSpaceDE w:val="0"/>
        <w:autoSpaceDN w:val="0"/>
        <w:adjustRightInd w:val="0"/>
        <w:spacing w:after="120" w:line="240" w:lineRule="auto"/>
        <w:jc w:val="both"/>
        <w:rPr>
          <w:rFonts w:ascii="Arial" w:eastAsia="Times New Roman" w:hAnsi="Arial" w:cs="Arial"/>
          <w:sz w:val="24"/>
          <w:szCs w:val="24"/>
          <w:lang w:eastAsia="en-GB"/>
        </w:rPr>
      </w:pPr>
      <w:r w:rsidRPr="00740F2A">
        <w:rPr>
          <w:rFonts w:ascii="Calibri Light" w:eastAsia="Times New Roman" w:hAnsi="Calibri Light" w:cs="Times New Roman"/>
          <w:bCs/>
          <w:color w:val="5B9BD5"/>
          <w:sz w:val="26"/>
          <w:szCs w:val="26"/>
          <w:lang w:eastAsia="en-GB"/>
        </w:rPr>
        <w:t>Company governance arrangements</w:t>
      </w:r>
    </w:p>
    <w:p w14:paraId="3ECD6195" w14:textId="77777777" w:rsidR="00B8437C" w:rsidRPr="006906A5" w:rsidRDefault="00B8437C" w:rsidP="00B8437C">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6906A5">
        <w:rPr>
          <w:rFonts w:ascii="Arial" w:eastAsia="Times New Roman" w:hAnsi="Arial" w:cs="Arial"/>
          <w:sz w:val="24"/>
          <w:szCs w:val="24"/>
          <w:lang w:eastAsia="en-GB"/>
        </w:rPr>
        <w:t>During the audit the external auditor has highlighted shortfalls in the company governance arrangements of the City Council</w:t>
      </w:r>
      <w:r w:rsidR="00DF5CDB">
        <w:rPr>
          <w:rFonts w:ascii="Arial" w:eastAsia="Times New Roman" w:hAnsi="Arial" w:cs="Arial"/>
          <w:sz w:val="24"/>
          <w:szCs w:val="24"/>
          <w:lang w:eastAsia="en-GB"/>
        </w:rPr>
        <w:t xml:space="preserve">, and has since issued a </w:t>
      </w:r>
      <w:r w:rsidR="007F473E">
        <w:rPr>
          <w:rFonts w:ascii="Arial" w:eastAsia="Times New Roman" w:hAnsi="Arial" w:cs="Arial"/>
          <w:sz w:val="24"/>
          <w:szCs w:val="24"/>
          <w:lang w:eastAsia="en-GB"/>
        </w:rPr>
        <w:t xml:space="preserve">Report in the </w:t>
      </w:r>
      <w:r w:rsidR="00DF5CDB">
        <w:rPr>
          <w:rFonts w:ascii="Arial" w:eastAsia="Times New Roman" w:hAnsi="Arial" w:cs="Arial"/>
          <w:sz w:val="24"/>
          <w:szCs w:val="24"/>
          <w:lang w:eastAsia="en-GB"/>
        </w:rPr>
        <w:t xml:space="preserve">Public </w:t>
      </w:r>
      <w:r w:rsidR="00EE7F03">
        <w:rPr>
          <w:rFonts w:ascii="Arial" w:eastAsia="Times New Roman" w:hAnsi="Arial" w:cs="Arial"/>
          <w:sz w:val="24"/>
          <w:szCs w:val="24"/>
          <w:lang w:eastAsia="en-GB"/>
        </w:rPr>
        <w:t>Interest as</w:t>
      </w:r>
      <w:r w:rsidR="00DF5CDB">
        <w:rPr>
          <w:rFonts w:ascii="Arial" w:eastAsia="Times New Roman" w:hAnsi="Arial" w:cs="Arial"/>
          <w:sz w:val="24"/>
          <w:szCs w:val="24"/>
          <w:lang w:eastAsia="en-GB"/>
        </w:rPr>
        <w:t xml:space="preserve"> outlined above</w:t>
      </w:r>
      <w:r w:rsidRPr="006906A5">
        <w:rPr>
          <w:rFonts w:ascii="Arial" w:eastAsia="Times New Roman" w:hAnsi="Arial" w:cs="Arial"/>
          <w:sz w:val="24"/>
          <w:szCs w:val="24"/>
          <w:lang w:eastAsia="en-GB"/>
        </w:rPr>
        <w:t xml:space="preserve">. In particular Grant Thornton have been concerned about delays in putting </w:t>
      </w:r>
      <w:r w:rsidR="007F473E">
        <w:rPr>
          <w:rFonts w:ascii="Arial" w:eastAsia="Times New Roman" w:hAnsi="Arial" w:cs="Arial"/>
          <w:sz w:val="24"/>
          <w:szCs w:val="24"/>
          <w:lang w:eastAsia="en-GB"/>
        </w:rPr>
        <w:t xml:space="preserve">effective control </w:t>
      </w:r>
      <w:r w:rsidRPr="006906A5">
        <w:rPr>
          <w:rFonts w:ascii="Arial" w:eastAsia="Times New Roman" w:hAnsi="Arial" w:cs="Arial"/>
          <w:sz w:val="24"/>
          <w:szCs w:val="24"/>
          <w:lang w:eastAsia="en-GB"/>
        </w:rPr>
        <w:t xml:space="preserve">arrangements in place and the role of the shareholder representative. There was </w:t>
      </w:r>
      <w:r w:rsidR="007F473E">
        <w:rPr>
          <w:rFonts w:ascii="Arial" w:eastAsia="Times New Roman" w:hAnsi="Arial" w:cs="Arial"/>
          <w:sz w:val="24"/>
          <w:szCs w:val="24"/>
          <w:lang w:eastAsia="en-GB"/>
        </w:rPr>
        <w:t xml:space="preserve">a </w:t>
      </w:r>
      <w:r w:rsidRPr="006906A5">
        <w:rPr>
          <w:rFonts w:ascii="Arial" w:eastAsia="Times New Roman" w:hAnsi="Arial" w:cs="Arial"/>
          <w:sz w:val="24"/>
          <w:szCs w:val="24"/>
          <w:lang w:eastAsia="en-GB"/>
        </w:rPr>
        <w:t>lack of clarity on the shareholder representative</w:t>
      </w:r>
      <w:r w:rsidR="008A4009">
        <w:rPr>
          <w:rFonts w:ascii="Arial" w:eastAsia="Times New Roman" w:hAnsi="Arial" w:cs="Arial"/>
          <w:sz w:val="24"/>
          <w:szCs w:val="24"/>
          <w:lang w:eastAsia="en-GB"/>
        </w:rPr>
        <w:t>’</w:t>
      </w:r>
      <w:r w:rsidRPr="006906A5">
        <w:rPr>
          <w:rFonts w:ascii="Arial" w:eastAsia="Times New Roman" w:hAnsi="Arial" w:cs="Arial"/>
          <w:sz w:val="24"/>
          <w:szCs w:val="24"/>
          <w:lang w:eastAsia="en-GB"/>
        </w:rPr>
        <w:t>s role and this has led to the Council not achieving the best outcomes from its investments in companies</w:t>
      </w:r>
      <w:r>
        <w:rPr>
          <w:rFonts w:ascii="Arial" w:eastAsia="Times New Roman" w:hAnsi="Arial" w:cs="Arial"/>
          <w:sz w:val="24"/>
          <w:szCs w:val="24"/>
          <w:lang w:eastAsia="en-GB"/>
        </w:rPr>
        <w:t xml:space="preserve">, including some substantial </w:t>
      </w:r>
      <w:r>
        <w:rPr>
          <w:rFonts w:ascii="Arial" w:eastAsia="Times New Roman" w:hAnsi="Arial" w:cs="Arial"/>
          <w:sz w:val="24"/>
          <w:szCs w:val="24"/>
          <w:lang w:eastAsia="en-GB"/>
        </w:rPr>
        <w:lastRenderedPageBreak/>
        <w:t>losses</w:t>
      </w:r>
      <w:r w:rsidRPr="006906A5">
        <w:rPr>
          <w:rFonts w:ascii="Arial" w:eastAsia="Times New Roman" w:hAnsi="Arial" w:cs="Arial"/>
          <w:sz w:val="24"/>
          <w:szCs w:val="24"/>
          <w:lang w:eastAsia="en-GB"/>
        </w:rPr>
        <w:t xml:space="preserve">. </w:t>
      </w:r>
      <w:r w:rsidR="007F473E">
        <w:rPr>
          <w:rFonts w:ascii="Arial" w:eastAsia="Times New Roman" w:hAnsi="Arial" w:cs="Arial"/>
          <w:sz w:val="24"/>
          <w:szCs w:val="24"/>
          <w:lang w:eastAsia="en-GB"/>
        </w:rPr>
        <w:t xml:space="preserve">This will </w:t>
      </w:r>
      <w:r w:rsidR="00EE7F03">
        <w:rPr>
          <w:rFonts w:ascii="Arial" w:eastAsia="Times New Roman" w:hAnsi="Arial" w:cs="Arial"/>
          <w:sz w:val="24"/>
          <w:szCs w:val="24"/>
          <w:lang w:eastAsia="en-GB"/>
        </w:rPr>
        <w:t xml:space="preserve">be </w:t>
      </w:r>
      <w:r w:rsidR="00EE7F03" w:rsidRPr="006906A5">
        <w:rPr>
          <w:rFonts w:ascii="Arial" w:eastAsia="Times New Roman" w:hAnsi="Arial" w:cs="Arial"/>
          <w:sz w:val="24"/>
          <w:szCs w:val="24"/>
          <w:lang w:eastAsia="en-GB"/>
        </w:rPr>
        <w:t>addressed</w:t>
      </w:r>
      <w:r w:rsidR="00DF5CDB">
        <w:rPr>
          <w:rFonts w:ascii="Arial" w:eastAsia="Times New Roman" w:hAnsi="Arial" w:cs="Arial"/>
          <w:sz w:val="24"/>
          <w:szCs w:val="24"/>
          <w:lang w:eastAsia="en-GB"/>
        </w:rPr>
        <w:t xml:space="preserve"> as part of the </w:t>
      </w:r>
      <w:r w:rsidR="007F473E">
        <w:rPr>
          <w:rFonts w:ascii="Arial" w:eastAsia="Times New Roman" w:hAnsi="Arial" w:cs="Arial"/>
          <w:sz w:val="24"/>
          <w:szCs w:val="24"/>
          <w:lang w:eastAsia="en-GB"/>
        </w:rPr>
        <w:t xml:space="preserve">Report in the </w:t>
      </w:r>
      <w:r w:rsidR="00DF5CDB">
        <w:rPr>
          <w:rFonts w:ascii="Arial" w:eastAsia="Times New Roman" w:hAnsi="Arial" w:cs="Arial"/>
          <w:sz w:val="24"/>
          <w:szCs w:val="24"/>
          <w:lang w:eastAsia="en-GB"/>
        </w:rPr>
        <w:t>Public Interest</w:t>
      </w:r>
      <w:r w:rsidR="00A42ABC">
        <w:rPr>
          <w:rFonts w:ascii="Arial" w:eastAsia="Times New Roman" w:hAnsi="Arial" w:cs="Arial"/>
          <w:sz w:val="24"/>
          <w:szCs w:val="24"/>
          <w:lang w:eastAsia="en-GB"/>
        </w:rPr>
        <w:t xml:space="preserve"> </w:t>
      </w:r>
      <w:r w:rsidR="00DF5CDB">
        <w:rPr>
          <w:rFonts w:ascii="Arial" w:eastAsia="Times New Roman" w:hAnsi="Arial" w:cs="Arial"/>
          <w:sz w:val="24"/>
          <w:szCs w:val="24"/>
          <w:lang w:eastAsia="en-GB"/>
        </w:rPr>
        <w:t>Action Plan</w:t>
      </w:r>
      <w:r w:rsidRPr="006906A5">
        <w:rPr>
          <w:rFonts w:ascii="Arial" w:eastAsia="Times New Roman" w:hAnsi="Arial" w:cs="Arial"/>
          <w:sz w:val="24"/>
          <w:szCs w:val="24"/>
          <w:lang w:eastAsia="en-GB"/>
        </w:rPr>
        <w:t xml:space="preserve">.   </w:t>
      </w:r>
    </w:p>
    <w:p w14:paraId="6825712F" w14:textId="77777777" w:rsidR="00B8437C" w:rsidRPr="00740F2A" w:rsidRDefault="00B8437C" w:rsidP="00B8437C">
      <w:pPr>
        <w:keepNext/>
        <w:autoSpaceDE w:val="0"/>
        <w:autoSpaceDN w:val="0"/>
        <w:adjustRightInd w:val="0"/>
        <w:spacing w:after="120" w:line="240" w:lineRule="auto"/>
        <w:jc w:val="both"/>
        <w:rPr>
          <w:rFonts w:ascii="Calibri Light" w:eastAsia="Times New Roman" w:hAnsi="Calibri Light" w:cs="Times New Roman"/>
          <w:bCs/>
          <w:color w:val="5B9BD5"/>
          <w:sz w:val="26"/>
          <w:szCs w:val="26"/>
          <w:lang w:eastAsia="en-GB"/>
        </w:rPr>
      </w:pPr>
      <w:r w:rsidRPr="00740F2A">
        <w:rPr>
          <w:rFonts w:ascii="Calibri Light" w:eastAsia="Times New Roman" w:hAnsi="Calibri Light" w:cs="Times New Roman"/>
          <w:bCs/>
          <w:color w:val="5B9BD5"/>
          <w:sz w:val="26"/>
          <w:szCs w:val="26"/>
          <w:lang w:eastAsia="en-GB"/>
        </w:rPr>
        <w:t>Robin Hood Energy</w:t>
      </w:r>
      <w:r w:rsidR="007F473E">
        <w:rPr>
          <w:rFonts w:ascii="Calibri Light" w:eastAsia="Times New Roman" w:hAnsi="Calibri Light" w:cs="Times New Roman"/>
          <w:bCs/>
          <w:color w:val="5B9BD5"/>
          <w:sz w:val="26"/>
          <w:szCs w:val="26"/>
          <w:lang w:eastAsia="en-GB"/>
        </w:rPr>
        <w:t xml:space="preserve"> Ltd</w:t>
      </w:r>
      <w:r w:rsidR="00C62995">
        <w:rPr>
          <w:rFonts w:ascii="Calibri Light" w:eastAsia="Times New Roman" w:hAnsi="Calibri Light" w:cs="Times New Roman"/>
          <w:bCs/>
          <w:color w:val="5B9BD5"/>
          <w:sz w:val="26"/>
          <w:szCs w:val="26"/>
          <w:lang w:eastAsia="en-GB"/>
        </w:rPr>
        <w:t xml:space="preserve"> (RHE)</w:t>
      </w:r>
    </w:p>
    <w:p w14:paraId="7F741307" w14:textId="77777777" w:rsidR="00C62995" w:rsidRDefault="00B8437C" w:rsidP="00B8437C">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AC1B2D">
        <w:rPr>
          <w:rFonts w:ascii="Arial" w:eastAsia="Times New Roman" w:hAnsi="Arial" w:cs="Arial"/>
          <w:sz w:val="24"/>
          <w:szCs w:val="24"/>
          <w:lang w:eastAsia="en-GB"/>
        </w:rPr>
        <w:t>The Executive Board of the Council on 17th December 2019 noted the intention to carry out a full options appraisal and Strategic Review regarding the future of Robin Hood Energy. This process commenced in January 2020.  The public statement from the Company announcing t</w:t>
      </w:r>
      <w:r>
        <w:rPr>
          <w:rFonts w:ascii="Arial" w:eastAsia="Times New Roman" w:hAnsi="Arial" w:cs="Arial"/>
          <w:sz w:val="24"/>
          <w:szCs w:val="24"/>
          <w:lang w:eastAsia="en-GB"/>
        </w:rPr>
        <w:t xml:space="preserve">he review in January 2020 </w:t>
      </w:r>
      <w:r w:rsidR="00EE7F03">
        <w:rPr>
          <w:rFonts w:ascii="Arial" w:eastAsia="Times New Roman" w:hAnsi="Arial" w:cs="Arial"/>
          <w:sz w:val="24"/>
          <w:szCs w:val="24"/>
          <w:lang w:eastAsia="en-GB"/>
        </w:rPr>
        <w:t>said,</w:t>
      </w:r>
      <w:r>
        <w:rPr>
          <w:rFonts w:ascii="Arial" w:eastAsia="Times New Roman" w:hAnsi="Arial" w:cs="Arial"/>
          <w:sz w:val="24"/>
          <w:szCs w:val="24"/>
          <w:lang w:eastAsia="en-GB"/>
        </w:rPr>
        <w:t xml:space="preserve"> “</w:t>
      </w:r>
      <w:r w:rsidRPr="00AC1B2D">
        <w:rPr>
          <w:rFonts w:ascii="Arial" w:eastAsia="Times New Roman" w:hAnsi="Arial" w:cs="Arial"/>
          <w:sz w:val="24"/>
          <w:szCs w:val="24"/>
          <w:lang w:eastAsia="en-GB"/>
        </w:rPr>
        <w:t>We have commenced a strategic review of the business. This will consider all options for Robin Hood Energy and will be complete by the summer.  Meanwhile, our key objectives are to continue to find further efficiencies in our processes, ensure we continue to provide a great customer experience and deliver for our shareholder and most importantly the people of Nottingham”.</w:t>
      </w:r>
      <w:r>
        <w:rPr>
          <w:rFonts w:ascii="Arial" w:eastAsia="Times New Roman" w:hAnsi="Arial" w:cs="Arial"/>
          <w:sz w:val="24"/>
          <w:szCs w:val="24"/>
          <w:lang w:eastAsia="en-GB"/>
        </w:rPr>
        <w:t xml:space="preserve"> </w:t>
      </w:r>
    </w:p>
    <w:p w14:paraId="230AF685" w14:textId="77777777" w:rsidR="00B8437C" w:rsidRPr="00AC1B2D" w:rsidRDefault="006B4D62" w:rsidP="00A42ABC">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Pr>
          <w:rFonts w:ascii="Arial" w:eastAsia="Times New Roman" w:hAnsi="Arial" w:cs="Arial"/>
          <w:sz w:val="24"/>
          <w:szCs w:val="24"/>
          <w:lang w:eastAsia="en-GB"/>
        </w:rPr>
        <w:t>The Council</w:t>
      </w:r>
      <w:r w:rsidR="00B8437C" w:rsidRPr="00AC1B2D">
        <w:rPr>
          <w:rFonts w:ascii="Arial" w:eastAsia="Times New Roman" w:hAnsi="Arial" w:cs="Arial"/>
          <w:sz w:val="24"/>
          <w:szCs w:val="24"/>
          <w:lang w:eastAsia="en-GB"/>
        </w:rPr>
        <w:t xml:space="preserve"> anticipat</w:t>
      </w:r>
      <w:r>
        <w:rPr>
          <w:rFonts w:ascii="Arial" w:eastAsia="Times New Roman" w:hAnsi="Arial" w:cs="Arial"/>
          <w:sz w:val="24"/>
          <w:szCs w:val="24"/>
          <w:lang w:eastAsia="en-GB"/>
        </w:rPr>
        <w:t>es</w:t>
      </w:r>
      <w:r w:rsidR="00B8437C" w:rsidRPr="00AC1B2D">
        <w:rPr>
          <w:rFonts w:ascii="Arial" w:eastAsia="Times New Roman" w:hAnsi="Arial" w:cs="Arial"/>
          <w:sz w:val="24"/>
          <w:szCs w:val="24"/>
          <w:lang w:eastAsia="en-GB"/>
        </w:rPr>
        <w:t xml:space="preserve"> the conclusion of the review shortly and the RHE Board will need to make a decision on this consistent with the best interests of NCC as Shareholder.  Any decision for the Council resulting from this will be taken in accordance with the City Council’s constitution</w:t>
      </w:r>
      <w:r w:rsidR="00A42ABC">
        <w:rPr>
          <w:rFonts w:ascii="Arial" w:eastAsia="Times New Roman" w:hAnsi="Arial" w:cs="Arial"/>
          <w:sz w:val="24"/>
          <w:szCs w:val="24"/>
          <w:lang w:eastAsia="en-GB"/>
        </w:rPr>
        <w:t xml:space="preserve"> and the Executive Board report of 29</w:t>
      </w:r>
      <w:r w:rsidR="00A42ABC" w:rsidRPr="00A42ABC">
        <w:rPr>
          <w:rFonts w:ascii="Arial" w:eastAsia="Times New Roman" w:hAnsi="Arial" w:cs="Arial"/>
          <w:sz w:val="24"/>
          <w:szCs w:val="24"/>
          <w:vertAlign w:val="superscript"/>
          <w:lang w:eastAsia="en-GB"/>
        </w:rPr>
        <w:t>th</w:t>
      </w:r>
      <w:r w:rsidR="00A42ABC">
        <w:rPr>
          <w:rFonts w:ascii="Arial" w:eastAsia="Times New Roman" w:hAnsi="Arial" w:cs="Arial"/>
          <w:sz w:val="24"/>
          <w:szCs w:val="24"/>
          <w:lang w:eastAsia="en-GB"/>
        </w:rPr>
        <w:t xml:space="preserve"> June 2020 “</w:t>
      </w:r>
      <w:r w:rsidR="00A42ABC" w:rsidRPr="00A42ABC">
        <w:rPr>
          <w:rFonts w:ascii="Arial" w:eastAsia="Times New Roman" w:hAnsi="Arial" w:cs="Arial"/>
          <w:sz w:val="24"/>
          <w:szCs w:val="24"/>
          <w:lang w:eastAsia="en-GB"/>
        </w:rPr>
        <w:t>Council Financial Position - Financial Risk Assessment</w:t>
      </w:r>
      <w:r w:rsidR="00A42ABC">
        <w:rPr>
          <w:rFonts w:ascii="Arial" w:eastAsia="Times New Roman" w:hAnsi="Arial" w:cs="Arial"/>
          <w:sz w:val="24"/>
          <w:szCs w:val="24"/>
          <w:lang w:eastAsia="en-GB"/>
        </w:rPr>
        <w:t>”</w:t>
      </w:r>
      <w:r w:rsidR="00B8437C" w:rsidRPr="00AC1B2D">
        <w:rPr>
          <w:rFonts w:ascii="Arial" w:eastAsia="Times New Roman" w:hAnsi="Arial" w:cs="Arial"/>
          <w:sz w:val="24"/>
          <w:szCs w:val="24"/>
          <w:lang w:eastAsia="en-GB"/>
        </w:rPr>
        <w:t>.</w:t>
      </w:r>
    </w:p>
    <w:p w14:paraId="76A01345" w14:textId="77777777" w:rsidR="00B8437C" w:rsidRPr="00BB3F98" w:rsidRDefault="00B8437C" w:rsidP="00B8437C">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BB3F98">
        <w:rPr>
          <w:rFonts w:ascii="Arial" w:eastAsia="Times New Roman" w:hAnsi="Arial" w:cs="Arial"/>
          <w:sz w:val="24"/>
          <w:szCs w:val="24"/>
          <w:lang w:eastAsia="en-GB"/>
        </w:rPr>
        <w:t xml:space="preserve">RHE made a loss in 2017/18 and a much bigger loss in 2018/19. Since the balance sheet date the level of council loans to RHE and financial guarantees to wholesale suppliers have increased. Also the value of the </w:t>
      </w:r>
      <w:r>
        <w:rPr>
          <w:rFonts w:ascii="Arial" w:eastAsia="Times New Roman" w:hAnsi="Arial" w:cs="Arial"/>
          <w:sz w:val="24"/>
          <w:szCs w:val="24"/>
          <w:lang w:eastAsia="en-GB"/>
        </w:rPr>
        <w:t>C</w:t>
      </w:r>
      <w:r w:rsidRPr="00BB3F98">
        <w:rPr>
          <w:rFonts w:ascii="Arial" w:eastAsia="Times New Roman" w:hAnsi="Arial" w:cs="Arial"/>
          <w:sz w:val="24"/>
          <w:szCs w:val="24"/>
          <w:lang w:eastAsia="en-GB"/>
        </w:rPr>
        <w:t>ouncil’s stake in the company has been impaired following a review. The company’s ability to continue as a going concern in the future is dependent on the Council’s loan facility and not seeking repayment of loans advanced to the company. Whilst the company has relatively little exposure within the commercial sector and demand for domestic energy is expected to continue, there is a risk for all businesses, including RHE, due to the effect of the Covid-19 emergency on operations and cash flows during this unprecedented time.</w:t>
      </w:r>
    </w:p>
    <w:p w14:paraId="76103ECA" w14:textId="77777777" w:rsidR="00B8437C" w:rsidRPr="00740F2A" w:rsidRDefault="00B8437C" w:rsidP="00B8437C">
      <w:pPr>
        <w:keepNext/>
        <w:autoSpaceDE w:val="0"/>
        <w:autoSpaceDN w:val="0"/>
        <w:adjustRightInd w:val="0"/>
        <w:spacing w:after="120" w:line="240" w:lineRule="auto"/>
        <w:jc w:val="both"/>
        <w:rPr>
          <w:rFonts w:ascii="Calibri Light" w:eastAsia="Times New Roman" w:hAnsi="Calibri Light" w:cs="Times New Roman"/>
          <w:bCs/>
          <w:color w:val="5B9BD5"/>
          <w:sz w:val="26"/>
          <w:szCs w:val="26"/>
          <w:lang w:eastAsia="en-GB"/>
        </w:rPr>
      </w:pPr>
      <w:r w:rsidRPr="00740F2A">
        <w:rPr>
          <w:rFonts w:ascii="Calibri Light" w:eastAsia="Times New Roman" w:hAnsi="Calibri Light" w:cs="Times New Roman"/>
          <w:bCs/>
          <w:color w:val="5B9BD5"/>
          <w:sz w:val="26"/>
          <w:szCs w:val="26"/>
          <w:lang w:eastAsia="en-GB"/>
        </w:rPr>
        <w:t xml:space="preserve">Capital programme </w:t>
      </w:r>
    </w:p>
    <w:p w14:paraId="6845CDFB" w14:textId="77777777" w:rsidR="00B8437C" w:rsidRDefault="00B8437C" w:rsidP="00B8437C">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BB3F98">
        <w:rPr>
          <w:rFonts w:ascii="Arial" w:eastAsia="Times New Roman" w:hAnsi="Arial" w:cs="Arial"/>
          <w:sz w:val="24"/>
          <w:szCs w:val="24"/>
          <w:lang w:eastAsia="en-GB"/>
        </w:rPr>
        <w:t>In CIPFA’s 2019 Res</w:t>
      </w:r>
      <w:r>
        <w:rPr>
          <w:rFonts w:ascii="Arial" w:eastAsia="Times New Roman" w:hAnsi="Arial" w:cs="Arial"/>
          <w:sz w:val="24"/>
          <w:szCs w:val="24"/>
          <w:lang w:eastAsia="en-GB"/>
        </w:rPr>
        <w:t xml:space="preserve">ilience Index publication, the </w:t>
      </w:r>
      <w:r w:rsidR="00C62995">
        <w:rPr>
          <w:rFonts w:ascii="Arial" w:eastAsia="Times New Roman" w:hAnsi="Arial" w:cs="Arial"/>
          <w:sz w:val="24"/>
          <w:szCs w:val="24"/>
          <w:lang w:eastAsia="en-GB"/>
        </w:rPr>
        <w:t xml:space="preserve">City </w:t>
      </w:r>
      <w:r>
        <w:rPr>
          <w:rFonts w:ascii="Arial" w:eastAsia="Times New Roman" w:hAnsi="Arial" w:cs="Arial"/>
          <w:sz w:val="24"/>
          <w:szCs w:val="24"/>
          <w:lang w:eastAsia="en-GB"/>
        </w:rPr>
        <w:t>C</w:t>
      </w:r>
      <w:r w:rsidRPr="00BB3F98">
        <w:rPr>
          <w:rFonts w:ascii="Arial" w:eastAsia="Times New Roman" w:hAnsi="Arial" w:cs="Arial"/>
          <w:sz w:val="24"/>
          <w:szCs w:val="24"/>
          <w:lang w:eastAsia="en-GB"/>
        </w:rPr>
        <w:t>ouncil had the second highest level of gross external debt in its comparator group of near statistical neighbours. It had the highest ratio of interest payable to net expenditure. These figures reflect the high level of capital</w:t>
      </w:r>
      <w:r>
        <w:rPr>
          <w:rFonts w:ascii="Arial" w:eastAsia="Times New Roman" w:hAnsi="Arial" w:cs="Arial"/>
          <w:sz w:val="24"/>
          <w:szCs w:val="24"/>
          <w:lang w:eastAsia="en-GB"/>
        </w:rPr>
        <w:t xml:space="preserve"> and commercial</w:t>
      </w:r>
      <w:r w:rsidRPr="00BB3F98">
        <w:rPr>
          <w:rFonts w:ascii="Arial" w:eastAsia="Times New Roman" w:hAnsi="Arial" w:cs="Arial"/>
          <w:sz w:val="24"/>
          <w:szCs w:val="24"/>
          <w:lang w:eastAsia="en-GB"/>
        </w:rPr>
        <w:t xml:space="preserve"> investment</w:t>
      </w:r>
      <w:r w:rsidR="00A42ABC">
        <w:rPr>
          <w:rFonts w:ascii="Arial" w:eastAsia="Times New Roman" w:hAnsi="Arial" w:cs="Arial"/>
          <w:sz w:val="24"/>
          <w:szCs w:val="24"/>
          <w:lang w:eastAsia="en-GB"/>
        </w:rPr>
        <w:t xml:space="preserve">, but also that the City Council’s borrowing was at risk of being unsustainable, </w:t>
      </w:r>
      <w:r w:rsidR="00F01F75">
        <w:rPr>
          <w:rFonts w:ascii="Arial" w:eastAsia="Times New Roman" w:hAnsi="Arial" w:cs="Arial"/>
          <w:sz w:val="24"/>
          <w:szCs w:val="24"/>
          <w:lang w:eastAsia="en-GB"/>
        </w:rPr>
        <w:t xml:space="preserve">and </w:t>
      </w:r>
      <w:r w:rsidR="00A42ABC">
        <w:rPr>
          <w:rFonts w:ascii="Arial" w:eastAsia="Times New Roman" w:hAnsi="Arial" w:cs="Arial"/>
          <w:sz w:val="24"/>
          <w:szCs w:val="24"/>
          <w:lang w:eastAsia="en-GB"/>
        </w:rPr>
        <w:t>particularly</w:t>
      </w:r>
      <w:r w:rsidR="00F01F75">
        <w:rPr>
          <w:rFonts w:ascii="Arial" w:eastAsia="Times New Roman" w:hAnsi="Arial" w:cs="Arial"/>
          <w:sz w:val="24"/>
          <w:szCs w:val="24"/>
          <w:lang w:eastAsia="en-GB"/>
        </w:rPr>
        <w:t xml:space="preserve"> so</w:t>
      </w:r>
      <w:r w:rsidR="00A42ABC">
        <w:rPr>
          <w:rFonts w:ascii="Arial" w:eastAsia="Times New Roman" w:hAnsi="Arial" w:cs="Arial"/>
          <w:sz w:val="24"/>
          <w:szCs w:val="24"/>
          <w:lang w:eastAsia="en-GB"/>
        </w:rPr>
        <w:t xml:space="preserve"> following a</w:t>
      </w:r>
      <w:r w:rsidR="00C02C4E">
        <w:rPr>
          <w:rFonts w:ascii="Arial" w:eastAsia="Times New Roman" w:hAnsi="Arial" w:cs="Arial"/>
          <w:sz w:val="24"/>
          <w:szCs w:val="24"/>
          <w:lang w:eastAsia="en-GB"/>
        </w:rPr>
        <w:t xml:space="preserve"> shock to any of </w:t>
      </w:r>
      <w:r w:rsidR="00F01F75">
        <w:rPr>
          <w:rFonts w:ascii="Arial" w:eastAsia="Times New Roman" w:hAnsi="Arial" w:cs="Arial"/>
          <w:sz w:val="24"/>
          <w:szCs w:val="24"/>
          <w:lang w:eastAsia="en-GB"/>
        </w:rPr>
        <w:t xml:space="preserve">the </w:t>
      </w:r>
      <w:r w:rsidR="00A42ABC">
        <w:rPr>
          <w:rFonts w:ascii="Arial" w:eastAsia="Times New Roman" w:hAnsi="Arial" w:cs="Arial"/>
          <w:sz w:val="24"/>
          <w:szCs w:val="24"/>
          <w:lang w:eastAsia="en-GB"/>
        </w:rPr>
        <w:t>economic, f</w:t>
      </w:r>
      <w:r w:rsidR="00F01F75">
        <w:rPr>
          <w:rFonts w:ascii="Arial" w:eastAsia="Times New Roman" w:hAnsi="Arial" w:cs="Arial"/>
          <w:sz w:val="24"/>
          <w:szCs w:val="24"/>
          <w:lang w:eastAsia="en-GB"/>
        </w:rPr>
        <w:t>unding</w:t>
      </w:r>
      <w:r w:rsidR="00A42ABC">
        <w:rPr>
          <w:rFonts w:ascii="Arial" w:eastAsia="Times New Roman" w:hAnsi="Arial" w:cs="Arial"/>
          <w:sz w:val="24"/>
          <w:szCs w:val="24"/>
          <w:lang w:eastAsia="en-GB"/>
        </w:rPr>
        <w:t xml:space="preserve">, or  </w:t>
      </w:r>
      <w:r w:rsidR="00F01F75">
        <w:rPr>
          <w:rFonts w:ascii="Arial" w:eastAsia="Times New Roman" w:hAnsi="Arial" w:cs="Arial"/>
          <w:sz w:val="24"/>
          <w:szCs w:val="24"/>
          <w:lang w:eastAsia="en-GB"/>
        </w:rPr>
        <w:t>statutory responsibilities</w:t>
      </w:r>
      <w:r w:rsidR="00F01F75" w:rsidRPr="00F01F75">
        <w:rPr>
          <w:rFonts w:ascii="Arial" w:eastAsia="Times New Roman" w:hAnsi="Arial" w:cs="Arial"/>
          <w:sz w:val="24"/>
          <w:szCs w:val="24"/>
          <w:lang w:eastAsia="en-GB"/>
        </w:rPr>
        <w:t xml:space="preserve"> </w:t>
      </w:r>
      <w:r w:rsidR="00F01F75">
        <w:rPr>
          <w:rFonts w:ascii="Arial" w:eastAsia="Times New Roman" w:hAnsi="Arial" w:cs="Arial"/>
          <w:sz w:val="24"/>
          <w:szCs w:val="24"/>
          <w:lang w:eastAsia="en-GB"/>
        </w:rPr>
        <w:t>systems</w:t>
      </w:r>
      <w:r w:rsidRPr="00BB3F98">
        <w:rPr>
          <w:rFonts w:ascii="Arial" w:eastAsia="Times New Roman" w:hAnsi="Arial" w:cs="Arial"/>
          <w:sz w:val="24"/>
          <w:szCs w:val="24"/>
          <w:lang w:eastAsia="en-GB"/>
        </w:rPr>
        <w:t xml:space="preserve">. </w:t>
      </w:r>
      <w:r>
        <w:rPr>
          <w:rFonts w:ascii="Arial" w:eastAsia="Times New Roman" w:hAnsi="Arial" w:cs="Arial"/>
          <w:sz w:val="24"/>
          <w:szCs w:val="24"/>
          <w:lang w:eastAsia="en-GB"/>
        </w:rPr>
        <w:t>A</w:t>
      </w:r>
      <w:r w:rsidRPr="00BA79BD">
        <w:rPr>
          <w:rFonts w:ascii="Arial" w:eastAsia="Times New Roman" w:hAnsi="Arial" w:cs="Arial"/>
          <w:sz w:val="24"/>
          <w:szCs w:val="24"/>
          <w:lang w:eastAsia="en-GB"/>
        </w:rPr>
        <w:t xml:space="preserve"> £70m gap in </w:t>
      </w:r>
      <w:r>
        <w:rPr>
          <w:rFonts w:ascii="Arial" w:eastAsia="Times New Roman" w:hAnsi="Arial" w:cs="Arial"/>
          <w:sz w:val="24"/>
          <w:szCs w:val="24"/>
          <w:lang w:eastAsia="en-GB"/>
        </w:rPr>
        <w:t xml:space="preserve">the </w:t>
      </w:r>
      <w:r w:rsidRPr="00BA79BD">
        <w:rPr>
          <w:rFonts w:ascii="Arial" w:eastAsia="Times New Roman" w:hAnsi="Arial" w:cs="Arial"/>
          <w:sz w:val="24"/>
          <w:szCs w:val="24"/>
          <w:lang w:eastAsia="en-GB"/>
        </w:rPr>
        <w:t>cap</w:t>
      </w:r>
      <w:r>
        <w:rPr>
          <w:rFonts w:ascii="Arial" w:eastAsia="Times New Roman" w:hAnsi="Arial" w:cs="Arial"/>
          <w:sz w:val="24"/>
          <w:szCs w:val="24"/>
          <w:lang w:eastAsia="en-GB"/>
        </w:rPr>
        <w:t xml:space="preserve">ital </w:t>
      </w:r>
      <w:r w:rsidRPr="00BA79BD">
        <w:rPr>
          <w:rFonts w:ascii="Arial" w:eastAsia="Times New Roman" w:hAnsi="Arial" w:cs="Arial"/>
          <w:sz w:val="24"/>
          <w:szCs w:val="24"/>
          <w:lang w:eastAsia="en-GB"/>
        </w:rPr>
        <w:t>prog</w:t>
      </w:r>
      <w:r>
        <w:rPr>
          <w:rFonts w:ascii="Arial" w:eastAsia="Times New Roman" w:hAnsi="Arial" w:cs="Arial"/>
          <w:sz w:val="24"/>
          <w:szCs w:val="24"/>
          <w:lang w:eastAsia="en-GB"/>
        </w:rPr>
        <w:t>ramme has been</w:t>
      </w:r>
      <w:r w:rsidRPr="00BA79BD">
        <w:rPr>
          <w:rFonts w:ascii="Arial" w:eastAsia="Times New Roman" w:hAnsi="Arial" w:cs="Arial"/>
          <w:sz w:val="24"/>
          <w:szCs w:val="24"/>
          <w:lang w:eastAsia="en-GB"/>
        </w:rPr>
        <w:t xml:space="preserve"> supplemented by borrowing based on reali</w:t>
      </w:r>
      <w:r>
        <w:rPr>
          <w:rFonts w:ascii="Arial" w:eastAsia="Times New Roman" w:hAnsi="Arial" w:cs="Arial"/>
          <w:sz w:val="24"/>
          <w:szCs w:val="24"/>
          <w:lang w:eastAsia="en-GB"/>
        </w:rPr>
        <w:t>sation of capital receipts.</w:t>
      </w:r>
      <w:r w:rsidRPr="00BA79BD">
        <w:rPr>
          <w:rFonts w:ascii="Arial" w:eastAsia="Times New Roman" w:hAnsi="Arial" w:cs="Arial"/>
          <w:sz w:val="24"/>
          <w:szCs w:val="24"/>
          <w:lang w:eastAsia="en-GB"/>
        </w:rPr>
        <w:t xml:space="preserve"> </w:t>
      </w:r>
      <w:r>
        <w:rPr>
          <w:rFonts w:ascii="Arial" w:eastAsia="Times New Roman" w:hAnsi="Arial" w:cs="Arial"/>
          <w:sz w:val="24"/>
          <w:szCs w:val="24"/>
          <w:lang w:eastAsia="en-GB"/>
        </w:rPr>
        <w:t>T</w:t>
      </w:r>
      <w:r w:rsidRPr="00BA79BD">
        <w:rPr>
          <w:rFonts w:ascii="Arial" w:eastAsia="Times New Roman" w:hAnsi="Arial" w:cs="Arial"/>
          <w:sz w:val="24"/>
          <w:szCs w:val="24"/>
          <w:lang w:eastAsia="en-GB"/>
        </w:rPr>
        <w:t xml:space="preserve">he market may no longer support the previous </w:t>
      </w:r>
      <w:r>
        <w:rPr>
          <w:rFonts w:ascii="Arial" w:eastAsia="Times New Roman" w:hAnsi="Arial" w:cs="Arial"/>
          <w:sz w:val="24"/>
          <w:szCs w:val="24"/>
          <w:lang w:eastAsia="en-GB"/>
        </w:rPr>
        <w:t>asset</w:t>
      </w:r>
      <w:r w:rsidRPr="00BA79BD">
        <w:rPr>
          <w:rFonts w:ascii="Arial" w:eastAsia="Times New Roman" w:hAnsi="Arial" w:cs="Arial"/>
          <w:sz w:val="24"/>
          <w:szCs w:val="24"/>
          <w:lang w:eastAsia="en-GB"/>
        </w:rPr>
        <w:t xml:space="preserve"> valuation</w:t>
      </w:r>
      <w:r>
        <w:rPr>
          <w:rFonts w:ascii="Arial" w:eastAsia="Times New Roman" w:hAnsi="Arial" w:cs="Arial"/>
          <w:sz w:val="24"/>
          <w:szCs w:val="24"/>
          <w:lang w:eastAsia="en-GB"/>
        </w:rPr>
        <w:t>s upon which capital receipts were forecast</w:t>
      </w:r>
      <w:r w:rsidRPr="00BB3F98">
        <w:rPr>
          <w:rFonts w:ascii="Arial" w:eastAsia="Times New Roman" w:hAnsi="Arial" w:cs="Arial"/>
          <w:sz w:val="24"/>
          <w:szCs w:val="24"/>
          <w:lang w:eastAsia="en-GB"/>
        </w:rPr>
        <w:t xml:space="preserve">. </w:t>
      </w:r>
    </w:p>
    <w:p w14:paraId="58FC0719" w14:textId="77777777" w:rsidR="00B8437C" w:rsidRPr="00D960D5" w:rsidRDefault="00B8437C" w:rsidP="00B8437C">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D960D5">
        <w:rPr>
          <w:rFonts w:ascii="Arial" w:eastAsia="Times New Roman" w:hAnsi="Arial" w:cs="Arial"/>
          <w:sz w:val="24"/>
          <w:szCs w:val="24"/>
          <w:lang w:eastAsia="en-GB"/>
        </w:rPr>
        <w:t>It is apparent that the level of capital funding allocation has become</w:t>
      </w:r>
      <w:r w:rsidR="00BF7C85">
        <w:rPr>
          <w:rFonts w:ascii="Arial" w:eastAsia="Times New Roman" w:hAnsi="Arial" w:cs="Arial"/>
          <w:sz w:val="24"/>
          <w:szCs w:val="24"/>
          <w:lang w:eastAsia="en-GB"/>
        </w:rPr>
        <w:t xml:space="preserve"> unsustainable, particularly</w:t>
      </w:r>
      <w:r w:rsidRPr="00D960D5">
        <w:rPr>
          <w:rFonts w:ascii="Arial" w:eastAsia="Times New Roman" w:hAnsi="Arial" w:cs="Arial"/>
          <w:sz w:val="24"/>
          <w:szCs w:val="24"/>
          <w:lang w:eastAsia="en-GB"/>
        </w:rPr>
        <w:t xml:space="preserve"> in view of the unfunded Covid-19 public health emergency demands on the Council, the impact of the emergency on Council own</w:t>
      </w:r>
      <w:r w:rsidR="00A32632">
        <w:rPr>
          <w:rFonts w:ascii="Arial" w:eastAsia="Times New Roman" w:hAnsi="Arial" w:cs="Arial"/>
          <w:sz w:val="24"/>
          <w:szCs w:val="24"/>
          <w:lang w:eastAsia="en-GB"/>
        </w:rPr>
        <w:t>ed companies, and the reversion</w:t>
      </w:r>
      <w:r w:rsidRPr="00D960D5">
        <w:rPr>
          <w:rFonts w:ascii="Arial" w:eastAsia="Times New Roman" w:hAnsi="Arial" w:cs="Arial"/>
          <w:sz w:val="24"/>
          <w:szCs w:val="24"/>
          <w:lang w:eastAsia="en-GB"/>
        </w:rPr>
        <w:t xml:space="preserve"> of the Broadmarsh Centre lease to the Council following the liquidation of Intu. As a </w:t>
      </w:r>
      <w:r w:rsidR="00EE7F03" w:rsidRPr="00D960D5">
        <w:rPr>
          <w:rFonts w:ascii="Arial" w:eastAsia="Times New Roman" w:hAnsi="Arial" w:cs="Arial"/>
          <w:sz w:val="24"/>
          <w:szCs w:val="24"/>
          <w:lang w:eastAsia="en-GB"/>
        </w:rPr>
        <w:t>result,</w:t>
      </w:r>
      <w:r w:rsidRPr="00D960D5">
        <w:rPr>
          <w:rFonts w:ascii="Arial" w:eastAsia="Times New Roman" w:hAnsi="Arial" w:cs="Arial"/>
          <w:sz w:val="24"/>
          <w:szCs w:val="24"/>
          <w:lang w:eastAsia="en-GB"/>
        </w:rPr>
        <w:t xml:space="preserve"> the Council is reviewing its Capital Programme</w:t>
      </w:r>
      <w:r w:rsidR="00F01F75">
        <w:rPr>
          <w:rFonts w:ascii="Arial" w:eastAsia="Times New Roman" w:hAnsi="Arial" w:cs="Arial"/>
          <w:sz w:val="24"/>
          <w:szCs w:val="24"/>
          <w:lang w:eastAsia="en-GB"/>
        </w:rPr>
        <w:t>, including proposed borrowing and use of reserves</w:t>
      </w:r>
      <w:r w:rsidRPr="00D960D5">
        <w:rPr>
          <w:rFonts w:ascii="Arial" w:eastAsia="Times New Roman" w:hAnsi="Arial" w:cs="Arial"/>
          <w:sz w:val="24"/>
          <w:szCs w:val="24"/>
          <w:lang w:eastAsia="en-GB"/>
        </w:rPr>
        <w:t>.</w:t>
      </w:r>
    </w:p>
    <w:p w14:paraId="57A94005" w14:textId="77777777" w:rsidR="00971C17" w:rsidRPr="00681829" w:rsidRDefault="00971C17" w:rsidP="00971C17">
      <w:pPr>
        <w:pStyle w:val="ListParagraph"/>
        <w:autoSpaceDE w:val="0"/>
        <w:autoSpaceDN w:val="0"/>
        <w:spacing w:after="120"/>
        <w:ind w:left="567"/>
        <w:jc w:val="both"/>
        <w:rPr>
          <w:rFonts w:ascii="Arial" w:hAnsi="Arial" w:cs="Arial"/>
          <w:b/>
          <w:bCs/>
          <w:sz w:val="24"/>
          <w:szCs w:val="24"/>
          <w:lang w:eastAsia="en-GB"/>
        </w:rPr>
      </w:pPr>
      <w:r w:rsidRPr="00681829">
        <w:rPr>
          <w:rFonts w:ascii="Arial" w:hAnsi="Arial" w:cs="Arial"/>
          <w:b/>
          <w:bCs/>
          <w:sz w:val="24"/>
          <w:szCs w:val="24"/>
          <w:lang w:eastAsia="en-GB"/>
        </w:rPr>
        <w:t>Broadmarsh shopping centre</w:t>
      </w:r>
    </w:p>
    <w:p w14:paraId="1309D5E9" w14:textId="5CCB533A" w:rsidR="00971C17" w:rsidRPr="00681829" w:rsidRDefault="00971C17" w:rsidP="00971C17">
      <w:pPr>
        <w:numPr>
          <w:ilvl w:val="1"/>
          <w:numId w:val="1"/>
        </w:numPr>
        <w:autoSpaceDE w:val="0"/>
        <w:autoSpaceDN w:val="0"/>
        <w:adjustRightInd w:val="0"/>
        <w:spacing w:after="120" w:line="240" w:lineRule="auto"/>
        <w:ind w:left="567" w:hanging="567"/>
        <w:jc w:val="both"/>
        <w:rPr>
          <w:rFonts w:ascii="Arial" w:hAnsi="Arial" w:cs="Arial"/>
          <w:sz w:val="24"/>
          <w:szCs w:val="24"/>
          <w:lang w:eastAsia="en-GB"/>
        </w:rPr>
      </w:pPr>
      <w:r w:rsidRPr="00681829">
        <w:rPr>
          <w:rFonts w:ascii="Arial" w:eastAsia="Times New Roman" w:hAnsi="Arial" w:cs="Arial"/>
          <w:sz w:val="24"/>
          <w:szCs w:val="24"/>
          <w:lang w:eastAsia="en-GB"/>
        </w:rPr>
        <w:t>Concerns</w:t>
      </w:r>
      <w:r w:rsidRPr="00681829">
        <w:rPr>
          <w:rFonts w:ascii="Arial" w:hAnsi="Arial" w:cs="Arial"/>
          <w:sz w:val="24"/>
          <w:szCs w:val="24"/>
          <w:lang w:eastAsia="en-GB"/>
        </w:rPr>
        <w:t xml:space="preserve"> regarding delivery of the Greater Broadmarsh Redevelopment on time and within budget were identified due to INTU financial pressures and a shortfall </w:t>
      </w:r>
      <w:r w:rsidRPr="00681829">
        <w:rPr>
          <w:rFonts w:ascii="Arial" w:hAnsi="Arial" w:cs="Arial"/>
          <w:sz w:val="24"/>
          <w:szCs w:val="24"/>
          <w:lang w:eastAsia="en-GB"/>
        </w:rPr>
        <w:lastRenderedPageBreak/>
        <w:t>in funding as a result of Council budget measures. Post balance sheet, this issue deteriorated as work stopped on the BMSC site due to Covid measures and INTU went into administration</w:t>
      </w:r>
      <w:r>
        <w:rPr>
          <w:rFonts w:ascii="Arial" w:hAnsi="Arial" w:cs="Arial"/>
          <w:sz w:val="24"/>
          <w:szCs w:val="24"/>
          <w:lang w:eastAsia="en-GB"/>
        </w:rPr>
        <w:t xml:space="preserve"> and its subsidiary relinquished the BMSC lease</w:t>
      </w:r>
      <w:r w:rsidRPr="00681829">
        <w:rPr>
          <w:rFonts w:ascii="Arial" w:hAnsi="Arial" w:cs="Arial"/>
          <w:sz w:val="24"/>
          <w:szCs w:val="24"/>
          <w:lang w:eastAsia="en-GB"/>
        </w:rPr>
        <w:t xml:space="preserve">. NCC now </w:t>
      </w:r>
      <w:r>
        <w:rPr>
          <w:rFonts w:ascii="Arial" w:hAnsi="Arial" w:cs="Arial"/>
          <w:sz w:val="24"/>
          <w:szCs w:val="24"/>
          <w:lang w:eastAsia="en-GB"/>
        </w:rPr>
        <w:t>has full control and responsibility for</w:t>
      </w:r>
      <w:r w:rsidRPr="00681829">
        <w:rPr>
          <w:rFonts w:ascii="Arial" w:hAnsi="Arial" w:cs="Arial"/>
          <w:sz w:val="24"/>
          <w:szCs w:val="24"/>
          <w:lang w:eastAsia="en-GB"/>
        </w:rPr>
        <w:t xml:space="preserve"> the site. The programme has had close management with regular updates taking place and a Programme Management and Framework approach </w:t>
      </w:r>
      <w:r w:rsidR="00F77EAE">
        <w:rPr>
          <w:rFonts w:ascii="Arial" w:hAnsi="Arial" w:cs="Arial"/>
          <w:sz w:val="24"/>
          <w:szCs w:val="24"/>
          <w:lang w:eastAsia="en-GB"/>
        </w:rPr>
        <w:t>has been</w:t>
      </w:r>
      <w:r w:rsidRPr="00681829">
        <w:rPr>
          <w:rFonts w:ascii="Arial" w:hAnsi="Arial" w:cs="Arial"/>
          <w:sz w:val="24"/>
          <w:szCs w:val="24"/>
          <w:lang w:eastAsia="en-GB"/>
        </w:rPr>
        <w:t xml:space="preserve"> developed around future vision and plans for Broadmarsh centre.</w:t>
      </w:r>
    </w:p>
    <w:p w14:paraId="7B601A2B" w14:textId="77777777" w:rsidR="00971C17" w:rsidRPr="00174080" w:rsidRDefault="00971C17" w:rsidP="00174080">
      <w:pPr>
        <w:pStyle w:val="ListParagraph"/>
        <w:keepNext/>
        <w:autoSpaceDE w:val="0"/>
        <w:autoSpaceDN w:val="0"/>
        <w:spacing w:after="120"/>
        <w:ind w:left="567"/>
        <w:jc w:val="both"/>
        <w:rPr>
          <w:rFonts w:ascii="Arial" w:hAnsi="Arial" w:cs="Arial"/>
          <w:b/>
          <w:bCs/>
          <w:sz w:val="24"/>
          <w:szCs w:val="24"/>
          <w:lang w:eastAsia="en-GB"/>
        </w:rPr>
      </w:pPr>
      <w:r w:rsidRPr="00174080">
        <w:rPr>
          <w:rFonts w:ascii="Arial" w:hAnsi="Arial" w:cs="Arial"/>
          <w:b/>
          <w:bCs/>
          <w:sz w:val="24"/>
          <w:szCs w:val="24"/>
          <w:lang w:eastAsia="en-GB"/>
        </w:rPr>
        <w:t>Energy and Waste Infrastructure</w:t>
      </w:r>
    </w:p>
    <w:p w14:paraId="30D8CB40" w14:textId="6458FBED" w:rsidR="00971C17" w:rsidRPr="00681829" w:rsidRDefault="00971C17" w:rsidP="00971C17">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681829">
        <w:rPr>
          <w:rFonts w:ascii="Arial" w:hAnsi="Arial" w:cs="Arial"/>
          <w:sz w:val="24"/>
          <w:szCs w:val="24"/>
          <w:lang w:eastAsia="en-GB"/>
        </w:rPr>
        <w:t xml:space="preserve">Energy and Waste Infrastructure is one of NCC’s </w:t>
      </w:r>
      <w:r>
        <w:rPr>
          <w:rFonts w:ascii="Arial" w:hAnsi="Arial" w:cs="Arial"/>
          <w:sz w:val="24"/>
          <w:szCs w:val="24"/>
          <w:lang w:eastAsia="en-GB"/>
        </w:rPr>
        <w:t xml:space="preserve">most </w:t>
      </w:r>
      <w:r w:rsidRPr="00681829">
        <w:rPr>
          <w:rFonts w:ascii="Arial" w:hAnsi="Arial" w:cs="Arial"/>
          <w:sz w:val="24"/>
          <w:szCs w:val="24"/>
          <w:lang w:eastAsia="en-GB"/>
        </w:rPr>
        <w:t xml:space="preserve">significant risks. It has the potential to limit many other capital investments. A significant capital investment is needed to replace the deteriorating district heating </w:t>
      </w:r>
      <w:r w:rsidRPr="00681829">
        <w:rPr>
          <w:rFonts w:ascii="Arial" w:eastAsia="Times New Roman" w:hAnsi="Arial" w:cs="Arial"/>
          <w:sz w:val="24"/>
          <w:szCs w:val="24"/>
          <w:lang w:eastAsia="en-GB"/>
        </w:rPr>
        <w:t>infrastructure</w:t>
      </w:r>
      <w:r w:rsidRPr="00681829">
        <w:rPr>
          <w:rFonts w:ascii="Arial" w:hAnsi="Arial" w:cs="Arial"/>
          <w:sz w:val="24"/>
          <w:szCs w:val="24"/>
          <w:lang w:eastAsia="en-GB"/>
        </w:rPr>
        <w:t xml:space="preserve"> including distribution network, power generation plant (Enviroenergy) and Energy-From-Waste (EFW) facility (Eastcroft incinerator). Ongoing maintenance programmes are in place and contractual parties have been engaged over the medium term for the management of the EFW facility. A </w:t>
      </w:r>
      <w:r w:rsidR="00EE7F03" w:rsidRPr="00681829">
        <w:rPr>
          <w:rFonts w:ascii="Arial" w:hAnsi="Arial" w:cs="Arial"/>
          <w:sz w:val="24"/>
          <w:szCs w:val="24"/>
          <w:lang w:eastAsia="en-GB"/>
        </w:rPr>
        <w:t>long-term</w:t>
      </w:r>
      <w:r w:rsidRPr="00681829">
        <w:rPr>
          <w:rFonts w:ascii="Arial" w:hAnsi="Arial" w:cs="Arial"/>
          <w:sz w:val="24"/>
          <w:szCs w:val="24"/>
          <w:lang w:eastAsia="en-GB"/>
        </w:rPr>
        <w:t xml:space="preserve"> strategy for energy &amp; waste infrastructure and long term district heating strategy </w:t>
      </w:r>
      <w:r w:rsidR="00C02C4E" w:rsidRPr="00044213">
        <w:rPr>
          <w:rFonts w:ascii="Arial" w:hAnsi="Arial" w:cs="Arial"/>
          <w:sz w:val="24"/>
          <w:szCs w:val="24"/>
          <w:lang w:eastAsia="en-GB"/>
        </w:rPr>
        <w:t xml:space="preserve">and affordability </w:t>
      </w:r>
      <w:r w:rsidRPr="00044213">
        <w:rPr>
          <w:rFonts w:ascii="Arial" w:hAnsi="Arial" w:cs="Arial"/>
          <w:sz w:val="24"/>
          <w:szCs w:val="24"/>
          <w:lang w:eastAsia="en-GB"/>
        </w:rPr>
        <w:t>for</w:t>
      </w:r>
      <w:r w:rsidRPr="00681829">
        <w:rPr>
          <w:rFonts w:ascii="Arial" w:hAnsi="Arial" w:cs="Arial"/>
          <w:sz w:val="24"/>
          <w:szCs w:val="24"/>
          <w:lang w:eastAsia="en-GB"/>
        </w:rPr>
        <w:t xml:space="preserve"> the city are being developed.</w:t>
      </w:r>
      <w:r w:rsidR="00F77EAE">
        <w:rPr>
          <w:rFonts w:ascii="Arial" w:hAnsi="Arial" w:cs="Arial"/>
          <w:sz w:val="24"/>
          <w:szCs w:val="24"/>
          <w:lang w:eastAsia="en-GB"/>
        </w:rPr>
        <w:t xml:space="preserve"> </w:t>
      </w:r>
      <w:r w:rsidR="00044213">
        <w:rPr>
          <w:rFonts w:ascii="Arial" w:hAnsi="Arial" w:cs="Arial"/>
          <w:sz w:val="24"/>
          <w:szCs w:val="24"/>
          <w:lang w:eastAsia="en-GB"/>
        </w:rPr>
        <w:t xml:space="preserve">An estimated </w:t>
      </w:r>
      <w:r w:rsidR="00F77EAE">
        <w:rPr>
          <w:rFonts w:ascii="Arial" w:hAnsi="Arial" w:cs="Arial"/>
          <w:sz w:val="24"/>
          <w:szCs w:val="24"/>
          <w:lang w:eastAsia="en-GB"/>
        </w:rPr>
        <w:t>£300m 30-year contract is being negotiated and this needs fully supporting by the council with expert professional advice.</w:t>
      </w:r>
    </w:p>
    <w:p w14:paraId="07FA11D2" w14:textId="77777777" w:rsidR="00D1637B" w:rsidRPr="00630B4D" w:rsidRDefault="00D1637B" w:rsidP="00D1637B">
      <w:pPr>
        <w:keepNext/>
        <w:keepLines/>
        <w:numPr>
          <w:ilvl w:val="0"/>
          <w:numId w:val="1"/>
        </w:numPr>
        <w:spacing w:before="240" w:after="0" w:line="240" w:lineRule="auto"/>
        <w:ind w:left="567" w:hanging="567"/>
        <w:outlineLvl w:val="0"/>
        <w:rPr>
          <w:rFonts w:ascii="Cambria" w:eastAsia="Times New Roman" w:hAnsi="Cambria" w:cs="Times New Roman"/>
          <w:b/>
          <w:bCs/>
          <w:color w:val="365F91"/>
          <w:sz w:val="28"/>
          <w:szCs w:val="28"/>
        </w:rPr>
      </w:pPr>
      <w:r w:rsidRPr="00630B4D">
        <w:rPr>
          <w:rFonts w:ascii="Cambria" w:eastAsia="Times New Roman" w:hAnsi="Cambria" w:cs="Times New Roman"/>
          <w:b/>
          <w:bCs/>
          <w:color w:val="365F91"/>
          <w:sz w:val="28"/>
          <w:szCs w:val="28"/>
        </w:rPr>
        <w:t>Issues Worth Noting and Actions Taken</w:t>
      </w:r>
    </w:p>
    <w:p w14:paraId="1F8A6847" w14:textId="77777777" w:rsidR="00D1637B" w:rsidRPr="00630B4D" w:rsidRDefault="00D1637B" w:rsidP="00D1637B">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630B4D">
        <w:rPr>
          <w:rFonts w:ascii="Arial" w:eastAsia="Times New Roman" w:hAnsi="Arial" w:cs="Arial"/>
          <w:sz w:val="24"/>
          <w:szCs w:val="24"/>
          <w:lang w:eastAsia="en-GB"/>
        </w:rPr>
        <w:t>Issues worthy of note are issues that are not categorised as significant but which require attention to ensure continuous improvement of the system of internal control. New or outstanding issues are as follows:</w:t>
      </w:r>
    </w:p>
    <w:p w14:paraId="1BCF2E1B" w14:textId="77777777" w:rsidR="00D1637B" w:rsidRPr="00630B4D" w:rsidRDefault="00D1637B" w:rsidP="00D1637B">
      <w:pPr>
        <w:keepNext/>
        <w:autoSpaceDE w:val="0"/>
        <w:autoSpaceDN w:val="0"/>
        <w:adjustRightInd w:val="0"/>
        <w:spacing w:after="120" w:line="240" w:lineRule="auto"/>
        <w:jc w:val="both"/>
        <w:rPr>
          <w:rFonts w:ascii="Calibri Light" w:eastAsia="Times New Roman" w:hAnsi="Calibri Light" w:cs="Times New Roman"/>
          <w:bCs/>
          <w:color w:val="5B9BD5"/>
          <w:sz w:val="26"/>
          <w:szCs w:val="26"/>
          <w:lang w:eastAsia="en-GB"/>
        </w:rPr>
      </w:pPr>
      <w:r w:rsidRPr="00630B4D">
        <w:rPr>
          <w:rFonts w:ascii="Calibri Light" w:eastAsia="Times New Roman" w:hAnsi="Calibri Light" w:cs="Times New Roman"/>
          <w:bCs/>
          <w:color w:val="5B9BD5"/>
          <w:sz w:val="26"/>
          <w:szCs w:val="26"/>
          <w:lang w:eastAsia="en-GB"/>
        </w:rPr>
        <w:t>EMSS</w:t>
      </w:r>
    </w:p>
    <w:p w14:paraId="76289221" w14:textId="77777777" w:rsidR="00D1637B" w:rsidRPr="00AC1825" w:rsidRDefault="00D1637B" w:rsidP="00D1637B">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AC1825">
        <w:rPr>
          <w:rFonts w:ascii="Arial" w:eastAsia="Times New Roman" w:hAnsi="Arial" w:cs="Arial"/>
          <w:sz w:val="24"/>
          <w:szCs w:val="24"/>
          <w:lang w:eastAsia="en-GB"/>
        </w:rPr>
        <w:t xml:space="preserve">The Partners (Nottingham City Council and Leicestershire County Council) created ‘East Midlands Shared Services’ (EMSS) to deliver back office services in 2011 and invested in Oracle e-business suite (EBS) as the enabling technology platform for both EMSS and the Partner’s retained corporate functions.  The Partners make use of a wholly </w:t>
      </w:r>
      <w:r>
        <w:rPr>
          <w:rFonts w:ascii="Arial" w:eastAsia="Times New Roman" w:hAnsi="Arial" w:cs="Arial"/>
          <w:sz w:val="24"/>
          <w:szCs w:val="24"/>
          <w:lang w:eastAsia="en-GB"/>
        </w:rPr>
        <w:t>owned shared service centre,</w:t>
      </w:r>
      <w:r w:rsidRPr="00AC1825">
        <w:rPr>
          <w:rFonts w:ascii="Arial" w:eastAsia="Times New Roman" w:hAnsi="Arial" w:cs="Arial"/>
          <w:sz w:val="24"/>
          <w:szCs w:val="24"/>
          <w:lang w:eastAsia="en-GB"/>
        </w:rPr>
        <w:t xml:space="preserve"> EMSS, which provides Finance, Procurement, HR and payroll services.  </w:t>
      </w:r>
    </w:p>
    <w:p w14:paraId="0D7AF168" w14:textId="77777777" w:rsidR="00D1637B" w:rsidRPr="00AC1825" w:rsidRDefault="00D1637B" w:rsidP="00D1637B">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BB216E">
        <w:rPr>
          <w:rFonts w:ascii="Arial" w:eastAsia="Times New Roman" w:hAnsi="Arial" w:cs="Arial"/>
          <w:sz w:val="24"/>
          <w:szCs w:val="24"/>
          <w:lang w:eastAsia="en-GB"/>
        </w:rPr>
        <w:t xml:space="preserve">The Council continues to work with </w:t>
      </w:r>
      <w:r>
        <w:rPr>
          <w:rFonts w:ascii="Arial" w:eastAsia="Times New Roman" w:hAnsi="Arial" w:cs="Arial"/>
          <w:sz w:val="24"/>
          <w:szCs w:val="24"/>
          <w:lang w:eastAsia="en-GB"/>
        </w:rPr>
        <w:t>EMSS</w:t>
      </w:r>
      <w:r w:rsidRPr="00BB216E">
        <w:rPr>
          <w:rFonts w:ascii="Arial" w:eastAsia="Times New Roman" w:hAnsi="Arial" w:cs="Arial"/>
          <w:sz w:val="24"/>
          <w:szCs w:val="24"/>
          <w:lang w:eastAsia="en-GB"/>
        </w:rPr>
        <w:t xml:space="preserve"> to identify system and process efficiencies</w:t>
      </w:r>
      <w:r w:rsidR="00990659">
        <w:rPr>
          <w:rFonts w:ascii="Arial" w:eastAsia="Times New Roman" w:hAnsi="Arial" w:cs="Arial"/>
          <w:sz w:val="24"/>
          <w:szCs w:val="24"/>
          <w:lang w:eastAsia="en-GB"/>
        </w:rPr>
        <w:t xml:space="preserve"> and the most effective service delivery model for both Councils</w:t>
      </w:r>
      <w:r w:rsidRPr="00BB216E">
        <w:rPr>
          <w:rFonts w:ascii="Arial" w:eastAsia="Times New Roman" w:hAnsi="Arial" w:cs="Arial"/>
          <w:sz w:val="24"/>
          <w:szCs w:val="24"/>
          <w:lang w:eastAsia="en-GB"/>
        </w:rPr>
        <w:t>.</w:t>
      </w:r>
      <w:r w:rsidRPr="00AC1825">
        <w:rPr>
          <w:rFonts w:ascii="Arial" w:eastAsia="Times New Roman" w:hAnsi="Arial" w:cs="Arial"/>
          <w:sz w:val="24"/>
          <w:szCs w:val="24"/>
          <w:lang w:eastAsia="en-GB"/>
        </w:rPr>
        <w:t xml:space="preserve"> </w:t>
      </w:r>
    </w:p>
    <w:p w14:paraId="408BC82C" w14:textId="77777777" w:rsidR="00D1637B" w:rsidRPr="00BB216E" w:rsidRDefault="00D1637B" w:rsidP="00D1637B">
      <w:pPr>
        <w:keepNext/>
        <w:autoSpaceDE w:val="0"/>
        <w:autoSpaceDN w:val="0"/>
        <w:adjustRightInd w:val="0"/>
        <w:spacing w:after="120" w:line="240" w:lineRule="auto"/>
        <w:jc w:val="both"/>
        <w:rPr>
          <w:rFonts w:ascii="Calibri Light" w:eastAsia="Times New Roman" w:hAnsi="Calibri Light" w:cs="Times New Roman"/>
          <w:bCs/>
          <w:color w:val="5B9BD5"/>
          <w:sz w:val="26"/>
          <w:szCs w:val="26"/>
          <w:lang w:eastAsia="en-GB"/>
        </w:rPr>
      </w:pPr>
      <w:r w:rsidRPr="00BB216E">
        <w:rPr>
          <w:rFonts w:ascii="Calibri Light" w:eastAsia="Times New Roman" w:hAnsi="Calibri Light" w:cs="Times New Roman"/>
          <w:bCs/>
          <w:color w:val="5B9BD5"/>
          <w:sz w:val="26"/>
          <w:szCs w:val="26"/>
          <w:lang w:eastAsia="en-GB"/>
        </w:rPr>
        <w:t xml:space="preserve">Fit for the Future </w:t>
      </w:r>
    </w:p>
    <w:p w14:paraId="4D8B0BF6" w14:textId="77777777" w:rsidR="00D1637B" w:rsidRPr="00084CAC" w:rsidRDefault="00D1637B" w:rsidP="00D1637B">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084CAC">
        <w:rPr>
          <w:rFonts w:ascii="Arial" w:eastAsia="Times New Roman" w:hAnsi="Arial" w:cs="Arial"/>
          <w:sz w:val="24"/>
          <w:szCs w:val="24"/>
          <w:lang w:eastAsia="en-GB"/>
        </w:rPr>
        <w:t>Currently Leicestershire County Council and Nottin</w:t>
      </w:r>
      <w:r>
        <w:rPr>
          <w:rFonts w:ascii="Arial" w:eastAsia="Times New Roman" w:hAnsi="Arial" w:cs="Arial"/>
          <w:sz w:val="24"/>
          <w:szCs w:val="24"/>
          <w:lang w:eastAsia="en-GB"/>
        </w:rPr>
        <w:t>gham City Council share an Oracl</w:t>
      </w:r>
      <w:r w:rsidRPr="00084CAC">
        <w:rPr>
          <w:rFonts w:ascii="Arial" w:eastAsia="Times New Roman" w:hAnsi="Arial" w:cs="Arial"/>
          <w:sz w:val="24"/>
          <w:szCs w:val="24"/>
          <w:lang w:eastAsia="en-GB"/>
        </w:rPr>
        <w:t>e e-business platform to support a range of functions.  These include procurement and payments to suppliers, billing and income from customers, financial budgeting and reporting, general ledger, HR processes, employee contract management, payroll and a range of statutory and business reporting capabilities.</w:t>
      </w:r>
    </w:p>
    <w:p w14:paraId="6A56BD3F" w14:textId="77777777" w:rsidR="00D1637B" w:rsidRPr="00084CAC" w:rsidRDefault="00D1637B" w:rsidP="00D1637B">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084CAC">
        <w:rPr>
          <w:rFonts w:ascii="Arial" w:eastAsia="Times New Roman" w:hAnsi="Arial" w:cs="Arial"/>
          <w:sz w:val="24"/>
          <w:szCs w:val="24"/>
          <w:lang w:eastAsia="en-GB"/>
        </w:rPr>
        <w:t>It is well recognised across both Councils and within EMSS that the current Oracle implementation has a number of deficiencies which, if addressed, would be likely to deliver efficiency and effectiveness benefits to the Councils. </w:t>
      </w:r>
      <w:r>
        <w:rPr>
          <w:rFonts w:ascii="Arial" w:eastAsia="Times New Roman" w:hAnsi="Arial" w:cs="Arial"/>
          <w:sz w:val="24"/>
          <w:szCs w:val="24"/>
          <w:lang w:eastAsia="en-GB"/>
        </w:rPr>
        <w:t xml:space="preserve"> A tender was concluded in 2017/</w:t>
      </w:r>
      <w:r w:rsidRPr="00084CAC">
        <w:rPr>
          <w:rFonts w:ascii="Arial" w:eastAsia="Times New Roman" w:hAnsi="Arial" w:cs="Arial"/>
          <w:sz w:val="24"/>
          <w:szCs w:val="24"/>
          <w:lang w:eastAsia="en-GB"/>
        </w:rPr>
        <w:t>18 to purchase the Oracle Cloud solutio</w:t>
      </w:r>
      <w:r>
        <w:rPr>
          <w:rFonts w:ascii="Arial" w:eastAsia="Times New Roman" w:hAnsi="Arial" w:cs="Arial"/>
          <w:sz w:val="24"/>
          <w:szCs w:val="24"/>
          <w:lang w:eastAsia="en-GB"/>
        </w:rPr>
        <w:t xml:space="preserve">n and it </w:t>
      </w:r>
      <w:r w:rsidRPr="00DB5925">
        <w:rPr>
          <w:rFonts w:ascii="Arial" w:eastAsia="Times New Roman" w:hAnsi="Arial" w:cs="Arial"/>
          <w:sz w:val="24"/>
          <w:szCs w:val="24"/>
          <w:lang w:eastAsia="en-GB"/>
        </w:rPr>
        <w:t>was</w:t>
      </w:r>
      <w:r>
        <w:rPr>
          <w:rFonts w:ascii="Arial" w:eastAsia="Times New Roman" w:hAnsi="Arial" w:cs="Arial"/>
          <w:sz w:val="24"/>
          <w:szCs w:val="24"/>
          <w:lang w:eastAsia="en-GB"/>
        </w:rPr>
        <w:t xml:space="preserve"> expected that the system would</w:t>
      </w:r>
      <w:r w:rsidRPr="00084CAC">
        <w:rPr>
          <w:rFonts w:ascii="Arial" w:eastAsia="Times New Roman" w:hAnsi="Arial" w:cs="Arial"/>
          <w:sz w:val="24"/>
          <w:szCs w:val="24"/>
          <w:lang w:eastAsia="en-GB"/>
        </w:rPr>
        <w:t xml:space="preserve"> be operational no later than April 2020.</w:t>
      </w:r>
    </w:p>
    <w:p w14:paraId="1CA714C6" w14:textId="77777777" w:rsidR="00D1637B" w:rsidRDefault="00D1637B" w:rsidP="00D1637B">
      <w:pPr>
        <w:numPr>
          <w:ilvl w:val="1"/>
          <w:numId w:val="1"/>
        </w:numPr>
        <w:autoSpaceDE w:val="0"/>
        <w:autoSpaceDN w:val="0"/>
        <w:adjustRightInd w:val="0"/>
        <w:spacing w:after="120" w:line="240" w:lineRule="auto"/>
        <w:ind w:left="567" w:hanging="567"/>
        <w:jc w:val="both"/>
        <w:rPr>
          <w:rFonts w:ascii="Arial" w:hAnsi="Arial" w:cs="Arial"/>
          <w:sz w:val="24"/>
          <w:szCs w:val="24"/>
        </w:rPr>
      </w:pPr>
      <w:r w:rsidRPr="00084CAC">
        <w:rPr>
          <w:rFonts w:ascii="Arial" w:eastAsia="Times New Roman" w:hAnsi="Arial" w:cs="Arial"/>
          <w:sz w:val="24"/>
          <w:szCs w:val="24"/>
          <w:lang w:eastAsia="en-GB"/>
        </w:rPr>
        <w:t xml:space="preserve">The </w:t>
      </w:r>
      <w:r>
        <w:rPr>
          <w:rFonts w:ascii="Arial" w:hAnsi="Arial" w:cs="Arial"/>
          <w:sz w:val="24"/>
          <w:szCs w:val="24"/>
        </w:rPr>
        <w:t>expected key benefits are:</w:t>
      </w:r>
    </w:p>
    <w:p w14:paraId="50D49F35" w14:textId="77777777" w:rsidR="00D1637B" w:rsidRPr="000F1639" w:rsidRDefault="00D1637B" w:rsidP="00D1637B">
      <w:pPr>
        <w:pStyle w:val="ListParagraph"/>
        <w:numPr>
          <w:ilvl w:val="0"/>
          <w:numId w:val="15"/>
        </w:numPr>
        <w:jc w:val="both"/>
        <w:rPr>
          <w:rFonts w:ascii="Arial" w:hAnsi="Arial" w:cs="Arial"/>
          <w:sz w:val="24"/>
          <w:szCs w:val="24"/>
        </w:rPr>
      </w:pPr>
      <w:r w:rsidRPr="000F1639">
        <w:rPr>
          <w:rFonts w:ascii="Arial" w:hAnsi="Arial" w:cs="Arial"/>
          <w:sz w:val="24"/>
          <w:szCs w:val="24"/>
        </w:rPr>
        <w:lastRenderedPageBreak/>
        <w:t>Be able to report from one single source of information, reliably, quickly and without manual intervention;</w:t>
      </w:r>
    </w:p>
    <w:p w14:paraId="07ECA5B3" w14:textId="77777777" w:rsidR="00D1637B" w:rsidRPr="000F1639" w:rsidRDefault="00D1637B" w:rsidP="00D1637B">
      <w:pPr>
        <w:pStyle w:val="ListParagraph"/>
        <w:numPr>
          <w:ilvl w:val="0"/>
          <w:numId w:val="15"/>
        </w:numPr>
        <w:jc w:val="both"/>
        <w:rPr>
          <w:rFonts w:ascii="Arial" w:hAnsi="Arial" w:cs="Arial"/>
          <w:sz w:val="24"/>
          <w:szCs w:val="24"/>
        </w:rPr>
      </w:pPr>
      <w:r w:rsidRPr="000F1639">
        <w:rPr>
          <w:rFonts w:ascii="Arial" w:hAnsi="Arial" w:cs="Arial"/>
          <w:sz w:val="24"/>
          <w:szCs w:val="24"/>
        </w:rPr>
        <w:t>Improve the user experience, reduce the need for manual, paper-based processes and enable managers to have greater visibility of their financial and workforce information on-line;</w:t>
      </w:r>
    </w:p>
    <w:p w14:paraId="1C9D77A8" w14:textId="77777777" w:rsidR="00D1637B" w:rsidRPr="000F1639" w:rsidRDefault="00D1637B" w:rsidP="00D1637B">
      <w:pPr>
        <w:pStyle w:val="ListParagraph"/>
        <w:numPr>
          <w:ilvl w:val="0"/>
          <w:numId w:val="15"/>
        </w:numPr>
        <w:jc w:val="both"/>
        <w:rPr>
          <w:rFonts w:ascii="Arial" w:hAnsi="Arial" w:cs="Arial"/>
          <w:sz w:val="24"/>
          <w:szCs w:val="24"/>
        </w:rPr>
      </w:pPr>
      <w:r w:rsidRPr="000F1639">
        <w:rPr>
          <w:rFonts w:ascii="Arial" w:hAnsi="Arial" w:cs="Arial"/>
          <w:sz w:val="24"/>
          <w:szCs w:val="24"/>
        </w:rPr>
        <w:t>Eliminate duplicate data processing;</w:t>
      </w:r>
    </w:p>
    <w:p w14:paraId="60042146" w14:textId="77777777" w:rsidR="00D1637B" w:rsidRPr="000F1639" w:rsidRDefault="00D1637B" w:rsidP="00D1637B">
      <w:pPr>
        <w:pStyle w:val="ListParagraph"/>
        <w:numPr>
          <w:ilvl w:val="0"/>
          <w:numId w:val="15"/>
        </w:numPr>
        <w:jc w:val="both"/>
        <w:rPr>
          <w:rFonts w:ascii="Arial" w:hAnsi="Arial" w:cs="Arial"/>
          <w:sz w:val="24"/>
          <w:szCs w:val="24"/>
        </w:rPr>
      </w:pPr>
      <w:r w:rsidRPr="000F1639">
        <w:rPr>
          <w:rFonts w:ascii="Arial" w:hAnsi="Arial" w:cs="Arial"/>
          <w:sz w:val="24"/>
          <w:szCs w:val="24"/>
        </w:rPr>
        <w:t>Be accessible and easy to use;</w:t>
      </w:r>
    </w:p>
    <w:p w14:paraId="197D71F1" w14:textId="77777777" w:rsidR="00D1637B" w:rsidRPr="000F1639" w:rsidRDefault="00D1637B" w:rsidP="00D1637B">
      <w:pPr>
        <w:pStyle w:val="ListParagraph"/>
        <w:numPr>
          <w:ilvl w:val="0"/>
          <w:numId w:val="15"/>
        </w:numPr>
        <w:jc w:val="both"/>
        <w:rPr>
          <w:rFonts w:ascii="Arial" w:hAnsi="Arial" w:cs="Arial"/>
          <w:sz w:val="24"/>
          <w:szCs w:val="24"/>
        </w:rPr>
      </w:pPr>
      <w:r w:rsidRPr="000F1639">
        <w:rPr>
          <w:rFonts w:ascii="Arial" w:hAnsi="Arial" w:cs="Arial"/>
          <w:sz w:val="24"/>
          <w:szCs w:val="24"/>
        </w:rPr>
        <w:t xml:space="preserve">Support a mobile and diverse workforce; </w:t>
      </w:r>
    </w:p>
    <w:p w14:paraId="7C88F986" w14:textId="77777777" w:rsidR="00D1637B" w:rsidRPr="000F1639" w:rsidRDefault="00D1637B" w:rsidP="00D1637B">
      <w:pPr>
        <w:pStyle w:val="ListParagraph"/>
        <w:numPr>
          <w:ilvl w:val="0"/>
          <w:numId w:val="15"/>
        </w:numPr>
        <w:jc w:val="both"/>
        <w:rPr>
          <w:rFonts w:ascii="Arial" w:hAnsi="Arial" w:cs="Arial"/>
          <w:sz w:val="24"/>
          <w:szCs w:val="24"/>
        </w:rPr>
      </w:pPr>
      <w:r w:rsidRPr="000F1639">
        <w:rPr>
          <w:rFonts w:ascii="Arial" w:hAnsi="Arial" w:cs="Arial"/>
          <w:sz w:val="24"/>
          <w:szCs w:val="24"/>
        </w:rPr>
        <w:t>Reduction in time to perform specific tasks and functions;</w:t>
      </w:r>
    </w:p>
    <w:p w14:paraId="2DD974C1" w14:textId="77777777" w:rsidR="00D1637B" w:rsidRPr="000F1639" w:rsidRDefault="00D1637B" w:rsidP="00D1637B">
      <w:pPr>
        <w:pStyle w:val="ListParagraph"/>
        <w:numPr>
          <w:ilvl w:val="0"/>
          <w:numId w:val="15"/>
        </w:numPr>
        <w:jc w:val="both"/>
        <w:rPr>
          <w:rFonts w:ascii="Arial" w:hAnsi="Arial" w:cs="Arial"/>
          <w:sz w:val="24"/>
          <w:szCs w:val="24"/>
        </w:rPr>
      </w:pPr>
      <w:r w:rsidRPr="000F1639">
        <w:rPr>
          <w:rFonts w:ascii="Arial" w:hAnsi="Arial" w:cs="Arial"/>
          <w:sz w:val="24"/>
          <w:szCs w:val="24"/>
        </w:rPr>
        <w:t>Reduction in external spend;</w:t>
      </w:r>
    </w:p>
    <w:p w14:paraId="0A60D952" w14:textId="77777777" w:rsidR="00D1637B" w:rsidRPr="000F1639" w:rsidRDefault="00D1637B" w:rsidP="00D1637B">
      <w:pPr>
        <w:pStyle w:val="ListParagraph"/>
        <w:numPr>
          <w:ilvl w:val="0"/>
          <w:numId w:val="15"/>
        </w:numPr>
        <w:jc w:val="both"/>
        <w:rPr>
          <w:rFonts w:ascii="Arial" w:hAnsi="Arial" w:cs="Arial"/>
          <w:sz w:val="24"/>
          <w:szCs w:val="24"/>
        </w:rPr>
      </w:pPr>
      <w:r w:rsidRPr="000F1639">
        <w:rPr>
          <w:rFonts w:ascii="Arial" w:hAnsi="Arial" w:cs="Arial"/>
          <w:sz w:val="24"/>
          <w:szCs w:val="24"/>
        </w:rPr>
        <w:t>Reduction in the total cost of ownership (TCO) of the IT estate;</w:t>
      </w:r>
    </w:p>
    <w:p w14:paraId="407DE406" w14:textId="77777777" w:rsidR="00D1637B" w:rsidRPr="000F1639" w:rsidRDefault="00D1637B" w:rsidP="00D1637B">
      <w:pPr>
        <w:pStyle w:val="ListParagraph"/>
        <w:numPr>
          <w:ilvl w:val="0"/>
          <w:numId w:val="15"/>
        </w:numPr>
        <w:jc w:val="both"/>
        <w:rPr>
          <w:rFonts w:ascii="Arial" w:hAnsi="Arial" w:cs="Arial"/>
          <w:sz w:val="24"/>
          <w:szCs w:val="24"/>
        </w:rPr>
      </w:pPr>
      <w:r w:rsidRPr="000F1639">
        <w:rPr>
          <w:rFonts w:ascii="Arial" w:hAnsi="Arial" w:cs="Arial"/>
          <w:sz w:val="24"/>
          <w:szCs w:val="24"/>
        </w:rPr>
        <w:t>An improvement in management information; and,</w:t>
      </w:r>
    </w:p>
    <w:p w14:paraId="38A18DBA" w14:textId="77777777" w:rsidR="00D1637B" w:rsidRPr="000F1639" w:rsidRDefault="00D1637B" w:rsidP="00D1637B">
      <w:pPr>
        <w:pStyle w:val="ListParagraph"/>
        <w:numPr>
          <w:ilvl w:val="0"/>
          <w:numId w:val="15"/>
        </w:numPr>
        <w:jc w:val="both"/>
        <w:rPr>
          <w:rFonts w:ascii="Arial" w:hAnsi="Arial" w:cs="Arial"/>
          <w:sz w:val="24"/>
          <w:szCs w:val="24"/>
        </w:rPr>
      </w:pPr>
      <w:r w:rsidRPr="000F1639">
        <w:rPr>
          <w:rFonts w:ascii="Arial" w:hAnsi="Arial" w:cs="Arial"/>
          <w:sz w:val="24"/>
          <w:szCs w:val="24"/>
        </w:rPr>
        <w:t>A reduction in the risk of loss, error or fraud.</w:t>
      </w:r>
    </w:p>
    <w:p w14:paraId="28C6E05A" w14:textId="77777777" w:rsidR="00D1637B" w:rsidRPr="00DB5925" w:rsidRDefault="00D1637B" w:rsidP="00D1637B">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DB5925">
        <w:rPr>
          <w:rFonts w:ascii="Arial" w:eastAsia="Times New Roman" w:hAnsi="Arial" w:cs="Arial"/>
          <w:sz w:val="24"/>
          <w:szCs w:val="24"/>
          <w:lang w:eastAsia="en-GB"/>
        </w:rPr>
        <w:t xml:space="preserve">During 2019-20 the Partners undertook preparations to upgrade the system. These preparations were paused near to implementation date due to the Covid-19 emergency. Nottingham City Council’s migration to the new platform is now proposed to take place in </w:t>
      </w:r>
      <w:r w:rsidR="00BF7C85">
        <w:rPr>
          <w:rFonts w:ascii="Arial" w:eastAsia="Times New Roman" w:hAnsi="Arial" w:cs="Arial"/>
          <w:sz w:val="24"/>
          <w:szCs w:val="24"/>
          <w:lang w:eastAsia="en-GB"/>
        </w:rPr>
        <w:t xml:space="preserve">April </w:t>
      </w:r>
      <w:r w:rsidRPr="00DB5925">
        <w:rPr>
          <w:rFonts w:ascii="Arial" w:eastAsia="Times New Roman" w:hAnsi="Arial" w:cs="Arial"/>
          <w:sz w:val="24"/>
          <w:szCs w:val="24"/>
          <w:lang w:eastAsia="en-GB"/>
        </w:rPr>
        <w:t>2021</w:t>
      </w:r>
      <w:r>
        <w:rPr>
          <w:rFonts w:ascii="Arial" w:eastAsia="Times New Roman" w:hAnsi="Arial" w:cs="Arial"/>
          <w:sz w:val="24"/>
          <w:szCs w:val="24"/>
          <w:lang w:eastAsia="en-GB"/>
        </w:rPr>
        <w:t>, however this will result in additional costs</w:t>
      </w:r>
      <w:r w:rsidRPr="00DB5925">
        <w:rPr>
          <w:rFonts w:ascii="Arial" w:eastAsia="Times New Roman" w:hAnsi="Arial" w:cs="Arial"/>
          <w:sz w:val="24"/>
          <w:szCs w:val="24"/>
          <w:lang w:eastAsia="en-GB"/>
        </w:rPr>
        <w:t xml:space="preserve">. </w:t>
      </w:r>
    </w:p>
    <w:p w14:paraId="7099B6FB" w14:textId="77777777" w:rsidR="00D1637B" w:rsidRPr="00DB5925" w:rsidRDefault="00D1637B" w:rsidP="00D1637B">
      <w:pPr>
        <w:autoSpaceDE w:val="0"/>
        <w:autoSpaceDN w:val="0"/>
        <w:adjustRightInd w:val="0"/>
        <w:spacing w:after="120" w:line="240" w:lineRule="auto"/>
        <w:jc w:val="both"/>
        <w:rPr>
          <w:rFonts w:ascii="Calibri Light" w:eastAsia="Times New Roman" w:hAnsi="Calibri Light" w:cs="Times New Roman"/>
          <w:bCs/>
          <w:color w:val="5B9BD5"/>
          <w:sz w:val="26"/>
          <w:szCs w:val="26"/>
          <w:lang w:eastAsia="en-GB"/>
        </w:rPr>
      </w:pPr>
      <w:r w:rsidRPr="00DB5925">
        <w:rPr>
          <w:rFonts w:ascii="Calibri Light" w:eastAsia="Times New Roman" w:hAnsi="Calibri Light" w:cs="Times New Roman"/>
          <w:bCs/>
          <w:color w:val="5B9BD5"/>
          <w:sz w:val="26"/>
          <w:szCs w:val="26"/>
          <w:lang w:eastAsia="en-GB"/>
        </w:rPr>
        <w:t>Central Government Review of Local Government Funding and Balancing the Councils Budget</w:t>
      </w:r>
    </w:p>
    <w:p w14:paraId="540DB6AA" w14:textId="77777777" w:rsidR="00D1637B" w:rsidRPr="0044160B" w:rsidRDefault="0044160B" w:rsidP="0044160B">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44160B">
        <w:rPr>
          <w:rFonts w:ascii="Arial" w:eastAsia="Times New Roman" w:hAnsi="Arial" w:cs="Arial"/>
          <w:sz w:val="24"/>
          <w:szCs w:val="24"/>
          <w:lang w:eastAsia="en-GB"/>
        </w:rPr>
        <w:t xml:space="preserve">There is no </w:t>
      </w:r>
      <w:r w:rsidR="00F01F75" w:rsidRPr="00F01F75">
        <w:rPr>
          <w:rFonts w:ascii="Arial" w:eastAsia="Times New Roman" w:hAnsi="Arial" w:cs="Arial"/>
          <w:sz w:val="24"/>
          <w:szCs w:val="24"/>
          <w:lang w:eastAsia="en-GB"/>
        </w:rPr>
        <w:t>direct correlation</w:t>
      </w:r>
      <w:r w:rsidRPr="0044160B">
        <w:rPr>
          <w:rFonts w:ascii="Arial" w:eastAsia="Times New Roman" w:hAnsi="Arial" w:cs="Arial"/>
          <w:sz w:val="24"/>
          <w:szCs w:val="24"/>
          <w:lang w:eastAsia="en-GB"/>
        </w:rPr>
        <w:t xml:space="preserve"> between the statutory duties </w:t>
      </w:r>
      <w:r w:rsidR="00F01F75">
        <w:rPr>
          <w:rFonts w:ascii="Arial" w:eastAsia="Times New Roman" w:hAnsi="Arial" w:cs="Arial"/>
          <w:sz w:val="24"/>
          <w:szCs w:val="24"/>
          <w:lang w:eastAsia="en-GB"/>
        </w:rPr>
        <w:t>required of</w:t>
      </w:r>
      <w:r w:rsidRPr="0044160B">
        <w:rPr>
          <w:rFonts w:ascii="Arial" w:eastAsia="Times New Roman" w:hAnsi="Arial" w:cs="Arial"/>
          <w:sz w:val="24"/>
          <w:szCs w:val="24"/>
          <w:lang w:eastAsia="en-GB"/>
        </w:rPr>
        <w:t xml:space="preserve"> local authorities and the </w:t>
      </w:r>
      <w:r w:rsidR="00F01F75">
        <w:rPr>
          <w:rFonts w:ascii="Arial" w:eastAsia="Times New Roman" w:hAnsi="Arial" w:cs="Arial"/>
          <w:sz w:val="24"/>
          <w:szCs w:val="24"/>
          <w:lang w:eastAsia="en-GB"/>
        </w:rPr>
        <w:t xml:space="preserve">level of </w:t>
      </w:r>
      <w:r w:rsidRPr="0044160B">
        <w:rPr>
          <w:rFonts w:ascii="Arial" w:eastAsia="Times New Roman" w:hAnsi="Arial" w:cs="Arial"/>
          <w:sz w:val="24"/>
          <w:szCs w:val="24"/>
          <w:lang w:eastAsia="en-GB"/>
        </w:rPr>
        <w:t xml:space="preserve">funding </w:t>
      </w:r>
      <w:r w:rsidR="00F01F75">
        <w:rPr>
          <w:rFonts w:ascii="Arial" w:eastAsia="Times New Roman" w:hAnsi="Arial" w:cs="Arial"/>
          <w:sz w:val="24"/>
          <w:szCs w:val="24"/>
          <w:lang w:eastAsia="en-GB"/>
        </w:rPr>
        <w:t>provided</w:t>
      </w:r>
      <w:r w:rsidRPr="0044160B">
        <w:rPr>
          <w:rFonts w:ascii="Arial" w:eastAsia="Times New Roman" w:hAnsi="Arial" w:cs="Arial"/>
          <w:sz w:val="24"/>
          <w:szCs w:val="24"/>
          <w:lang w:eastAsia="en-GB"/>
        </w:rPr>
        <w:t xml:space="preserve"> by the Government to enable them to carry out their duties. </w:t>
      </w:r>
      <w:r w:rsidR="0069742F" w:rsidRPr="0044160B">
        <w:rPr>
          <w:rFonts w:ascii="Arial" w:eastAsia="Times New Roman" w:hAnsi="Arial" w:cs="Arial"/>
          <w:sz w:val="24"/>
          <w:szCs w:val="24"/>
          <w:lang w:eastAsia="en-GB"/>
        </w:rPr>
        <w:t xml:space="preserve">The Government consulted on Fair Funding </w:t>
      </w:r>
      <w:r>
        <w:rPr>
          <w:rFonts w:ascii="Arial" w:eastAsia="Times New Roman" w:hAnsi="Arial" w:cs="Arial"/>
          <w:sz w:val="24"/>
          <w:szCs w:val="24"/>
          <w:lang w:eastAsia="en-GB"/>
        </w:rPr>
        <w:t>during</w:t>
      </w:r>
      <w:r w:rsidR="0069742F" w:rsidRPr="0044160B">
        <w:rPr>
          <w:rFonts w:ascii="Arial" w:eastAsia="Times New Roman" w:hAnsi="Arial" w:cs="Arial"/>
          <w:sz w:val="24"/>
          <w:szCs w:val="24"/>
          <w:lang w:eastAsia="en-GB"/>
        </w:rPr>
        <w:t xml:space="preserve"> 2016</w:t>
      </w:r>
      <w:r>
        <w:rPr>
          <w:rFonts w:ascii="Arial" w:eastAsia="Times New Roman" w:hAnsi="Arial" w:cs="Arial"/>
          <w:sz w:val="24"/>
          <w:szCs w:val="24"/>
          <w:lang w:eastAsia="en-GB"/>
        </w:rPr>
        <w:t>-</w:t>
      </w:r>
      <w:r w:rsidR="0069742F" w:rsidRPr="0044160B">
        <w:rPr>
          <w:rFonts w:ascii="Arial" w:eastAsia="Times New Roman" w:hAnsi="Arial" w:cs="Arial"/>
          <w:sz w:val="24"/>
          <w:szCs w:val="24"/>
          <w:lang w:eastAsia="en-GB"/>
        </w:rPr>
        <w:t xml:space="preserve">18. The </w:t>
      </w:r>
      <w:r w:rsidR="0069742F" w:rsidRPr="0044160B">
        <w:rPr>
          <w:rFonts w:ascii="Arial" w:hAnsi="Arial" w:cs="Arial"/>
          <w:sz w:val="24"/>
          <w:szCs w:val="24"/>
        </w:rPr>
        <w:t>Review</w:t>
      </w:r>
      <w:r w:rsidR="0069742F" w:rsidRPr="0044160B">
        <w:rPr>
          <w:rFonts w:ascii="Arial" w:eastAsia="Times New Roman" w:hAnsi="Arial" w:cs="Arial"/>
          <w:sz w:val="24"/>
          <w:szCs w:val="24"/>
          <w:lang w:eastAsia="en-GB"/>
        </w:rPr>
        <w:t xml:space="preserve"> was to have been implemented from 2020-21, but in September 2019 it was postponed by a year. Then, the Government postponed the implementation of the Fair Funding Review again in April 2020 due to the coronavirus pandemic.</w:t>
      </w:r>
    </w:p>
    <w:p w14:paraId="2D257EC9" w14:textId="77777777" w:rsidR="00D1637B" w:rsidRPr="00830641" w:rsidRDefault="00D1637B" w:rsidP="00D1637B">
      <w:pPr>
        <w:numPr>
          <w:ilvl w:val="1"/>
          <w:numId w:val="1"/>
        </w:numPr>
        <w:autoSpaceDE w:val="0"/>
        <w:autoSpaceDN w:val="0"/>
        <w:adjustRightInd w:val="0"/>
        <w:spacing w:after="120" w:line="240" w:lineRule="auto"/>
        <w:ind w:left="567" w:hanging="567"/>
        <w:jc w:val="both"/>
        <w:rPr>
          <w:rFonts w:ascii="Arial" w:hAnsi="Arial" w:cs="Arial"/>
          <w:sz w:val="24"/>
          <w:szCs w:val="24"/>
        </w:rPr>
      </w:pPr>
      <w:r w:rsidRPr="00F67748">
        <w:rPr>
          <w:rFonts w:ascii="Arial" w:eastAsia="Times New Roman" w:hAnsi="Arial" w:cs="Arial"/>
          <w:sz w:val="24"/>
          <w:szCs w:val="24"/>
          <w:lang w:eastAsia="en-GB"/>
        </w:rPr>
        <w:t xml:space="preserve">The </w:t>
      </w:r>
      <w:r w:rsidRPr="00830641">
        <w:rPr>
          <w:rFonts w:ascii="Arial" w:hAnsi="Arial" w:cs="Arial"/>
          <w:sz w:val="24"/>
          <w:szCs w:val="24"/>
        </w:rPr>
        <w:t>Council, in line with all other local authorities across the country</w:t>
      </w:r>
      <w:r>
        <w:rPr>
          <w:rFonts w:ascii="Arial" w:hAnsi="Arial" w:cs="Arial"/>
          <w:sz w:val="24"/>
          <w:szCs w:val="24"/>
        </w:rPr>
        <w:t>,</w:t>
      </w:r>
      <w:r w:rsidRPr="00830641">
        <w:rPr>
          <w:rFonts w:ascii="Arial" w:hAnsi="Arial" w:cs="Arial"/>
          <w:sz w:val="24"/>
          <w:szCs w:val="24"/>
        </w:rPr>
        <w:t xml:space="preserve"> is continuing to operate in a </w:t>
      </w:r>
      <w:r w:rsidR="008026A1">
        <w:rPr>
          <w:rFonts w:ascii="Arial" w:hAnsi="Arial" w:cs="Arial"/>
          <w:sz w:val="24"/>
          <w:szCs w:val="24"/>
        </w:rPr>
        <w:t xml:space="preserve">very </w:t>
      </w:r>
      <w:r w:rsidRPr="00830641">
        <w:rPr>
          <w:rFonts w:ascii="Arial" w:hAnsi="Arial" w:cs="Arial"/>
          <w:sz w:val="24"/>
          <w:szCs w:val="24"/>
        </w:rPr>
        <w:t>challenging financial environment of reduced levels of Government funding with the full consequences of Brexit</w:t>
      </w:r>
      <w:r w:rsidR="00BF7C85">
        <w:rPr>
          <w:rFonts w:ascii="Arial" w:hAnsi="Arial" w:cs="Arial"/>
          <w:sz w:val="24"/>
          <w:szCs w:val="24"/>
        </w:rPr>
        <w:t xml:space="preserve"> </w:t>
      </w:r>
      <w:r w:rsidR="00BF7C85" w:rsidRPr="00A32632">
        <w:rPr>
          <w:rFonts w:ascii="Arial" w:hAnsi="Arial" w:cs="Arial"/>
          <w:sz w:val="24"/>
          <w:szCs w:val="24"/>
        </w:rPr>
        <w:t>and the pandemic</w:t>
      </w:r>
      <w:r w:rsidR="00A32632">
        <w:rPr>
          <w:rFonts w:ascii="Arial" w:hAnsi="Arial" w:cs="Arial"/>
          <w:sz w:val="24"/>
          <w:szCs w:val="24"/>
        </w:rPr>
        <w:t xml:space="preserve"> as</w:t>
      </w:r>
      <w:r w:rsidRPr="00830641">
        <w:rPr>
          <w:rFonts w:ascii="Arial" w:hAnsi="Arial" w:cs="Arial"/>
          <w:sz w:val="24"/>
          <w:szCs w:val="24"/>
        </w:rPr>
        <w:t xml:space="preserve"> yet unknown. In </w:t>
      </w:r>
      <w:r w:rsidR="00681829">
        <w:rPr>
          <w:rFonts w:ascii="Arial" w:hAnsi="Arial" w:cs="Arial"/>
          <w:sz w:val="24"/>
          <w:szCs w:val="24"/>
        </w:rPr>
        <w:t>previous budgets</w:t>
      </w:r>
      <w:r w:rsidRPr="00830641">
        <w:rPr>
          <w:rFonts w:ascii="Arial" w:hAnsi="Arial" w:cs="Arial"/>
          <w:sz w:val="24"/>
          <w:szCs w:val="24"/>
        </w:rPr>
        <w:t xml:space="preserve"> there were no significant measures to address the rising demand and funding gaps for Adult Social Care and Children’s Services.</w:t>
      </w:r>
    </w:p>
    <w:p w14:paraId="127DB57F" w14:textId="77777777" w:rsidR="00D1637B" w:rsidRPr="00830641" w:rsidRDefault="00D1637B" w:rsidP="00D1637B">
      <w:pPr>
        <w:numPr>
          <w:ilvl w:val="1"/>
          <w:numId w:val="1"/>
        </w:numPr>
        <w:autoSpaceDE w:val="0"/>
        <w:autoSpaceDN w:val="0"/>
        <w:adjustRightInd w:val="0"/>
        <w:spacing w:after="120" w:line="240" w:lineRule="auto"/>
        <w:ind w:left="567" w:hanging="567"/>
        <w:jc w:val="both"/>
        <w:rPr>
          <w:rFonts w:ascii="Arial" w:hAnsi="Arial" w:cs="Arial"/>
          <w:sz w:val="24"/>
          <w:szCs w:val="24"/>
        </w:rPr>
      </w:pPr>
      <w:r w:rsidRPr="00830641">
        <w:rPr>
          <w:rFonts w:ascii="Arial" w:hAnsi="Arial" w:cs="Arial"/>
          <w:sz w:val="24"/>
          <w:szCs w:val="24"/>
        </w:rPr>
        <w:t>Revenue Support Grant (RSG) as a proportion of the Council’s total revenue funding has been significantly r</w:t>
      </w:r>
      <w:r w:rsidR="00E8156C">
        <w:rPr>
          <w:rFonts w:ascii="Arial" w:hAnsi="Arial" w:cs="Arial"/>
          <w:sz w:val="24"/>
          <w:szCs w:val="24"/>
        </w:rPr>
        <w:t>educed</w:t>
      </w:r>
      <w:r w:rsidRPr="00830641">
        <w:rPr>
          <w:rFonts w:ascii="Arial" w:hAnsi="Arial" w:cs="Arial"/>
          <w:sz w:val="24"/>
          <w:szCs w:val="24"/>
        </w:rPr>
        <w:t xml:space="preserve">. The RSG </w:t>
      </w:r>
      <w:r>
        <w:rPr>
          <w:rFonts w:ascii="Arial" w:hAnsi="Arial" w:cs="Arial"/>
          <w:sz w:val="24"/>
          <w:szCs w:val="24"/>
        </w:rPr>
        <w:t>wa</w:t>
      </w:r>
      <w:r w:rsidRPr="00830641">
        <w:rPr>
          <w:rFonts w:ascii="Arial" w:hAnsi="Arial" w:cs="Arial"/>
          <w:sz w:val="24"/>
          <w:szCs w:val="24"/>
        </w:rPr>
        <w:t>s profiled to fall from £126.8m in 2013/14 to £25.</w:t>
      </w:r>
      <w:r w:rsidR="00E8156C">
        <w:rPr>
          <w:rFonts w:ascii="Arial" w:hAnsi="Arial" w:cs="Arial"/>
          <w:sz w:val="24"/>
          <w:szCs w:val="24"/>
        </w:rPr>
        <w:t>7</w:t>
      </w:r>
      <w:r w:rsidRPr="00830641">
        <w:rPr>
          <w:rFonts w:ascii="Arial" w:hAnsi="Arial" w:cs="Arial"/>
          <w:sz w:val="24"/>
          <w:szCs w:val="24"/>
        </w:rPr>
        <w:t>m in 20</w:t>
      </w:r>
      <w:r w:rsidR="00E8156C">
        <w:rPr>
          <w:rFonts w:ascii="Arial" w:hAnsi="Arial" w:cs="Arial"/>
          <w:sz w:val="24"/>
          <w:szCs w:val="24"/>
        </w:rPr>
        <w:t>20/21</w:t>
      </w:r>
      <w:r w:rsidRPr="00830641">
        <w:rPr>
          <w:rFonts w:ascii="Arial" w:hAnsi="Arial" w:cs="Arial"/>
          <w:sz w:val="24"/>
          <w:szCs w:val="24"/>
        </w:rPr>
        <w:t>.</w:t>
      </w:r>
    </w:p>
    <w:p w14:paraId="7BA87FC2" w14:textId="77777777" w:rsidR="00D1637B" w:rsidRPr="00830641" w:rsidRDefault="00D1637B" w:rsidP="00D1637B">
      <w:pPr>
        <w:numPr>
          <w:ilvl w:val="1"/>
          <w:numId w:val="1"/>
        </w:numPr>
        <w:autoSpaceDE w:val="0"/>
        <w:autoSpaceDN w:val="0"/>
        <w:adjustRightInd w:val="0"/>
        <w:spacing w:after="120" w:line="240" w:lineRule="auto"/>
        <w:ind w:left="567" w:hanging="567"/>
        <w:jc w:val="both"/>
        <w:rPr>
          <w:rFonts w:ascii="Arial" w:hAnsi="Arial" w:cs="Arial"/>
          <w:sz w:val="24"/>
          <w:szCs w:val="24"/>
        </w:rPr>
      </w:pPr>
      <w:r w:rsidRPr="00830641">
        <w:rPr>
          <w:rFonts w:ascii="Arial" w:hAnsi="Arial" w:cs="Arial"/>
          <w:sz w:val="24"/>
          <w:szCs w:val="24"/>
        </w:rPr>
        <w:t>Alongside this reduction in grant income, Nottingham has seen increased demand for a number of services, primarily Adult Social Care and Children in Care. These increasing care pressures and continuing funding cuts will have a significant impact on the Council’s ability to fund other local services. It is expected that this continuing trend will mean that local taxpayers will increasingly fund local services as Government funding continues to fall.</w:t>
      </w:r>
      <w:r w:rsidR="007E15F1">
        <w:rPr>
          <w:rFonts w:ascii="Arial" w:hAnsi="Arial" w:cs="Arial"/>
          <w:sz w:val="24"/>
          <w:szCs w:val="24"/>
        </w:rPr>
        <w:t xml:space="preserve"> The Council continues to monitor the impacts on demand due to Covid-19.</w:t>
      </w:r>
    </w:p>
    <w:p w14:paraId="0A3A1F47" w14:textId="77777777" w:rsidR="00D1637B" w:rsidRPr="00F67748" w:rsidRDefault="00D1637B" w:rsidP="00D1637B">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830641">
        <w:rPr>
          <w:rFonts w:ascii="Arial" w:hAnsi="Arial" w:cs="Arial"/>
          <w:sz w:val="24"/>
          <w:szCs w:val="24"/>
        </w:rPr>
        <w:lastRenderedPageBreak/>
        <w:t>In order to respond to the funding cuts and manage the increasing pressures</w:t>
      </w:r>
      <w:r w:rsidRPr="00F67748">
        <w:rPr>
          <w:rFonts w:ascii="Arial" w:eastAsia="Times New Roman" w:hAnsi="Arial" w:cs="Arial"/>
          <w:sz w:val="24"/>
          <w:szCs w:val="24"/>
          <w:lang w:eastAsia="en-GB"/>
        </w:rPr>
        <w:t xml:space="preserve"> the construction of the Medium Term Financial Plan (MTFP) </w:t>
      </w:r>
      <w:r w:rsidR="00E8156C">
        <w:rPr>
          <w:rFonts w:ascii="Arial" w:eastAsia="Times New Roman" w:hAnsi="Arial" w:cs="Arial"/>
          <w:sz w:val="24"/>
          <w:szCs w:val="24"/>
          <w:lang w:eastAsia="en-GB"/>
        </w:rPr>
        <w:t xml:space="preserve">has been </w:t>
      </w:r>
      <w:r w:rsidRPr="00F67748">
        <w:rPr>
          <w:rFonts w:ascii="Arial" w:eastAsia="Times New Roman" w:hAnsi="Arial" w:cs="Arial"/>
          <w:sz w:val="24"/>
          <w:szCs w:val="24"/>
          <w:lang w:eastAsia="en-GB"/>
        </w:rPr>
        <w:t>follow</w:t>
      </w:r>
      <w:r w:rsidR="00E8156C">
        <w:rPr>
          <w:rFonts w:ascii="Arial" w:eastAsia="Times New Roman" w:hAnsi="Arial" w:cs="Arial"/>
          <w:sz w:val="24"/>
          <w:szCs w:val="24"/>
          <w:lang w:eastAsia="en-GB"/>
        </w:rPr>
        <w:t>ing</w:t>
      </w:r>
      <w:r w:rsidRPr="00F67748">
        <w:rPr>
          <w:rFonts w:ascii="Arial" w:eastAsia="Times New Roman" w:hAnsi="Arial" w:cs="Arial"/>
          <w:sz w:val="24"/>
          <w:szCs w:val="24"/>
          <w:lang w:eastAsia="en-GB"/>
        </w:rPr>
        <w:t xml:space="preserve"> the following</w:t>
      </w:r>
      <w:r>
        <w:rPr>
          <w:rFonts w:ascii="Arial" w:eastAsia="Times New Roman" w:hAnsi="Arial" w:cs="Arial"/>
          <w:sz w:val="24"/>
          <w:szCs w:val="24"/>
          <w:lang w:eastAsia="en-GB"/>
        </w:rPr>
        <w:t xml:space="preserve"> </w:t>
      </w:r>
      <w:r w:rsidRPr="00F67748">
        <w:rPr>
          <w:rFonts w:ascii="Arial" w:eastAsia="Times New Roman" w:hAnsi="Arial" w:cs="Arial"/>
          <w:sz w:val="24"/>
          <w:szCs w:val="24"/>
          <w:lang w:eastAsia="en-GB"/>
        </w:rPr>
        <w:t>principles:</w:t>
      </w:r>
    </w:p>
    <w:p w14:paraId="72CEAC8C" w14:textId="77777777" w:rsidR="00D1637B" w:rsidRPr="00830641" w:rsidRDefault="00D1637B" w:rsidP="00D1637B">
      <w:pPr>
        <w:pStyle w:val="ListParagraph"/>
        <w:numPr>
          <w:ilvl w:val="0"/>
          <w:numId w:val="19"/>
        </w:numPr>
        <w:autoSpaceDE w:val="0"/>
        <w:autoSpaceDN w:val="0"/>
        <w:adjustRightInd w:val="0"/>
        <w:spacing w:after="120" w:line="240" w:lineRule="auto"/>
        <w:jc w:val="both"/>
        <w:rPr>
          <w:rFonts w:ascii="Arial" w:eastAsia="Times New Roman" w:hAnsi="Arial" w:cs="Arial"/>
          <w:sz w:val="24"/>
          <w:szCs w:val="24"/>
          <w:lang w:eastAsia="en-GB"/>
        </w:rPr>
      </w:pPr>
      <w:r w:rsidRPr="00830641">
        <w:rPr>
          <w:rFonts w:ascii="Arial" w:eastAsia="Times New Roman" w:hAnsi="Arial" w:cs="Arial"/>
          <w:sz w:val="24"/>
          <w:szCs w:val="24"/>
          <w:lang w:eastAsia="en-GB"/>
        </w:rPr>
        <w:t>Take account of the Council’s priori</w:t>
      </w:r>
      <w:r w:rsidR="00E8156C">
        <w:rPr>
          <w:rFonts w:ascii="Arial" w:eastAsia="Times New Roman" w:hAnsi="Arial" w:cs="Arial"/>
          <w:sz w:val="24"/>
          <w:szCs w:val="24"/>
          <w:lang w:eastAsia="en-GB"/>
        </w:rPr>
        <w:t>ties within the Council Plan</w:t>
      </w:r>
      <w:r w:rsidRPr="00830641">
        <w:rPr>
          <w:rFonts w:ascii="Arial" w:eastAsia="Times New Roman" w:hAnsi="Arial" w:cs="Arial"/>
          <w:sz w:val="24"/>
          <w:szCs w:val="24"/>
          <w:lang w:eastAsia="en-GB"/>
        </w:rPr>
        <w:t>.</w:t>
      </w:r>
    </w:p>
    <w:p w14:paraId="7DBE7B2E" w14:textId="77777777" w:rsidR="00D1637B" w:rsidRPr="00830641" w:rsidRDefault="00D1637B" w:rsidP="00D1637B">
      <w:pPr>
        <w:pStyle w:val="ListParagraph"/>
        <w:numPr>
          <w:ilvl w:val="0"/>
          <w:numId w:val="19"/>
        </w:numPr>
        <w:autoSpaceDE w:val="0"/>
        <w:autoSpaceDN w:val="0"/>
        <w:adjustRightInd w:val="0"/>
        <w:spacing w:after="120" w:line="240" w:lineRule="auto"/>
        <w:jc w:val="both"/>
        <w:rPr>
          <w:rFonts w:ascii="Arial" w:eastAsia="Times New Roman" w:hAnsi="Arial" w:cs="Arial"/>
          <w:sz w:val="24"/>
          <w:szCs w:val="24"/>
          <w:lang w:eastAsia="en-GB"/>
        </w:rPr>
      </w:pPr>
      <w:r w:rsidRPr="00830641">
        <w:rPr>
          <w:rFonts w:ascii="Arial" w:eastAsia="Times New Roman" w:hAnsi="Arial" w:cs="Arial"/>
          <w:sz w:val="24"/>
          <w:szCs w:val="24"/>
          <w:lang w:eastAsia="en-GB"/>
        </w:rPr>
        <w:t>Address demographic and service pressures.</w:t>
      </w:r>
    </w:p>
    <w:p w14:paraId="0F888B86" w14:textId="77777777" w:rsidR="00D1637B" w:rsidRPr="00830641" w:rsidRDefault="00D1637B" w:rsidP="00D1637B">
      <w:pPr>
        <w:pStyle w:val="ListParagraph"/>
        <w:numPr>
          <w:ilvl w:val="0"/>
          <w:numId w:val="19"/>
        </w:numPr>
        <w:autoSpaceDE w:val="0"/>
        <w:autoSpaceDN w:val="0"/>
        <w:adjustRightInd w:val="0"/>
        <w:spacing w:after="120" w:line="240" w:lineRule="auto"/>
        <w:jc w:val="both"/>
        <w:rPr>
          <w:rFonts w:ascii="Arial" w:eastAsia="Times New Roman" w:hAnsi="Arial" w:cs="Arial"/>
          <w:sz w:val="24"/>
          <w:szCs w:val="24"/>
          <w:lang w:eastAsia="en-GB"/>
        </w:rPr>
      </w:pPr>
      <w:r w:rsidRPr="00830641">
        <w:rPr>
          <w:rFonts w:ascii="Arial" w:eastAsia="Times New Roman" w:hAnsi="Arial" w:cs="Arial"/>
          <w:sz w:val="24"/>
          <w:szCs w:val="24"/>
          <w:lang w:eastAsia="en-GB"/>
        </w:rPr>
        <w:t xml:space="preserve">Reflect the significant reductions in external funding (especially general and specific Government grants) by reducing expenditure on those activities. </w:t>
      </w:r>
    </w:p>
    <w:p w14:paraId="045D583E" w14:textId="77777777" w:rsidR="00D1637B" w:rsidRPr="00830641" w:rsidRDefault="00D1637B" w:rsidP="00D1637B">
      <w:pPr>
        <w:pStyle w:val="ListParagraph"/>
        <w:numPr>
          <w:ilvl w:val="0"/>
          <w:numId w:val="19"/>
        </w:numPr>
        <w:autoSpaceDE w:val="0"/>
        <w:autoSpaceDN w:val="0"/>
        <w:adjustRightInd w:val="0"/>
        <w:spacing w:after="120" w:line="240" w:lineRule="auto"/>
        <w:jc w:val="both"/>
        <w:rPr>
          <w:rFonts w:ascii="Arial" w:eastAsia="Times New Roman" w:hAnsi="Arial" w:cs="Arial"/>
          <w:sz w:val="24"/>
          <w:szCs w:val="24"/>
          <w:lang w:eastAsia="en-GB"/>
        </w:rPr>
      </w:pPr>
      <w:r w:rsidRPr="00830641">
        <w:rPr>
          <w:rFonts w:ascii="Arial" w:eastAsia="Times New Roman" w:hAnsi="Arial" w:cs="Arial"/>
          <w:sz w:val="24"/>
          <w:szCs w:val="24"/>
          <w:lang w:eastAsia="en-GB"/>
        </w:rPr>
        <w:t>Support the Council’s determination to be efficient, improve performance and modernise the organisation.</w:t>
      </w:r>
    </w:p>
    <w:p w14:paraId="0C0EFDB8" w14:textId="77777777" w:rsidR="00D1637B" w:rsidRPr="00830641" w:rsidRDefault="00D1637B" w:rsidP="00D1637B">
      <w:pPr>
        <w:pStyle w:val="ListParagraph"/>
        <w:numPr>
          <w:ilvl w:val="0"/>
          <w:numId w:val="19"/>
        </w:numPr>
        <w:autoSpaceDE w:val="0"/>
        <w:autoSpaceDN w:val="0"/>
        <w:adjustRightInd w:val="0"/>
        <w:spacing w:after="120" w:line="240" w:lineRule="auto"/>
        <w:jc w:val="both"/>
        <w:rPr>
          <w:rFonts w:ascii="Arial" w:eastAsia="Times New Roman" w:hAnsi="Arial" w:cs="Arial"/>
          <w:sz w:val="24"/>
          <w:szCs w:val="24"/>
          <w:lang w:eastAsia="en-GB"/>
        </w:rPr>
      </w:pPr>
      <w:r w:rsidRPr="00830641">
        <w:rPr>
          <w:rFonts w:ascii="Arial" w:eastAsia="Times New Roman" w:hAnsi="Arial" w:cs="Arial"/>
          <w:sz w:val="24"/>
          <w:szCs w:val="24"/>
          <w:lang w:eastAsia="en-GB"/>
        </w:rPr>
        <w:t>Minimise the impact of service reductions and changes on vulnerable citizens by protecting frontline services.</w:t>
      </w:r>
    </w:p>
    <w:p w14:paraId="3628425A" w14:textId="77777777" w:rsidR="007E15F1" w:rsidRDefault="00D1637B" w:rsidP="00D1637B">
      <w:pPr>
        <w:pStyle w:val="ListParagraph"/>
        <w:numPr>
          <w:ilvl w:val="0"/>
          <w:numId w:val="19"/>
        </w:numPr>
        <w:autoSpaceDE w:val="0"/>
        <w:autoSpaceDN w:val="0"/>
        <w:adjustRightInd w:val="0"/>
        <w:spacing w:after="120" w:line="240" w:lineRule="auto"/>
        <w:jc w:val="both"/>
        <w:rPr>
          <w:rFonts w:ascii="Arial" w:eastAsia="Times New Roman" w:hAnsi="Arial" w:cs="Arial"/>
          <w:sz w:val="24"/>
          <w:szCs w:val="24"/>
          <w:lang w:eastAsia="en-GB"/>
        </w:rPr>
      </w:pPr>
      <w:r w:rsidRPr="00830641">
        <w:rPr>
          <w:rFonts w:ascii="Arial" w:eastAsia="Times New Roman" w:hAnsi="Arial" w:cs="Arial"/>
          <w:sz w:val="24"/>
          <w:szCs w:val="24"/>
          <w:lang w:eastAsia="en-GB"/>
        </w:rPr>
        <w:t xml:space="preserve">Pursue </w:t>
      </w:r>
      <w:r>
        <w:rPr>
          <w:rFonts w:ascii="Arial" w:eastAsia="Times New Roman" w:hAnsi="Arial" w:cs="Arial"/>
          <w:sz w:val="24"/>
          <w:szCs w:val="24"/>
          <w:lang w:eastAsia="en-GB"/>
        </w:rPr>
        <w:t>trading</w:t>
      </w:r>
      <w:r w:rsidRPr="00830641">
        <w:rPr>
          <w:rFonts w:ascii="Arial" w:eastAsia="Times New Roman" w:hAnsi="Arial" w:cs="Arial"/>
          <w:sz w:val="24"/>
          <w:szCs w:val="24"/>
          <w:lang w:eastAsia="en-GB"/>
        </w:rPr>
        <w:t xml:space="preserve"> opportunities to generate income for the Council.</w:t>
      </w:r>
    </w:p>
    <w:p w14:paraId="41864D9D" w14:textId="77777777" w:rsidR="00D1637B" w:rsidRPr="00830641" w:rsidRDefault="007E15F1" w:rsidP="007E15F1">
      <w:pPr>
        <w:pStyle w:val="ListParagraph"/>
        <w:autoSpaceDE w:val="0"/>
        <w:autoSpaceDN w:val="0"/>
        <w:adjustRightInd w:val="0"/>
        <w:spacing w:after="12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These principles are being reviewed as part of the MTFS.</w:t>
      </w:r>
    </w:p>
    <w:p w14:paraId="585C4E7C" w14:textId="77777777" w:rsidR="00D1637B" w:rsidRPr="00830641" w:rsidRDefault="00D1637B" w:rsidP="00D1637B">
      <w:pPr>
        <w:numPr>
          <w:ilvl w:val="1"/>
          <w:numId w:val="1"/>
        </w:numPr>
        <w:autoSpaceDE w:val="0"/>
        <w:autoSpaceDN w:val="0"/>
        <w:adjustRightInd w:val="0"/>
        <w:spacing w:after="120" w:line="240" w:lineRule="auto"/>
        <w:ind w:left="567" w:hanging="567"/>
        <w:jc w:val="both"/>
        <w:rPr>
          <w:rFonts w:ascii="Arial" w:hAnsi="Arial" w:cs="Arial"/>
          <w:sz w:val="24"/>
          <w:szCs w:val="24"/>
        </w:rPr>
      </w:pPr>
      <w:r w:rsidRPr="00830641">
        <w:rPr>
          <w:rFonts w:ascii="Arial" w:hAnsi="Arial" w:cs="Arial"/>
          <w:sz w:val="24"/>
          <w:szCs w:val="24"/>
        </w:rPr>
        <w:t>The Council remains committed to tackling crime and anti-social behaviour, keeping Nottingham city clean, protecting children, supporting vulnerable elderly people and tackling homelessness.</w:t>
      </w:r>
    </w:p>
    <w:p w14:paraId="683BCBB4" w14:textId="77777777" w:rsidR="00D1637B" w:rsidRDefault="00D1637B" w:rsidP="00D1637B">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830641">
        <w:rPr>
          <w:rFonts w:ascii="Arial" w:hAnsi="Arial" w:cs="Arial"/>
          <w:sz w:val="24"/>
          <w:szCs w:val="24"/>
        </w:rPr>
        <w:t>In response to the current financial climate, the Council continues to work</w:t>
      </w:r>
      <w:r w:rsidRPr="00830641">
        <w:rPr>
          <w:rFonts w:ascii="Arial" w:eastAsia="Times New Roman" w:hAnsi="Arial" w:cs="Arial"/>
          <w:sz w:val="24"/>
          <w:szCs w:val="24"/>
          <w:lang w:eastAsia="en-GB"/>
        </w:rPr>
        <w:t xml:space="preserve"> with council networks including the Local Government Association and the Special Interest Group of Municipal Authorities (SIGOMA) to campaign for a fairer funding settlement from</w:t>
      </w:r>
      <w:r>
        <w:rPr>
          <w:rFonts w:ascii="Arial" w:eastAsia="Times New Roman" w:hAnsi="Arial" w:cs="Arial"/>
          <w:sz w:val="24"/>
          <w:szCs w:val="24"/>
          <w:lang w:eastAsia="en-GB"/>
        </w:rPr>
        <w:t xml:space="preserve"> </w:t>
      </w:r>
      <w:r w:rsidRPr="00830641">
        <w:rPr>
          <w:rFonts w:ascii="Arial" w:eastAsia="Times New Roman" w:hAnsi="Arial" w:cs="Arial"/>
          <w:sz w:val="24"/>
          <w:szCs w:val="24"/>
          <w:lang w:eastAsia="en-GB"/>
        </w:rPr>
        <w:t>central government for cities like Nottingham and other core cities.</w:t>
      </w:r>
    </w:p>
    <w:p w14:paraId="59029E5E" w14:textId="77777777" w:rsidR="00D1637B" w:rsidRDefault="00D1637B" w:rsidP="00D1637B">
      <w:pPr>
        <w:keepNext/>
        <w:autoSpaceDE w:val="0"/>
        <w:autoSpaceDN w:val="0"/>
        <w:adjustRightInd w:val="0"/>
        <w:spacing w:after="120" w:line="240" w:lineRule="auto"/>
        <w:jc w:val="both"/>
        <w:rPr>
          <w:rFonts w:ascii="Calibri Light" w:eastAsia="Times New Roman" w:hAnsi="Calibri Light" w:cs="Times New Roman"/>
          <w:bCs/>
          <w:color w:val="5B9BD5"/>
          <w:sz w:val="26"/>
          <w:szCs w:val="26"/>
          <w:lang w:eastAsia="en-GB"/>
        </w:rPr>
      </w:pPr>
      <w:r w:rsidRPr="00830641">
        <w:rPr>
          <w:rFonts w:ascii="Calibri Light" w:eastAsia="Times New Roman" w:hAnsi="Calibri Light" w:cs="Times New Roman"/>
          <w:bCs/>
          <w:color w:val="5B9BD5"/>
          <w:sz w:val="26"/>
          <w:szCs w:val="26"/>
          <w:lang w:eastAsia="en-GB"/>
        </w:rPr>
        <w:t>Addressing Risk and Future Challenges</w:t>
      </w:r>
    </w:p>
    <w:p w14:paraId="54825E27" w14:textId="77777777" w:rsidR="00D1637B" w:rsidRDefault="00D1637B" w:rsidP="00D1637B">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Three-Year Medium Term Outlook</w:t>
      </w:r>
    </w:p>
    <w:p w14:paraId="2862EE7D" w14:textId="77777777" w:rsidR="00D1637B" w:rsidRDefault="00D1637B" w:rsidP="00D1637B">
      <w:pPr>
        <w:numPr>
          <w:ilvl w:val="1"/>
          <w:numId w:val="1"/>
        </w:numPr>
        <w:autoSpaceDE w:val="0"/>
        <w:autoSpaceDN w:val="0"/>
        <w:adjustRightInd w:val="0"/>
        <w:spacing w:after="120" w:line="240" w:lineRule="auto"/>
        <w:ind w:left="567" w:hanging="567"/>
        <w:jc w:val="both"/>
        <w:rPr>
          <w:rFonts w:ascii="Arial" w:hAnsi="Arial" w:cs="Arial"/>
          <w:sz w:val="24"/>
          <w:szCs w:val="24"/>
        </w:rPr>
      </w:pPr>
      <w:r>
        <w:rPr>
          <w:rFonts w:ascii="Arial" w:hAnsi="Arial" w:cs="Arial"/>
          <w:sz w:val="24"/>
          <w:szCs w:val="24"/>
        </w:rPr>
        <w:t>Given the challenging environment that the Council continues to operate in, the budget assumptions are subject to ongoing review in light of changing circumstances.</w:t>
      </w:r>
    </w:p>
    <w:p w14:paraId="1AC029A2" w14:textId="3C670080" w:rsidR="00D621BD" w:rsidRPr="000C4773" w:rsidRDefault="00D1637B" w:rsidP="00D621BD">
      <w:pPr>
        <w:numPr>
          <w:ilvl w:val="1"/>
          <w:numId w:val="1"/>
        </w:numPr>
        <w:autoSpaceDE w:val="0"/>
        <w:autoSpaceDN w:val="0"/>
        <w:adjustRightInd w:val="0"/>
        <w:spacing w:after="120" w:line="240" w:lineRule="auto"/>
        <w:ind w:left="567" w:hanging="567"/>
        <w:jc w:val="both"/>
        <w:rPr>
          <w:rFonts w:ascii="Arial" w:hAnsi="Arial" w:cs="Arial"/>
          <w:sz w:val="24"/>
          <w:szCs w:val="24"/>
        </w:rPr>
      </w:pPr>
      <w:r>
        <w:rPr>
          <w:rFonts w:ascii="Arial" w:hAnsi="Arial" w:cs="Arial"/>
          <w:sz w:val="24"/>
          <w:szCs w:val="24"/>
        </w:rPr>
        <w:t xml:space="preserve">These issues </w:t>
      </w:r>
      <w:r w:rsidR="00E8156C">
        <w:rPr>
          <w:rFonts w:ascii="Arial" w:hAnsi="Arial" w:cs="Arial"/>
          <w:sz w:val="24"/>
          <w:szCs w:val="24"/>
        </w:rPr>
        <w:t>together with the impacts of Covid-19 are being</w:t>
      </w:r>
      <w:r>
        <w:rPr>
          <w:rFonts w:ascii="Arial" w:hAnsi="Arial" w:cs="Arial"/>
          <w:sz w:val="24"/>
          <w:szCs w:val="24"/>
        </w:rPr>
        <w:t xml:space="preserve"> </w:t>
      </w:r>
      <w:r w:rsidR="00C02C4E">
        <w:rPr>
          <w:rFonts w:ascii="Arial" w:hAnsi="Arial" w:cs="Arial"/>
          <w:sz w:val="24"/>
          <w:szCs w:val="24"/>
        </w:rPr>
        <w:t>brought together to produce a 3-</w:t>
      </w:r>
      <w:r>
        <w:rPr>
          <w:rFonts w:ascii="Arial" w:hAnsi="Arial" w:cs="Arial"/>
          <w:sz w:val="24"/>
          <w:szCs w:val="24"/>
        </w:rPr>
        <w:t>year Medi</w:t>
      </w:r>
      <w:r w:rsidR="00E8156C">
        <w:rPr>
          <w:rFonts w:ascii="Arial" w:hAnsi="Arial" w:cs="Arial"/>
          <w:sz w:val="24"/>
          <w:szCs w:val="24"/>
        </w:rPr>
        <w:t>um Financial Outlook (MTFO) by September 2020. The current MTFO</w:t>
      </w:r>
      <w:r w:rsidR="00D621BD">
        <w:rPr>
          <w:rFonts w:ascii="Arial" w:hAnsi="Arial" w:cs="Arial"/>
          <w:sz w:val="24"/>
          <w:szCs w:val="24"/>
        </w:rPr>
        <w:t xml:space="preserve">, agreed in February 2020, </w:t>
      </w:r>
      <w:r>
        <w:rPr>
          <w:rFonts w:ascii="Arial" w:hAnsi="Arial" w:cs="Arial"/>
          <w:sz w:val="24"/>
          <w:szCs w:val="24"/>
        </w:rPr>
        <w:t>confirms the need for on-going significant cost reductions in the short to medium term of £2</w:t>
      </w:r>
      <w:r w:rsidR="00D621BD">
        <w:rPr>
          <w:rFonts w:ascii="Arial" w:hAnsi="Arial" w:cs="Arial"/>
          <w:sz w:val="24"/>
          <w:szCs w:val="24"/>
        </w:rPr>
        <w:t>4</w:t>
      </w:r>
      <w:r>
        <w:rPr>
          <w:rFonts w:ascii="Arial" w:hAnsi="Arial" w:cs="Arial"/>
          <w:sz w:val="24"/>
          <w:szCs w:val="24"/>
        </w:rPr>
        <w:t>.</w:t>
      </w:r>
      <w:r w:rsidR="00D621BD">
        <w:rPr>
          <w:rFonts w:ascii="Arial" w:hAnsi="Arial" w:cs="Arial"/>
          <w:sz w:val="24"/>
          <w:szCs w:val="24"/>
        </w:rPr>
        <w:t>565</w:t>
      </w:r>
      <w:r>
        <w:rPr>
          <w:rFonts w:ascii="Arial" w:hAnsi="Arial" w:cs="Arial"/>
          <w:sz w:val="24"/>
          <w:szCs w:val="24"/>
        </w:rPr>
        <w:t>m in 202</w:t>
      </w:r>
      <w:r w:rsidR="00580F61">
        <w:rPr>
          <w:rFonts w:ascii="Arial" w:hAnsi="Arial" w:cs="Arial"/>
          <w:sz w:val="24"/>
          <w:szCs w:val="24"/>
        </w:rPr>
        <w:t>1</w:t>
      </w:r>
      <w:r>
        <w:rPr>
          <w:rFonts w:ascii="Arial" w:hAnsi="Arial" w:cs="Arial"/>
          <w:sz w:val="24"/>
          <w:szCs w:val="24"/>
        </w:rPr>
        <w:t>/2</w:t>
      </w:r>
      <w:r w:rsidR="00580F61">
        <w:rPr>
          <w:rFonts w:ascii="Arial" w:hAnsi="Arial" w:cs="Arial"/>
          <w:sz w:val="24"/>
          <w:szCs w:val="24"/>
        </w:rPr>
        <w:t>2</w:t>
      </w:r>
      <w:r>
        <w:rPr>
          <w:rFonts w:ascii="Arial" w:hAnsi="Arial" w:cs="Arial"/>
          <w:sz w:val="24"/>
          <w:szCs w:val="24"/>
        </w:rPr>
        <w:t xml:space="preserve"> and £</w:t>
      </w:r>
      <w:r w:rsidR="00D621BD">
        <w:rPr>
          <w:rFonts w:ascii="Arial" w:hAnsi="Arial" w:cs="Arial"/>
          <w:sz w:val="24"/>
          <w:szCs w:val="24"/>
        </w:rPr>
        <w:t>30</w:t>
      </w:r>
      <w:r>
        <w:rPr>
          <w:rFonts w:ascii="Arial" w:hAnsi="Arial" w:cs="Arial"/>
          <w:sz w:val="24"/>
          <w:szCs w:val="24"/>
        </w:rPr>
        <w:t>.0</w:t>
      </w:r>
      <w:r w:rsidR="00D621BD">
        <w:rPr>
          <w:rFonts w:ascii="Arial" w:hAnsi="Arial" w:cs="Arial"/>
          <w:sz w:val="24"/>
          <w:szCs w:val="24"/>
        </w:rPr>
        <w:t>75</w:t>
      </w:r>
      <w:r>
        <w:rPr>
          <w:rFonts w:ascii="Arial" w:hAnsi="Arial" w:cs="Arial"/>
          <w:sz w:val="24"/>
          <w:szCs w:val="24"/>
        </w:rPr>
        <w:t>m in 202</w:t>
      </w:r>
      <w:r w:rsidR="00580F61">
        <w:rPr>
          <w:rFonts w:ascii="Arial" w:hAnsi="Arial" w:cs="Arial"/>
          <w:sz w:val="24"/>
          <w:szCs w:val="24"/>
        </w:rPr>
        <w:t>2</w:t>
      </w:r>
      <w:r>
        <w:rPr>
          <w:rFonts w:ascii="Arial" w:hAnsi="Arial" w:cs="Arial"/>
          <w:sz w:val="24"/>
          <w:szCs w:val="24"/>
        </w:rPr>
        <w:t>/2</w:t>
      </w:r>
      <w:r w:rsidR="00580F61">
        <w:rPr>
          <w:rFonts w:ascii="Arial" w:hAnsi="Arial" w:cs="Arial"/>
          <w:sz w:val="24"/>
          <w:szCs w:val="24"/>
        </w:rPr>
        <w:t>3</w:t>
      </w:r>
      <w:r>
        <w:rPr>
          <w:rFonts w:ascii="Arial" w:hAnsi="Arial" w:cs="Arial"/>
          <w:sz w:val="24"/>
          <w:szCs w:val="24"/>
        </w:rPr>
        <w:t xml:space="preserve">. </w:t>
      </w:r>
      <w:r w:rsidR="00D621BD" w:rsidRPr="000C4773">
        <w:rPr>
          <w:rFonts w:ascii="Arial" w:hAnsi="Arial" w:cs="Arial"/>
          <w:sz w:val="24"/>
          <w:szCs w:val="24"/>
        </w:rPr>
        <w:t>These figures are pre-Covid estimates and as such do not fully reflect the likely ongoing impact</w:t>
      </w:r>
      <w:r w:rsidR="000C4773">
        <w:rPr>
          <w:color w:val="1F497D"/>
        </w:rPr>
        <w:t>.</w:t>
      </w:r>
    </w:p>
    <w:p w14:paraId="72EBB7A4" w14:textId="77777777" w:rsidR="00D1637B" w:rsidRDefault="00D1637B" w:rsidP="00D1637B">
      <w:pPr>
        <w:keepNext/>
        <w:autoSpaceDE w:val="0"/>
        <w:autoSpaceDN w:val="0"/>
        <w:adjustRightInd w:val="0"/>
        <w:spacing w:after="0" w:line="240" w:lineRule="auto"/>
        <w:rPr>
          <w:rFonts w:ascii="Arial" w:hAnsi="Arial" w:cs="Arial"/>
          <w:b/>
          <w:bCs/>
          <w:sz w:val="24"/>
          <w:szCs w:val="24"/>
        </w:rPr>
      </w:pPr>
      <w:r>
        <w:rPr>
          <w:rFonts w:ascii="Arial" w:hAnsi="Arial" w:cs="Arial"/>
          <w:b/>
          <w:bCs/>
          <w:sz w:val="24"/>
          <w:szCs w:val="24"/>
        </w:rPr>
        <w:t>National Non-Domestic Rates (NNDR)</w:t>
      </w:r>
    </w:p>
    <w:p w14:paraId="57F1008B" w14:textId="77777777" w:rsidR="00D1637B" w:rsidRDefault="00D1637B" w:rsidP="00D1637B">
      <w:pPr>
        <w:numPr>
          <w:ilvl w:val="1"/>
          <w:numId w:val="1"/>
        </w:numPr>
        <w:autoSpaceDE w:val="0"/>
        <w:autoSpaceDN w:val="0"/>
        <w:adjustRightInd w:val="0"/>
        <w:spacing w:after="0" w:line="240" w:lineRule="auto"/>
        <w:ind w:left="567" w:hanging="567"/>
        <w:jc w:val="both"/>
        <w:rPr>
          <w:rFonts w:ascii="Arial" w:hAnsi="Arial" w:cs="Arial"/>
          <w:sz w:val="24"/>
          <w:szCs w:val="24"/>
        </w:rPr>
      </w:pPr>
      <w:r>
        <w:rPr>
          <w:rFonts w:ascii="Arial" w:hAnsi="Arial" w:cs="Arial"/>
          <w:sz w:val="24"/>
          <w:szCs w:val="24"/>
        </w:rPr>
        <w:t>Localisation of NNDR has significant risks for the Council. Under the retention scheme, there are risks in calculating the share of the yield due to the level of unknowns including:</w:t>
      </w:r>
    </w:p>
    <w:p w14:paraId="53AEB8F9" w14:textId="77777777" w:rsidR="00D1637B" w:rsidRPr="00FF6F32" w:rsidRDefault="00D1637B" w:rsidP="00D1637B">
      <w:pPr>
        <w:pStyle w:val="ListParagraph"/>
        <w:numPr>
          <w:ilvl w:val="0"/>
          <w:numId w:val="20"/>
        </w:numPr>
        <w:autoSpaceDE w:val="0"/>
        <w:autoSpaceDN w:val="0"/>
        <w:adjustRightInd w:val="0"/>
        <w:spacing w:after="120" w:line="240" w:lineRule="auto"/>
        <w:ind w:left="714" w:hanging="357"/>
        <w:rPr>
          <w:rFonts w:ascii="Arial" w:hAnsi="Arial" w:cs="Arial"/>
          <w:sz w:val="24"/>
          <w:szCs w:val="24"/>
        </w:rPr>
      </w:pPr>
      <w:r w:rsidRPr="00FF6F32">
        <w:rPr>
          <w:rFonts w:ascii="Arial" w:hAnsi="Arial" w:cs="Arial"/>
          <w:sz w:val="24"/>
          <w:szCs w:val="24"/>
        </w:rPr>
        <w:t>The number of successful rating appeals that could be made in the year.</w:t>
      </w:r>
    </w:p>
    <w:p w14:paraId="70FB188C" w14:textId="77777777" w:rsidR="00D1637B" w:rsidRPr="00FF6F32" w:rsidRDefault="00D1637B" w:rsidP="00D1637B">
      <w:pPr>
        <w:pStyle w:val="ListParagraph"/>
        <w:numPr>
          <w:ilvl w:val="0"/>
          <w:numId w:val="20"/>
        </w:numPr>
        <w:autoSpaceDE w:val="0"/>
        <w:autoSpaceDN w:val="0"/>
        <w:adjustRightInd w:val="0"/>
        <w:spacing w:after="120" w:line="240" w:lineRule="auto"/>
        <w:ind w:left="714" w:hanging="357"/>
        <w:rPr>
          <w:rFonts w:ascii="Arial" w:hAnsi="Arial" w:cs="Arial"/>
          <w:sz w:val="24"/>
          <w:szCs w:val="24"/>
        </w:rPr>
      </w:pPr>
      <w:r w:rsidRPr="00FF6F32">
        <w:rPr>
          <w:rFonts w:ascii="Arial" w:hAnsi="Arial" w:cs="Arial"/>
          <w:sz w:val="24"/>
          <w:szCs w:val="24"/>
        </w:rPr>
        <w:t>The number of bankruptcies and business going into administration.</w:t>
      </w:r>
    </w:p>
    <w:p w14:paraId="6BE9A8DE" w14:textId="77777777" w:rsidR="00D1637B" w:rsidRPr="00FF6F32" w:rsidRDefault="00D1637B" w:rsidP="00D1637B">
      <w:pPr>
        <w:pStyle w:val="ListParagraph"/>
        <w:numPr>
          <w:ilvl w:val="0"/>
          <w:numId w:val="20"/>
        </w:numPr>
        <w:autoSpaceDE w:val="0"/>
        <w:autoSpaceDN w:val="0"/>
        <w:adjustRightInd w:val="0"/>
        <w:spacing w:after="120" w:line="240" w:lineRule="auto"/>
        <w:ind w:left="714" w:hanging="357"/>
        <w:rPr>
          <w:rFonts w:ascii="Arial" w:hAnsi="Arial" w:cs="Arial"/>
          <w:sz w:val="24"/>
          <w:szCs w:val="24"/>
        </w:rPr>
      </w:pPr>
      <w:r w:rsidRPr="00FF6F32">
        <w:rPr>
          <w:rFonts w:ascii="Arial" w:hAnsi="Arial" w:cs="Arial"/>
          <w:sz w:val="24"/>
          <w:szCs w:val="24"/>
        </w:rPr>
        <w:t>The number of empty and new properties etc.</w:t>
      </w:r>
    </w:p>
    <w:p w14:paraId="7E005025" w14:textId="77777777" w:rsidR="00D1637B" w:rsidRDefault="00D1637B" w:rsidP="00D1637B">
      <w:pPr>
        <w:numPr>
          <w:ilvl w:val="1"/>
          <w:numId w:val="1"/>
        </w:numPr>
        <w:autoSpaceDE w:val="0"/>
        <w:autoSpaceDN w:val="0"/>
        <w:adjustRightInd w:val="0"/>
        <w:spacing w:after="120" w:line="240" w:lineRule="auto"/>
        <w:ind w:left="567" w:hanging="567"/>
        <w:jc w:val="both"/>
        <w:rPr>
          <w:rFonts w:ascii="Arial" w:hAnsi="Arial" w:cs="Arial"/>
          <w:sz w:val="24"/>
          <w:szCs w:val="24"/>
        </w:rPr>
      </w:pPr>
      <w:r>
        <w:rPr>
          <w:rFonts w:ascii="Arial" w:hAnsi="Arial" w:cs="Arial"/>
          <w:sz w:val="24"/>
          <w:szCs w:val="24"/>
        </w:rPr>
        <w:t>In mitigation, the Council works with Analyse LOCAL, which is a system developed to help local authorities to make sound and prudent estimates of its business rate income for the year ahead. It uses a wide range of historic rating information to provide the most reliable base possible on which to base decisions.</w:t>
      </w:r>
    </w:p>
    <w:p w14:paraId="265E3257" w14:textId="77777777" w:rsidR="00AB3ABE" w:rsidRDefault="00AB3ABE" w:rsidP="00D1637B">
      <w:pPr>
        <w:autoSpaceDE w:val="0"/>
        <w:autoSpaceDN w:val="0"/>
        <w:adjustRightInd w:val="0"/>
        <w:spacing w:after="0" w:line="240" w:lineRule="auto"/>
        <w:rPr>
          <w:rFonts w:ascii="Arial" w:hAnsi="Arial" w:cs="Arial"/>
          <w:b/>
          <w:bCs/>
          <w:sz w:val="24"/>
          <w:szCs w:val="24"/>
        </w:rPr>
      </w:pPr>
    </w:p>
    <w:p w14:paraId="6D0F9340" w14:textId="78D534F9" w:rsidR="00D1637B" w:rsidRDefault="00D1637B" w:rsidP="00D1637B">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lastRenderedPageBreak/>
        <w:t>Brexit</w:t>
      </w:r>
    </w:p>
    <w:p w14:paraId="0990E92D" w14:textId="77777777" w:rsidR="00D1637B" w:rsidRDefault="00D1637B" w:rsidP="00D1637B">
      <w:pPr>
        <w:numPr>
          <w:ilvl w:val="1"/>
          <w:numId w:val="1"/>
        </w:numPr>
        <w:autoSpaceDE w:val="0"/>
        <w:autoSpaceDN w:val="0"/>
        <w:adjustRightInd w:val="0"/>
        <w:spacing w:after="120" w:line="240" w:lineRule="auto"/>
        <w:ind w:left="567" w:hanging="567"/>
        <w:jc w:val="both"/>
        <w:rPr>
          <w:rFonts w:ascii="Arial" w:hAnsi="Arial" w:cs="Arial"/>
          <w:sz w:val="24"/>
          <w:szCs w:val="24"/>
        </w:rPr>
      </w:pPr>
      <w:r>
        <w:rPr>
          <w:rFonts w:ascii="Arial" w:hAnsi="Arial" w:cs="Arial"/>
          <w:sz w:val="24"/>
          <w:szCs w:val="24"/>
        </w:rPr>
        <w:t xml:space="preserve">There is a high level of uncertainty about the implications of leaving the European Union. Nottingham has benefitted from European funding in the past and it is unclear whether or what other similar sources of funds will be available. The arrangements for what deal the UK will leave with </w:t>
      </w:r>
      <w:r w:rsidR="009C12A0">
        <w:rPr>
          <w:rFonts w:ascii="Arial" w:hAnsi="Arial" w:cs="Arial"/>
          <w:sz w:val="24"/>
          <w:szCs w:val="24"/>
        </w:rPr>
        <w:t>on 31</w:t>
      </w:r>
      <w:r w:rsidR="009C12A0" w:rsidRPr="00567E17">
        <w:rPr>
          <w:rFonts w:ascii="Arial" w:hAnsi="Arial" w:cs="Arial"/>
          <w:sz w:val="24"/>
          <w:szCs w:val="24"/>
          <w:vertAlign w:val="superscript"/>
        </w:rPr>
        <w:t>st</w:t>
      </w:r>
      <w:r w:rsidR="009C12A0">
        <w:rPr>
          <w:rFonts w:ascii="Arial" w:hAnsi="Arial" w:cs="Arial"/>
          <w:sz w:val="24"/>
          <w:szCs w:val="24"/>
        </w:rPr>
        <w:t xml:space="preserve"> December 2020 </w:t>
      </w:r>
      <w:r>
        <w:rPr>
          <w:rFonts w:ascii="Arial" w:hAnsi="Arial" w:cs="Arial"/>
          <w:sz w:val="24"/>
          <w:szCs w:val="24"/>
        </w:rPr>
        <w:t>is as yet undecided but our assumption at the current time, based on the limited data available, is that there will be no significant impairment on the value of the Council’s assets. This will be reviewed</w:t>
      </w:r>
      <w:r w:rsidR="00567E17">
        <w:rPr>
          <w:rFonts w:ascii="Arial" w:hAnsi="Arial" w:cs="Arial"/>
          <w:sz w:val="24"/>
          <w:szCs w:val="24"/>
        </w:rPr>
        <w:t xml:space="preserve"> </w:t>
      </w:r>
      <w:r w:rsidR="008026A1">
        <w:rPr>
          <w:rFonts w:ascii="Arial" w:hAnsi="Arial" w:cs="Arial"/>
          <w:sz w:val="24"/>
          <w:szCs w:val="24"/>
        </w:rPr>
        <w:t>when more information is known</w:t>
      </w:r>
      <w:r>
        <w:rPr>
          <w:rFonts w:ascii="Arial" w:hAnsi="Arial" w:cs="Arial"/>
          <w:sz w:val="24"/>
          <w:szCs w:val="24"/>
        </w:rPr>
        <w:t>.</w:t>
      </w:r>
    </w:p>
    <w:p w14:paraId="174E1E9E" w14:textId="77777777" w:rsidR="00D1637B" w:rsidRDefault="00D1637B" w:rsidP="00D1637B">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Commercial Income</w:t>
      </w:r>
    </w:p>
    <w:p w14:paraId="2AF960E0" w14:textId="77777777" w:rsidR="00D1637B" w:rsidRDefault="00D1637B" w:rsidP="00D1637B">
      <w:pPr>
        <w:numPr>
          <w:ilvl w:val="1"/>
          <w:numId w:val="1"/>
        </w:numPr>
        <w:autoSpaceDE w:val="0"/>
        <w:autoSpaceDN w:val="0"/>
        <w:adjustRightInd w:val="0"/>
        <w:spacing w:after="120" w:line="240" w:lineRule="auto"/>
        <w:ind w:left="567" w:hanging="567"/>
        <w:jc w:val="both"/>
        <w:rPr>
          <w:rFonts w:ascii="Arial" w:hAnsi="Arial" w:cs="Arial"/>
          <w:sz w:val="24"/>
          <w:szCs w:val="24"/>
        </w:rPr>
      </w:pPr>
      <w:r>
        <w:rPr>
          <w:rFonts w:ascii="Arial" w:hAnsi="Arial" w:cs="Arial"/>
          <w:sz w:val="24"/>
          <w:szCs w:val="24"/>
        </w:rPr>
        <w:t xml:space="preserve">Investments in commercial property have been made to raise income to offset reductions in funding. Given the uncertainties over the economy as a result of </w:t>
      </w:r>
      <w:r w:rsidR="00E8156C">
        <w:rPr>
          <w:rFonts w:ascii="Arial" w:hAnsi="Arial" w:cs="Arial"/>
          <w:sz w:val="24"/>
          <w:szCs w:val="24"/>
        </w:rPr>
        <w:t xml:space="preserve">Covid-19 and </w:t>
      </w:r>
      <w:r>
        <w:rPr>
          <w:rFonts w:ascii="Arial" w:hAnsi="Arial" w:cs="Arial"/>
          <w:sz w:val="24"/>
          <w:szCs w:val="24"/>
        </w:rPr>
        <w:t>Brexit, it is difficult to predict the future or whether investments will be adversely affected. This is mitigated by making sound business cases at the outset, which are checked and challenged, and robust and rigorous monthly monitoring.</w:t>
      </w:r>
      <w:r w:rsidR="002421D4">
        <w:rPr>
          <w:rFonts w:ascii="Arial" w:hAnsi="Arial" w:cs="Arial"/>
          <w:sz w:val="24"/>
          <w:szCs w:val="24"/>
        </w:rPr>
        <w:t xml:space="preserve"> </w:t>
      </w:r>
      <w:r w:rsidR="002421D4">
        <w:rPr>
          <w:rFonts w:ascii="Arial" w:hAnsi="Arial" w:cs="Arial"/>
          <w:bCs/>
          <w:sz w:val="24"/>
          <w:szCs w:val="24"/>
        </w:rPr>
        <w:t xml:space="preserve">A review of commercial strategy </w:t>
      </w:r>
      <w:r w:rsidR="00DF5CDB">
        <w:rPr>
          <w:rFonts w:ascii="Arial" w:hAnsi="Arial" w:cs="Arial"/>
          <w:bCs/>
          <w:sz w:val="24"/>
          <w:szCs w:val="24"/>
        </w:rPr>
        <w:t xml:space="preserve">is being undertaken and further actions </w:t>
      </w:r>
      <w:r w:rsidR="006B4D62">
        <w:rPr>
          <w:rFonts w:ascii="Arial" w:hAnsi="Arial" w:cs="Arial"/>
          <w:bCs/>
          <w:sz w:val="24"/>
          <w:szCs w:val="24"/>
        </w:rPr>
        <w:t xml:space="preserve">in respect of gaining assurance for commercial risks and trading outcomes </w:t>
      </w:r>
      <w:r w:rsidR="00DF5CDB">
        <w:rPr>
          <w:rFonts w:ascii="Arial" w:hAnsi="Arial" w:cs="Arial"/>
          <w:bCs/>
          <w:sz w:val="24"/>
          <w:szCs w:val="24"/>
        </w:rPr>
        <w:t xml:space="preserve">are outlined in the </w:t>
      </w:r>
      <w:r w:rsidR="008026A1">
        <w:rPr>
          <w:rFonts w:ascii="Arial" w:hAnsi="Arial" w:cs="Arial"/>
          <w:bCs/>
          <w:sz w:val="24"/>
          <w:szCs w:val="24"/>
        </w:rPr>
        <w:t xml:space="preserve">Report in the </w:t>
      </w:r>
      <w:r w:rsidR="00DF5CDB">
        <w:rPr>
          <w:rFonts w:ascii="Arial" w:hAnsi="Arial" w:cs="Arial"/>
          <w:bCs/>
          <w:sz w:val="24"/>
          <w:szCs w:val="24"/>
        </w:rPr>
        <w:t>Public Interest Action Plan</w:t>
      </w:r>
      <w:r w:rsidR="0014397D">
        <w:rPr>
          <w:rFonts w:ascii="Arial" w:hAnsi="Arial" w:cs="Arial"/>
          <w:bCs/>
          <w:sz w:val="24"/>
          <w:szCs w:val="24"/>
        </w:rPr>
        <w:t xml:space="preserve"> (Appendix 2)</w:t>
      </w:r>
      <w:r w:rsidR="00DF5CDB">
        <w:rPr>
          <w:rFonts w:ascii="Arial" w:hAnsi="Arial" w:cs="Arial"/>
          <w:bCs/>
          <w:sz w:val="24"/>
          <w:szCs w:val="24"/>
        </w:rPr>
        <w:t>.</w:t>
      </w:r>
    </w:p>
    <w:p w14:paraId="3C06442C" w14:textId="77777777" w:rsidR="00D1637B" w:rsidRDefault="00D1637B" w:rsidP="00D1637B">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General Data Protection Regulation (GDPR)</w:t>
      </w:r>
    </w:p>
    <w:p w14:paraId="57721ACF" w14:textId="77777777" w:rsidR="00D1637B" w:rsidRPr="002421D4" w:rsidRDefault="00D1637B" w:rsidP="002421D4">
      <w:pPr>
        <w:numPr>
          <w:ilvl w:val="1"/>
          <w:numId w:val="1"/>
        </w:numPr>
        <w:autoSpaceDE w:val="0"/>
        <w:autoSpaceDN w:val="0"/>
        <w:adjustRightInd w:val="0"/>
        <w:spacing w:after="120" w:line="240" w:lineRule="auto"/>
        <w:ind w:left="567" w:hanging="567"/>
        <w:jc w:val="both"/>
        <w:rPr>
          <w:rFonts w:ascii="Arial" w:hAnsi="Arial" w:cs="Arial"/>
          <w:sz w:val="24"/>
          <w:szCs w:val="24"/>
        </w:rPr>
      </w:pPr>
      <w:r>
        <w:rPr>
          <w:rFonts w:ascii="Arial" w:hAnsi="Arial" w:cs="Arial"/>
          <w:sz w:val="24"/>
          <w:szCs w:val="24"/>
        </w:rPr>
        <w:t>This bill came into effect on 25 May 2018. This ha</w:t>
      </w:r>
      <w:r w:rsidR="008026A1">
        <w:rPr>
          <w:rFonts w:ascii="Arial" w:hAnsi="Arial" w:cs="Arial"/>
          <w:sz w:val="24"/>
          <w:szCs w:val="24"/>
        </w:rPr>
        <w:t>d</w:t>
      </w:r>
      <w:r>
        <w:rPr>
          <w:rFonts w:ascii="Arial" w:hAnsi="Arial" w:cs="Arial"/>
          <w:sz w:val="24"/>
          <w:szCs w:val="24"/>
        </w:rPr>
        <w:t xml:space="preserve"> a huge impact on all local authorities and carries fines of up to 4% of annual turnover for serious breaches of compliance. In mitigation, the Council appointed a Data Protection Officer who update</w:t>
      </w:r>
      <w:r w:rsidR="00567E17">
        <w:rPr>
          <w:rFonts w:ascii="Arial" w:hAnsi="Arial" w:cs="Arial"/>
          <w:sz w:val="24"/>
          <w:szCs w:val="24"/>
        </w:rPr>
        <w:t>d</w:t>
      </w:r>
      <w:r>
        <w:rPr>
          <w:rFonts w:ascii="Arial" w:hAnsi="Arial" w:cs="Arial"/>
          <w:sz w:val="24"/>
          <w:szCs w:val="24"/>
        </w:rPr>
        <w:t xml:space="preserve"> all policies and privacy notices. Annual training sessions are delivered across the authority in addition to mandatory refresher e-learning.</w:t>
      </w:r>
      <w:r w:rsidR="00DF5CDB">
        <w:rPr>
          <w:rFonts w:ascii="Arial" w:hAnsi="Arial" w:cs="Arial"/>
          <w:sz w:val="24"/>
          <w:szCs w:val="24"/>
        </w:rPr>
        <w:t xml:space="preserve"> </w:t>
      </w:r>
    </w:p>
    <w:p w14:paraId="4F7B5456" w14:textId="77777777" w:rsidR="00D1637B" w:rsidRDefault="00D1637B" w:rsidP="00D1637B">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Universal Credit</w:t>
      </w:r>
    </w:p>
    <w:p w14:paraId="495F389D" w14:textId="77777777" w:rsidR="00D1637B" w:rsidRPr="00434CD2" w:rsidRDefault="00D1637B" w:rsidP="00D1637B">
      <w:pPr>
        <w:numPr>
          <w:ilvl w:val="1"/>
          <w:numId w:val="1"/>
        </w:numPr>
        <w:autoSpaceDE w:val="0"/>
        <w:autoSpaceDN w:val="0"/>
        <w:adjustRightInd w:val="0"/>
        <w:spacing w:after="120" w:line="240" w:lineRule="auto"/>
        <w:ind w:left="567" w:hanging="567"/>
        <w:jc w:val="both"/>
        <w:rPr>
          <w:rFonts w:ascii="Arial" w:hAnsi="Arial" w:cs="Arial"/>
          <w:sz w:val="24"/>
          <w:szCs w:val="24"/>
        </w:rPr>
      </w:pPr>
      <w:r>
        <w:rPr>
          <w:rFonts w:ascii="Arial" w:hAnsi="Arial" w:cs="Arial"/>
          <w:sz w:val="24"/>
          <w:szCs w:val="24"/>
        </w:rPr>
        <w:t>Universal Credit in Nottingham commenced in October 2018. As the Council needs to recover Council Tax and rents directly from residents, this gives rise to a potential increase in the level of bad debts and an increase in the cost of collection.</w:t>
      </w:r>
      <w:r w:rsidR="00567E17">
        <w:rPr>
          <w:rFonts w:ascii="Arial" w:hAnsi="Arial" w:cs="Arial"/>
          <w:sz w:val="24"/>
          <w:szCs w:val="24"/>
        </w:rPr>
        <w:t xml:space="preserve"> </w:t>
      </w:r>
    </w:p>
    <w:p w14:paraId="650BC2EA" w14:textId="77777777" w:rsidR="00D1637B" w:rsidRPr="00630B4D" w:rsidRDefault="00D1637B" w:rsidP="00D1637B">
      <w:pPr>
        <w:keepNext/>
        <w:autoSpaceDE w:val="0"/>
        <w:autoSpaceDN w:val="0"/>
        <w:adjustRightInd w:val="0"/>
        <w:spacing w:after="120" w:line="240" w:lineRule="auto"/>
        <w:jc w:val="both"/>
        <w:rPr>
          <w:rFonts w:ascii="Calibri Light" w:eastAsia="Times New Roman" w:hAnsi="Calibri Light" w:cs="Times New Roman"/>
          <w:bCs/>
          <w:color w:val="5B9BD5"/>
          <w:sz w:val="26"/>
          <w:szCs w:val="26"/>
          <w:lang w:eastAsia="en-GB"/>
        </w:rPr>
      </w:pPr>
      <w:r w:rsidRPr="00630B4D">
        <w:rPr>
          <w:rFonts w:ascii="Calibri Light" w:eastAsia="Times New Roman" w:hAnsi="Calibri Light" w:cs="Times New Roman"/>
          <w:bCs/>
          <w:color w:val="5B9BD5"/>
          <w:sz w:val="26"/>
          <w:szCs w:val="26"/>
          <w:lang w:eastAsia="en-GB"/>
        </w:rPr>
        <w:t xml:space="preserve">Housing Revenue Account – HRA </w:t>
      </w:r>
    </w:p>
    <w:p w14:paraId="0F4169B8" w14:textId="77777777" w:rsidR="00D1637B" w:rsidRPr="00DB5925" w:rsidRDefault="00D1637B" w:rsidP="00D1637B">
      <w:pPr>
        <w:numPr>
          <w:ilvl w:val="1"/>
          <w:numId w:val="1"/>
        </w:numPr>
        <w:autoSpaceDE w:val="0"/>
        <w:autoSpaceDN w:val="0"/>
        <w:adjustRightInd w:val="0"/>
        <w:spacing w:after="120" w:line="240" w:lineRule="auto"/>
        <w:ind w:left="567" w:hanging="567"/>
        <w:jc w:val="both"/>
        <w:rPr>
          <w:rFonts w:ascii="Arial" w:hAnsi="Arial" w:cs="Arial"/>
          <w:sz w:val="24"/>
          <w:szCs w:val="24"/>
        </w:rPr>
      </w:pPr>
      <w:r w:rsidRPr="00DB5925">
        <w:rPr>
          <w:rFonts w:ascii="Arial" w:hAnsi="Arial" w:cs="Arial"/>
          <w:sz w:val="24"/>
          <w:szCs w:val="24"/>
        </w:rPr>
        <w:t xml:space="preserve">The HRA is balanced in the medium term but there is a long-term gap on capital investment requirement. Following the tragic events at Grenfell, the Council has undertaken an £8.4m programme of fire safety works to </w:t>
      </w:r>
      <w:r w:rsidR="00EE7F03" w:rsidRPr="00DB5925">
        <w:rPr>
          <w:rFonts w:ascii="Arial" w:hAnsi="Arial" w:cs="Arial"/>
          <w:sz w:val="24"/>
          <w:szCs w:val="24"/>
        </w:rPr>
        <w:t>high-rise</w:t>
      </w:r>
      <w:r w:rsidRPr="00DB5925">
        <w:rPr>
          <w:rFonts w:ascii="Arial" w:hAnsi="Arial" w:cs="Arial"/>
          <w:sz w:val="24"/>
          <w:szCs w:val="24"/>
        </w:rPr>
        <w:t xml:space="preserve"> blocks. There are likely to be further costs resulting from the need to comply with any resulting legislation on fire safety and other regulation potentially including the Decent Homes Standard and social housing regulation.</w:t>
      </w:r>
    </w:p>
    <w:p w14:paraId="5B818219" w14:textId="77777777" w:rsidR="00D1637B" w:rsidRPr="00DB5925" w:rsidRDefault="00D1637B" w:rsidP="00D1637B">
      <w:pPr>
        <w:numPr>
          <w:ilvl w:val="1"/>
          <w:numId w:val="1"/>
        </w:numPr>
        <w:autoSpaceDE w:val="0"/>
        <w:autoSpaceDN w:val="0"/>
        <w:adjustRightInd w:val="0"/>
        <w:spacing w:after="120" w:line="240" w:lineRule="auto"/>
        <w:ind w:left="567" w:hanging="567"/>
        <w:jc w:val="both"/>
        <w:rPr>
          <w:rFonts w:ascii="Arial" w:hAnsi="Arial" w:cs="Arial"/>
          <w:sz w:val="24"/>
          <w:szCs w:val="24"/>
        </w:rPr>
      </w:pPr>
      <w:r w:rsidRPr="00DB5925">
        <w:rPr>
          <w:rFonts w:ascii="Arial" w:hAnsi="Arial" w:cs="Arial"/>
          <w:sz w:val="24"/>
          <w:szCs w:val="24"/>
        </w:rPr>
        <w:t>The Welfare Reform and Work Act 2016 required that social rents were reduced by 1% per annum for four years from 2016, with 2019 being the final year the Council had to reduce rents. Under the government’s new regime for the next 5 years, the Council now has a policy to increase rents by CPI+1%, which was 2.7% in the 2020 rent increase. As mentioned above, HRA rents are potentially subject to greater costs due to the implementation of Universal Credit. The Council has increased the Bad Debt Provision / Loss Allowance Account and the Working Balance to provide a buffer to manage any additional costs.</w:t>
      </w:r>
    </w:p>
    <w:p w14:paraId="1268D326" w14:textId="77777777" w:rsidR="00D1637B" w:rsidRPr="00DB5925" w:rsidRDefault="00D1637B" w:rsidP="00D1637B">
      <w:pPr>
        <w:numPr>
          <w:ilvl w:val="1"/>
          <w:numId w:val="1"/>
        </w:numPr>
        <w:autoSpaceDE w:val="0"/>
        <w:autoSpaceDN w:val="0"/>
        <w:adjustRightInd w:val="0"/>
        <w:spacing w:after="120" w:line="240" w:lineRule="auto"/>
        <w:ind w:left="567" w:hanging="567"/>
        <w:jc w:val="both"/>
        <w:rPr>
          <w:rFonts w:ascii="Arial" w:hAnsi="Arial" w:cs="Arial"/>
          <w:sz w:val="24"/>
          <w:szCs w:val="24"/>
        </w:rPr>
      </w:pPr>
      <w:r w:rsidRPr="00DB5925">
        <w:rPr>
          <w:rFonts w:ascii="Arial" w:hAnsi="Arial" w:cs="Arial"/>
          <w:sz w:val="24"/>
          <w:szCs w:val="24"/>
        </w:rPr>
        <w:t xml:space="preserve">Covid-19 impacts are likely to be substantial and will be covered by the Working Balance, but may require savings to be made, for example in </w:t>
      </w:r>
      <w:r w:rsidR="00A17F7F" w:rsidRPr="00A17F7F">
        <w:rPr>
          <w:rFonts w:ascii="Arial" w:hAnsi="Arial" w:cs="Arial"/>
          <w:sz w:val="24"/>
          <w:szCs w:val="24"/>
        </w:rPr>
        <w:t>in the prioritisation</w:t>
      </w:r>
      <w:r w:rsidR="00A17F7F">
        <w:rPr>
          <w:rFonts w:ascii="Arial" w:hAnsi="Arial" w:cs="Arial"/>
          <w:sz w:val="24"/>
          <w:szCs w:val="24"/>
        </w:rPr>
        <w:t xml:space="preserve"> of</w:t>
      </w:r>
      <w:r w:rsidR="00A17F7F" w:rsidRPr="00A17F7F">
        <w:rPr>
          <w:rFonts w:ascii="Arial" w:hAnsi="Arial" w:cs="Arial"/>
          <w:sz w:val="24"/>
          <w:szCs w:val="24"/>
        </w:rPr>
        <w:t xml:space="preserve"> </w:t>
      </w:r>
      <w:r w:rsidR="00A17F7F">
        <w:rPr>
          <w:rFonts w:ascii="Arial" w:hAnsi="Arial" w:cs="Arial"/>
          <w:sz w:val="24"/>
          <w:szCs w:val="24"/>
        </w:rPr>
        <w:t xml:space="preserve">HRA </w:t>
      </w:r>
      <w:r w:rsidRPr="00DB5925">
        <w:rPr>
          <w:rFonts w:ascii="Arial" w:hAnsi="Arial" w:cs="Arial"/>
          <w:sz w:val="24"/>
          <w:szCs w:val="24"/>
        </w:rPr>
        <w:t>capital spending.</w:t>
      </w:r>
    </w:p>
    <w:p w14:paraId="5A791904" w14:textId="77777777" w:rsidR="00D1637B" w:rsidRDefault="00D1637B" w:rsidP="00D1637B">
      <w:pPr>
        <w:keepNext/>
        <w:autoSpaceDE w:val="0"/>
        <w:autoSpaceDN w:val="0"/>
        <w:adjustRightInd w:val="0"/>
        <w:spacing w:after="120" w:line="240" w:lineRule="auto"/>
        <w:jc w:val="both"/>
        <w:rPr>
          <w:rFonts w:ascii="Calibri Light" w:eastAsia="Times New Roman" w:hAnsi="Calibri Light" w:cs="Times New Roman"/>
          <w:bCs/>
          <w:color w:val="5B9BD5"/>
          <w:sz w:val="26"/>
          <w:szCs w:val="26"/>
          <w:lang w:eastAsia="en-GB"/>
        </w:rPr>
      </w:pPr>
      <w:r>
        <w:rPr>
          <w:rFonts w:ascii="Calibri Light" w:eastAsia="Times New Roman" w:hAnsi="Calibri Light" w:cs="Times New Roman"/>
          <w:bCs/>
          <w:color w:val="5B9BD5"/>
          <w:sz w:val="26"/>
          <w:szCs w:val="26"/>
          <w:lang w:eastAsia="en-GB"/>
        </w:rPr>
        <w:lastRenderedPageBreak/>
        <w:t>Group Governance Arrangements</w:t>
      </w:r>
    </w:p>
    <w:p w14:paraId="72C1A1D7" w14:textId="77777777" w:rsidR="00D1637B" w:rsidRDefault="00D1637B" w:rsidP="00D1637B">
      <w:pPr>
        <w:numPr>
          <w:ilvl w:val="1"/>
          <w:numId w:val="1"/>
        </w:numPr>
        <w:autoSpaceDE w:val="0"/>
        <w:autoSpaceDN w:val="0"/>
        <w:adjustRightInd w:val="0"/>
        <w:spacing w:after="120" w:line="240" w:lineRule="auto"/>
        <w:ind w:left="567" w:hanging="567"/>
        <w:jc w:val="both"/>
        <w:rPr>
          <w:rFonts w:ascii="Arial" w:hAnsi="Arial" w:cs="Arial"/>
          <w:sz w:val="24"/>
          <w:szCs w:val="24"/>
        </w:rPr>
      </w:pPr>
      <w:r>
        <w:rPr>
          <w:rFonts w:ascii="Arial" w:hAnsi="Arial" w:cs="Arial"/>
          <w:sz w:val="24"/>
          <w:szCs w:val="24"/>
        </w:rPr>
        <w:t>In July 2018 KPMG reported to NCC that “</w:t>
      </w:r>
      <w:r w:rsidRPr="00AF2EA6">
        <w:rPr>
          <w:rFonts w:ascii="Arial" w:hAnsi="Arial" w:cs="Arial"/>
          <w:sz w:val="24"/>
          <w:szCs w:val="24"/>
        </w:rPr>
        <w:t>The Authority has been progressing its overarching group governance processes to ensure that these are fit for purpose given th</w:t>
      </w:r>
      <w:r>
        <w:rPr>
          <w:rFonts w:ascii="Arial" w:hAnsi="Arial" w:cs="Arial"/>
          <w:sz w:val="24"/>
          <w:szCs w:val="24"/>
        </w:rPr>
        <w:t>e continued growth of the group</w:t>
      </w:r>
      <w:r w:rsidRPr="00AF2EA6">
        <w:rPr>
          <w:rFonts w:ascii="Arial" w:hAnsi="Arial" w:cs="Arial"/>
          <w:sz w:val="24"/>
          <w:szCs w:val="24"/>
        </w:rPr>
        <w:t>.</w:t>
      </w:r>
      <w:r>
        <w:rPr>
          <w:rFonts w:ascii="Arial" w:hAnsi="Arial" w:cs="Arial"/>
          <w:sz w:val="24"/>
          <w:szCs w:val="24"/>
        </w:rPr>
        <w:t>”</w:t>
      </w:r>
    </w:p>
    <w:p w14:paraId="096AAAD2" w14:textId="77777777" w:rsidR="00D1637B" w:rsidRDefault="00D1637B" w:rsidP="00D1637B">
      <w:pPr>
        <w:numPr>
          <w:ilvl w:val="1"/>
          <w:numId w:val="1"/>
        </w:numPr>
        <w:autoSpaceDE w:val="0"/>
        <w:autoSpaceDN w:val="0"/>
        <w:adjustRightInd w:val="0"/>
        <w:spacing w:after="120" w:line="240" w:lineRule="auto"/>
        <w:ind w:left="567" w:hanging="567"/>
        <w:jc w:val="both"/>
        <w:rPr>
          <w:rFonts w:ascii="Arial" w:hAnsi="Arial" w:cs="Arial"/>
          <w:sz w:val="24"/>
          <w:szCs w:val="24"/>
        </w:rPr>
      </w:pPr>
      <w:r>
        <w:rPr>
          <w:rFonts w:ascii="Arial" w:hAnsi="Arial" w:cs="Arial"/>
          <w:sz w:val="24"/>
          <w:szCs w:val="24"/>
        </w:rPr>
        <w:t xml:space="preserve">During 2018-19 the Council had: </w:t>
      </w:r>
    </w:p>
    <w:p w14:paraId="5C27FB8D" w14:textId="77777777" w:rsidR="00D1637B" w:rsidRDefault="00D1637B" w:rsidP="00D1637B">
      <w:pPr>
        <w:pStyle w:val="ListParagraph"/>
        <w:numPr>
          <w:ilvl w:val="0"/>
          <w:numId w:val="21"/>
        </w:numPr>
        <w:autoSpaceDE w:val="0"/>
        <w:autoSpaceDN w:val="0"/>
        <w:adjustRightInd w:val="0"/>
        <w:spacing w:after="120" w:line="240" w:lineRule="auto"/>
        <w:jc w:val="both"/>
        <w:rPr>
          <w:rFonts w:ascii="Arial" w:hAnsi="Arial" w:cs="Arial"/>
          <w:sz w:val="24"/>
          <w:szCs w:val="24"/>
        </w:rPr>
      </w:pPr>
      <w:r>
        <w:rPr>
          <w:rFonts w:ascii="Arial" w:hAnsi="Arial" w:cs="Arial"/>
          <w:sz w:val="24"/>
          <w:szCs w:val="24"/>
        </w:rPr>
        <w:t>S</w:t>
      </w:r>
      <w:r w:rsidRPr="00AF2EA6">
        <w:rPr>
          <w:rFonts w:ascii="Arial" w:hAnsi="Arial" w:cs="Arial"/>
          <w:sz w:val="24"/>
          <w:szCs w:val="24"/>
        </w:rPr>
        <w:t>et out a best practice framework for governance of its companies and i</w:t>
      </w:r>
      <w:r>
        <w:rPr>
          <w:rFonts w:ascii="Arial" w:hAnsi="Arial" w:cs="Arial"/>
          <w:sz w:val="24"/>
          <w:szCs w:val="24"/>
        </w:rPr>
        <w:t>ts shareholder responsibilities.</w:t>
      </w:r>
    </w:p>
    <w:p w14:paraId="04EA3215" w14:textId="77777777" w:rsidR="00D1637B" w:rsidRDefault="00D1637B" w:rsidP="00D1637B">
      <w:pPr>
        <w:pStyle w:val="ListParagraph"/>
        <w:numPr>
          <w:ilvl w:val="0"/>
          <w:numId w:val="21"/>
        </w:numPr>
        <w:autoSpaceDE w:val="0"/>
        <w:autoSpaceDN w:val="0"/>
        <w:adjustRightInd w:val="0"/>
        <w:spacing w:after="120" w:line="240" w:lineRule="auto"/>
        <w:jc w:val="both"/>
        <w:rPr>
          <w:rFonts w:ascii="Arial" w:hAnsi="Arial" w:cs="Arial"/>
          <w:sz w:val="24"/>
          <w:szCs w:val="24"/>
        </w:rPr>
      </w:pPr>
      <w:r>
        <w:rPr>
          <w:rFonts w:ascii="Arial" w:hAnsi="Arial" w:cs="Arial"/>
          <w:sz w:val="24"/>
          <w:szCs w:val="24"/>
        </w:rPr>
        <w:t>Prepared terms of reference for councillor and officer bodies to direct, monitor and control the group.</w:t>
      </w:r>
    </w:p>
    <w:p w14:paraId="27900BA6" w14:textId="77777777" w:rsidR="00D1637B" w:rsidRDefault="00D1637B" w:rsidP="00D1637B">
      <w:pPr>
        <w:pStyle w:val="ListParagraph"/>
        <w:numPr>
          <w:ilvl w:val="0"/>
          <w:numId w:val="21"/>
        </w:numPr>
        <w:autoSpaceDE w:val="0"/>
        <w:autoSpaceDN w:val="0"/>
        <w:adjustRightInd w:val="0"/>
        <w:spacing w:after="120" w:line="240" w:lineRule="auto"/>
        <w:jc w:val="both"/>
        <w:rPr>
          <w:rFonts w:ascii="Arial" w:hAnsi="Arial" w:cs="Arial"/>
          <w:sz w:val="24"/>
          <w:szCs w:val="24"/>
        </w:rPr>
      </w:pPr>
      <w:r>
        <w:rPr>
          <w:rFonts w:ascii="Arial" w:hAnsi="Arial" w:cs="Arial"/>
          <w:sz w:val="24"/>
          <w:szCs w:val="24"/>
        </w:rPr>
        <w:t>Set out the information requirements of these bodies.</w:t>
      </w:r>
    </w:p>
    <w:p w14:paraId="5C1BA5BC" w14:textId="77777777" w:rsidR="00D1637B" w:rsidRDefault="00D1637B" w:rsidP="00D1637B">
      <w:pPr>
        <w:pStyle w:val="ListParagraph"/>
        <w:numPr>
          <w:ilvl w:val="0"/>
          <w:numId w:val="21"/>
        </w:numPr>
        <w:autoSpaceDE w:val="0"/>
        <w:autoSpaceDN w:val="0"/>
        <w:adjustRightInd w:val="0"/>
        <w:spacing w:after="120" w:line="240" w:lineRule="auto"/>
        <w:jc w:val="both"/>
        <w:rPr>
          <w:rFonts w:ascii="Arial" w:hAnsi="Arial" w:cs="Arial"/>
          <w:sz w:val="24"/>
          <w:szCs w:val="24"/>
        </w:rPr>
      </w:pPr>
      <w:r>
        <w:rPr>
          <w:rFonts w:ascii="Arial" w:hAnsi="Arial" w:cs="Arial"/>
          <w:sz w:val="24"/>
          <w:szCs w:val="24"/>
        </w:rPr>
        <w:t>Identified resources and training requirements to support group governance.</w:t>
      </w:r>
    </w:p>
    <w:p w14:paraId="2BB2139C" w14:textId="77777777" w:rsidR="00D1637B" w:rsidRDefault="00D1637B" w:rsidP="00D1637B">
      <w:pPr>
        <w:pStyle w:val="ListParagraph"/>
        <w:numPr>
          <w:ilvl w:val="0"/>
          <w:numId w:val="21"/>
        </w:numPr>
        <w:autoSpaceDE w:val="0"/>
        <w:autoSpaceDN w:val="0"/>
        <w:adjustRightInd w:val="0"/>
        <w:spacing w:after="120" w:line="240" w:lineRule="auto"/>
        <w:jc w:val="both"/>
        <w:rPr>
          <w:rFonts w:ascii="Arial" w:hAnsi="Arial" w:cs="Arial"/>
          <w:sz w:val="24"/>
          <w:szCs w:val="24"/>
        </w:rPr>
      </w:pPr>
      <w:r>
        <w:rPr>
          <w:rFonts w:ascii="Arial" w:hAnsi="Arial" w:cs="Arial"/>
          <w:sz w:val="24"/>
          <w:szCs w:val="24"/>
        </w:rPr>
        <w:t>Drafted shareholder agreements.</w:t>
      </w:r>
    </w:p>
    <w:p w14:paraId="69A71A3E" w14:textId="77777777" w:rsidR="00D1637B" w:rsidRDefault="00D1637B" w:rsidP="00D1637B">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2A67FA">
        <w:rPr>
          <w:rFonts w:ascii="Arial" w:eastAsia="Times New Roman" w:hAnsi="Arial" w:cs="Arial"/>
          <w:sz w:val="24"/>
          <w:szCs w:val="24"/>
          <w:lang w:eastAsia="en-GB"/>
        </w:rPr>
        <w:t>To date and during 2019-20 a framework for the Companies and Commercial Executive Sub-Committee has been established an</w:t>
      </w:r>
      <w:r w:rsidR="002421D4">
        <w:rPr>
          <w:rFonts w:ascii="Arial" w:eastAsia="Times New Roman" w:hAnsi="Arial" w:cs="Arial"/>
          <w:sz w:val="24"/>
          <w:szCs w:val="24"/>
          <w:lang w:eastAsia="en-GB"/>
        </w:rPr>
        <w:t>d sub-committee meetings have been</w:t>
      </w:r>
      <w:r w:rsidRPr="002A67FA">
        <w:rPr>
          <w:rFonts w:ascii="Arial" w:eastAsia="Times New Roman" w:hAnsi="Arial" w:cs="Arial"/>
          <w:sz w:val="24"/>
          <w:szCs w:val="24"/>
          <w:lang w:eastAsia="en-GB"/>
        </w:rPr>
        <w:t xml:space="preserve"> taking place </w:t>
      </w:r>
      <w:r w:rsidR="00ED14E3">
        <w:rPr>
          <w:rFonts w:ascii="Arial" w:eastAsia="Times New Roman" w:hAnsi="Arial" w:cs="Arial"/>
          <w:sz w:val="24"/>
          <w:szCs w:val="24"/>
          <w:lang w:eastAsia="en-GB"/>
        </w:rPr>
        <w:t>regularly</w:t>
      </w:r>
      <w:r w:rsidRPr="002A67FA">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from January 2020, </w:t>
      </w:r>
      <w:r w:rsidRPr="002A67FA">
        <w:rPr>
          <w:rFonts w:ascii="Arial" w:eastAsia="Times New Roman" w:hAnsi="Arial" w:cs="Arial"/>
          <w:sz w:val="24"/>
          <w:szCs w:val="24"/>
          <w:lang w:eastAsia="en-GB"/>
        </w:rPr>
        <w:t xml:space="preserve">with </w:t>
      </w:r>
      <w:r w:rsidR="002421D4" w:rsidRPr="002A67FA">
        <w:rPr>
          <w:rFonts w:ascii="Arial" w:eastAsia="Times New Roman" w:hAnsi="Arial" w:cs="Arial"/>
          <w:sz w:val="24"/>
          <w:szCs w:val="24"/>
          <w:lang w:eastAsia="en-GB"/>
        </w:rPr>
        <w:t>each meeting</w:t>
      </w:r>
      <w:r w:rsidR="002421D4">
        <w:rPr>
          <w:rFonts w:ascii="Arial" w:eastAsia="Times New Roman" w:hAnsi="Arial" w:cs="Arial"/>
          <w:sz w:val="24"/>
          <w:szCs w:val="24"/>
          <w:lang w:eastAsia="en-GB"/>
        </w:rPr>
        <w:t xml:space="preserve"> now</w:t>
      </w:r>
      <w:r w:rsidR="002421D4" w:rsidRPr="002A67FA">
        <w:rPr>
          <w:rFonts w:ascii="Arial" w:eastAsia="Times New Roman" w:hAnsi="Arial" w:cs="Arial"/>
          <w:sz w:val="24"/>
          <w:szCs w:val="24"/>
          <w:lang w:eastAsia="en-GB"/>
        </w:rPr>
        <w:t xml:space="preserve"> </w:t>
      </w:r>
      <w:r w:rsidR="002421D4">
        <w:rPr>
          <w:rFonts w:ascii="Arial" w:eastAsia="Times New Roman" w:hAnsi="Arial" w:cs="Arial"/>
          <w:sz w:val="24"/>
          <w:szCs w:val="24"/>
          <w:lang w:eastAsia="en-GB"/>
        </w:rPr>
        <w:t xml:space="preserve">receiving </w:t>
      </w:r>
      <w:r w:rsidRPr="002A67FA">
        <w:rPr>
          <w:rFonts w:ascii="Arial" w:eastAsia="Times New Roman" w:hAnsi="Arial" w:cs="Arial"/>
          <w:sz w:val="24"/>
          <w:szCs w:val="24"/>
          <w:lang w:eastAsia="en-GB"/>
        </w:rPr>
        <w:t xml:space="preserve">presentations by group companies. A financial overview paper </w:t>
      </w:r>
      <w:r w:rsidR="00E3660A">
        <w:rPr>
          <w:rFonts w:ascii="Arial" w:eastAsia="Times New Roman" w:hAnsi="Arial" w:cs="Arial"/>
          <w:sz w:val="24"/>
          <w:szCs w:val="24"/>
          <w:lang w:eastAsia="en-GB"/>
        </w:rPr>
        <w:t>ha</w:t>
      </w:r>
      <w:r w:rsidRPr="002A67FA">
        <w:rPr>
          <w:rFonts w:ascii="Arial" w:eastAsia="Times New Roman" w:hAnsi="Arial" w:cs="Arial"/>
          <w:sz w:val="24"/>
          <w:szCs w:val="24"/>
          <w:lang w:eastAsia="en-GB"/>
        </w:rPr>
        <w:t xml:space="preserve">s also being presented and there are plans for key risks from company risk registers to be presented to the Audit Committee. A significant amount of work still needs to be undertaken </w:t>
      </w:r>
      <w:r>
        <w:rPr>
          <w:rFonts w:ascii="Arial" w:eastAsia="Times New Roman" w:hAnsi="Arial" w:cs="Arial"/>
          <w:sz w:val="24"/>
          <w:szCs w:val="24"/>
          <w:lang w:eastAsia="en-GB"/>
        </w:rPr>
        <w:t xml:space="preserve">to ensure effective governance </w:t>
      </w:r>
      <w:r w:rsidR="00ED14E3">
        <w:rPr>
          <w:rFonts w:ascii="Arial" w:eastAsia="Times New Roman" w:hAnsi="Arial" w:cs="Arial"/>
          <w:sz w:val="24"/>
          <w:szCs w:val="24"/>
          <w:lang w:eastAsia="en-GB"/>
        </w:rPr>
        <w:t>and a work programme has</w:t>
      </w:r>
      <w:r w:rsidRPr="002A67FA">
        <w:rPr>
          <w:rFonts w:ascii="Arial" w:eastAsia="Times New Roman" w:hAnsi="Arial" w:cs="Arial"/>
          <w:sz w:val="24"/>
          <w:szCs w:val="24"/>
          <w:lang w:eastAsia="en-GB"/>
        </w:rPr>
        <w:t xml:space="preserve"> been developed for the sub-committee.</w:t>
      </w:r>
    </w:p>
    <w:p w14:paraId="4AA69CCE" w14:textId="77777777" w:rsidR="001F1BE1" w:rsidRPr="002A67FA" w:rsidRDefault="001F1BE1" w:rsidP="00D1637B">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Further actions have been set out in the </w:t>
      </w:r>
      <w:r w:rsidR="00E3660A">
        <w:rPr>
          <w:rFonts w:ascii="Arial" w:eastAsia="Times New Roman" w:hAnsi="Arial" w:cs="Arial"/>
          <w:sz w:val="24"/>
          <w:szCs w:val="24"/>
          <w:lang w:eastAsia="en-GB"/>
        </w:rPr>
        <w:t xml:space="preserve">Report in the </w:t>
      </w:r>
      <w:r>
        <w:rPr>
          <w:rFonts w:ascii="Arial" w:eastAsia="Times New Roman" w:hAnsi="Arial" w:cs="Arial"/>
          <w:sz w:val="24"/>
          <w:szCs w:val="24"/>
          <w:lang w:eastAsia="en-GB"/>
        </w:rPr>
        <w:t>Public Interest Action Plan</w:t>
      </w:r>
      <w:r w:rsidR="0014397D">
        <w:rPr>
          <w:rFonts w:ascii="Arial" w:eastAsia="Times New Roman" w:hAnsi="Arial" w:cs="Arial"/>
          <w:sz w:val="24"/>
          <w:szCs w:val="24"/>
          <w:lang w:eastAsia="en-GB"/>
        </w:rPr>
        <w:t xml:space="preserve"> (Appendix 2)</w:t>
      </w:r>
      <w:r>
        <w:rPr>
          <w:rFonts w:ascii="Arial" w:eastAsia="Times New Roman" w:hAnsi="Arial" w:cs="Arial"/>
          <w:sz w:val="24"/>
          <w:szCs w:val="24"/>
          <w:lang w:eastAsia="en-GB"/>
        </w:rPr>
        <w:t>.</w:t>
      </w:r>
    </w:p>
    <w:p w14:paraId="74DA7455" w14:textId="77777777" w:rsidR="00D1637B" w:rsidRPr="00B87CFD" w:rsidRDefault="00D1637B" w:rsidP="00D1637B">
      <w:pPr>
        <w:keepNext/>
        <w:autoSpaceDE w:val="0"/>
        <w:autoSpaceDN w:val="0"/>
        <w:adjustRightInd w:val="0"/>
        <w:spacing w:after="120" w:line="240" w:lineRule="auto"/>
        <w:jc w:val="both"/>
        <w:rPr>
          <w:rFonts w:ascii="Calibri Light" w:eastAsia="Times New Roman" w:hAnsi="Calibri Light" w:cs="Times New Roman"/>
          <w:bCs/>
          <w:color w:val="5B9BD5"/>
          <w:sz w:val="26"/>
          <w:szCs w:val="26"/>
          <w:lang w:eastAsia="en-GB"/>
        </w:rPr>
      </w:pPr>
      <w:r w:rsidRPr="00B87CFD">
        <w:rPr>
          <w:rFonts w:ascii="Calibri Light" w:eastAsia="Times New Roman" w:hAnsi="Calibri Light" w:cs="Times New Roman"/>
          <w:bCs/>
          <w:color w:val="5B9BD5"/>
          <w:sz w:val="26"/>
          <w:szCs w:val="26"/>
          <w:lang w:eastAsia="en-GB"/>
        </w:rPr>
        <w:t>Capital and Capitalisation</w:t>
      </w:r>
    </w:p>
    <w:p w14:paraId="7BADD77D" w14:textId="77777777" w:rsidR="00D1637B" w:rsidRPr="00B87CFD" w:rsidRDefault="00D1637B" w:rsidP="00D1637B">
      <w:pPr>
        <w:numPr>
          <w:ilvl w:val="1"/>
          <w:numId w:val="1"/>
        </w:numPr>
        <w:autoSpaceDE w:val="0"/>
        <w:autoSpaceDN w:val="0"/>
        <w:adjustRightInd w:val="0"/>
        <w:spacing w:after="120" w:line="240" w:lineRule="auto"/>
        <w:ind w:left="567" w:hanging="567"/>
        <w:jc w:val="both"/>
        <w:rPr>
          <w:rFonts w:ascii="Arial" w:hAnsi="Arial" w:cs="Arial"/>
          <w:sz w:val="24"/>
          <w:szCs w:val="24"/>
        </w:rPr>
      </w:pPr>
      <w:r w:rsidRPr="00B87CFD">
        <w:rPr>
          <w:rFonts w:ascii="Arial" w:hAnsi="Arial" w:cs="Arial"/>
          <w:sz w:val="24"/>
          <w:szCs w:val="24"/>
        </w:rPr>
        <w:t xml:space="preserve">In July 2018 KPMG reported to NCC that: </w:t>
      </w:r>
    </w:p>
    <w:p w14:paraId="5730C4EE" w14:textId="77777777" w:rsidR="00D1637B" w:rsidRPr="00B87CFD" w:rsidRDefault="00D1637B" w:rsidP="00D1637B">
      <w:pPr>
        <w:pStyle w:val="ListParagraph"/>
        <w:keepNext/>
        <w:numPr>
          <w:ilvl w:val="0"/>
          <w:numId w:val="22"/>
        </w:numPr>
        <w:autoSpaceDE w:val="0"/>
        <w:autoSpaceDN w:val="0"/>
        <w:adjustRightInd w:val="0"/>
        <w:spacing w:after="120" w:line="240" w:lineRule="auto"/>
        <w:jc w:val="both"/>
        <w:rPr>
          <w:rFonts w:ascii="Arial" w:hAnsi="Arial" w:cs="Arial"/>
          <w:sz w:val="24"/>
          <w:szCs w:val="24"/>
        </w:rPr>
      </w:pPr>
      <w:r w:rsidRPr="00B87CFD">
        <w:rPr>
          <w:rFonts w:ascii="Arial" w:hAnsi="Arial" w:cs="Arial"/>
          <w:sz w:val="24"/>
          <w:szCs w:val="24"/>
        </w:rPr>
        <w:t xml:space="preserve">“The Authority should develop and appropriately approve a capital investment strategy document as soon as possible, given the growth of its investment property portfolio and associated borrowing costs.”  This has been developed and approved during 2018-19 </w:t>
      </w:r>
    </w:p>
    <w:p w14:paraId="04FFB54F" w14:textId="77777777" w:rsidR="00D1637B" w:rsidRPr="00B87CFD" w:rsidRDefault="00D1637B" w:rsidP="00D1637B">
      <w:pPr>
        <w:pStyle w:val="ListParagraph"/>
        <w:keepNext/>
        <w:numPr>
          <w:ilvl w:val="0"/>
          <w:numId w:val="22"/>
        </w:numPr>
        <w:autoSpaceDE w:val="0"/>
        <w:autoSpaceDN w:val="0"/>
        <w:adjustRightInd w:val="0"/>
        <w:spacing w:after="120" w:line="240" w:lineRule="auto"/>
        <w:jc w:val="both"/>
        <w:rPr>
          <w:rFonts w:ascii="Arial" w:hAnsi="Arial" w:cs="Arial"/>
          <w:sz w:val="24"/>
          <w:szCs w:val="24"/>
        </w:rPr>
      </w:pPr>
      <w:r w:rsidRPr="00B87CFD">
        <w:rPr>
          <w:rFonts w:ascii="Arial" w:hAnsi="Arial" w:cs="Arial"/>
          <w:sz w:val="24"/>
          <w:szCs w:val="24"/>
        </w:rPr>
        <w:t xml:space="preserve">“The Authority should: </w:t>
      </w:r>
    </w:p>
    <w:p w14:paraId="60DB38D1" w14:textId="77777777" w:rsidR="00D1637B" w:rsidRPr="00B87CFD" w:rsidRDefault="00D1637B" w:rsidP="00D1637B">
      <w:pPr>
        <w:pStyle w:val="ListParagraph"/>
        <w:keepNext/>
        <w:numPr>
          <w:ilvl w:val="1"/>
          <w:numId w:val="22"/>
        </w:numPr>
        <w:autoSpaceDE w:val="0"/>
        <w:autoSpaceDN w:val="0"/>
        <w:adjustRightInd w:val="0"/>
        <w:spacing w:after="120" w:line="240" w:lineRule="auto"/>
        <w:jc w:val="both"/>
        <w:rPr>
          <w:rFonts w:ascii="Arial" w:hAnsi="Arial" w:cs="Arial"/>
          <w:sz w:val="24"/>
          <w:szCs w:val="24"/>
        </w:rPr>
      </w:pPr>
      <w:r w:rsidRPr="00B87CFD">
        <w:rPr>
          <w:rFonts w:ascii="Arial" w:hAnsi="Arial" w:cs="Arial"/>
          <w:sz w:val="24"/>
          <w:szCs w:val="24"/>
        </w:rPr>
        <w:t>review its process for capturing and accounting for capital accruals, to ensure costs are capitalised in the correct period, notably in regards to internally delivered schemes; and</w:t>
      </w:r>
    </w:p>
    <w:p w14:paraId="551F8EB4" w14:textId="77777777" w:rsidR="00D1637B" w:rsidRPr="00B87CFD" w:rsidRDefault="00D1637B" w:rsidP="00D1637B">
      <w:pPr>
        <w:pStyle w:val="ListParagraph"/>
        <w:keepNext/>
        <w:numPr>
          <w:ilvl w:val="1"/>
          <w:numId w:val="22"/>
        </w:numPr>
        <w:autoSpaceDE w:val="0"/>
        <w:autoSpaceDN w:val="0"/>
        <w:adjustRightInd w:val="0"/>
        <w:spacing w:after="120" w:line="240" w:lineRule="auto"/>
        <w:jc w:val="both"/>
        <w:rPr>
          <w:rFonts w:ascii="Arial" w:hAnsi="Arial" w:cs="Arial"/>
          <w:sz w:val="24"/>
          <w:szCs w:val="24"/>
        </w:rPr>
      </w:pPr>
      <w:r w:rsidRPr="00B87CFD">
        <w:rPr>
          <w:rFonts w:ascii="Arial" w:hAnsi="Arial" w:cs="Arial"/>
          <w:sz w:val="24"/>
          <w:szCs w:val="24"/>
        </w:rPr>
        <w:t xml:space="preserve">review how it calculates its capitalised project management costs; and – review the basis of the “surplus recovery fee” capitalised cost for internally managed capital projects and why it is appropriate to capitalise this cost.” </w:t>
      </w:r>
    </w:p>
    <w:p w14:paraId="36B274FF" w14:textId="77777777" w:rsidR="00D1637B" w:rsidRPr="00B87CFD" w:rsidRDefault="00B87CFD" w:rsidP="00D1637B">
      <w:pPr>
        <w:pStyle w:val="ListParagraph"/>
        <w:keepNext/>
        <w:numPr>
          <w:ilvl w:val="0"/>
          <w:numId w:val="24"/>
        </w:numPr>
        <w:autoSpaceDE w:val="0"/>
        <w:autoSpaceDN w:val="0"/>
        <w:adjustRightInd w:val="0"/>
        <w:spacing w:after="120" w:line="240" w:lineRule="auto"/>
        <w:jc w:val="both"/>
        <w:rPr>
          <w:rFonts w:ascii="Arial" w:hAnsi="Arial" w:cs="Arial"/>
          <w:sz w:val="24"/>
          <w:szCs w:val="24"/>
        </w:rPr>
      </w:pPr>
      <w:r w:rsidRPr="00B87CFD">
        <w:rPr>
          <w:rFonts w:ascii="Arial" w:hAnsi="Arial" w:cs="Arial"/>
          <w:sz w:val="24"/>
          <w:szCs w:val="24"/>
        </w:rPr>
        <w:t>Following a</w:t>
      </w:r>
      <w:r w:rsidR="00D1637B" w:rsidRPr="00B87CFD">
        <w:rPr>
          <w:rFonts w:ascii="Arial" w:hAnsi="Arial" w:cs="Arial"/>
          <w:sz w:val="24"/>
          <w:szCs w:val="24"/>
        </w:rPr>
        <w:t xml:space="preserve"> 2018-19 </w:t>
      </w:r>
      <w:r w:rsidRPr="00B87CFD">
        <w:rPr>
          <w:rFonts w:ascii="Arial" w:hAnsi="Arial" w:cs="Arial"/>
          <w:sz w:val="24"/>
          <w:szCs w:val="24"/>
        </w:rPr>
        <w:t>r</w:t>
      </w:r>
      <w:r w:rsidR="00D1637B" w:rsidRPr="00B87CFD">
        <w:rPr>
          <w:rFonts w:ascii="Arial" w:hAnsi="Arial" w:cs="Arial"/>
          <w:sz w:val="24"/>
          <w:szCs w:val="24"/>
        </w:rPr>
        <w:t xml:space="preserve">eview of the mechanism for internal charging to the capital programme to ensure compliance with the CIPFA Code of Practice costs </w:t>
      </w:r>
      <w:r w:rsidRPr="00B87CFD">
        <w:rPr>
          <w:rFonts w:ascii="Arial" w:hAnsi="Arial" w:cs="Arial"/>
          <w:sz w:val="24"/>
          <w:szCs w:val="24"/>
        </w:rPr>
        <w:t>were</w:t>
      </w:r>
      <w:r w:rsidR="00D1637B" w:rsidRPr="00B87CFD">
        <w:rPr>
          <w:rFonts w:ascii="Arial" w:hAnsi="Arial" w:cs="Arial"/>
          <w:sz w:val="24"/>
          <w:szCs w:val="24"/>
        </w:rPr>
        <w:t xml:space="preserve"> reallocated to revenue </w:t>
      </w:r>
      <w:r w:rsidRPr="00B87CFD">
        <w:rPr>
          <w:rFonts w:ascii="Arial" w:hAnsi="Arial" w:cs="Arial"/>
          <w:sz w:val="24"/>
          <w:szCs w:val="24"/>
        </w:rPr>
        <w:t>with</w:t>
      </w:r>
      <w:r w:rsidR="00D1637B" w:rsidRPr="00B87CFD">
        <w:rPr>
          <w:rFonts w:ascii="Arial" w:hAnsi="Arial" w:cs="Arial"/>
          <w:sz w:val="24"/>
          <w:szCs w:val="24"/>
        </w:rPr>
        <w:t xml:space="preserve"> a resulting reduction in capital spend. </w:t>
      </w:r>
      <w:r w:rsidRPr="00B87CFD">
        <w:rPr>
          <w:rFonts w:ascii="Arial" w:hAnsi="Arial" w:cs="Arial"/>
          <w:sz w:val="24"/>
          <w:szCs w:val="24"/>
        </w:rPr>
        <w:t xml:space="preserve">The Council’s current external auditors Grant Thornton tested the </w:t>
      </w:r>
      <w:r w:rsidRPr="00B87CFD">
        <w:rPr>
          <w:rFonts w:ascii="Arial" w:hAnsi="Arial" w:cs="Arial"/>
          <w:sz w:val="24"/>
          <w:szCs w:val="24"/>
        </w:rPr>
        <w:lastRenderedPageBreak/>
        <w:t>capitalisation of project management costs during the 2018-19 audit and confirmed that no issues were identified</w:t>
      </w:r>
      <w:r w:rsidR="00D1637B" w:rsidRPr="00B87CFD">
        <w:rPr>
          <w:rFonts w:ascii="Arial" w:hAnsi="Arial" w:cs="Arial"/>
          <w:sz w:val="24"/>
          <w:szCs w:val="24"/>
        </w:rPr>
        <w:t>.</w:t>
      </w:r>
    </w:p>
    <w:p w14:paraId="773F19CC" w14:textId="77777777" w:rsidR="00D1637B" w:rsidRDefault="00D1637B" w:rsidP="00D1637B">
      <w:pPr>
        <w:keepNext/>
        <w:autoSpaceDE w:val="0"/>
        <w:autoSpaceDN w:val="0"/>
        <w:adjustRightInd w:val="0"/>
        <w:spacing w:after="120" w:line="240" w:lineRule="auto"/>
        <w:jc w:val="both"/>
        <w:rPr>
          <w:rFonts w:ascii="Calibri Light" w:eastAsia="Times New Roman" w:hAnsi="Calibri Light" w:cs="Times New Roman"/>
          <w:bCs/>
          <w:color w:val="5B9BD5"/>
          <w:sz w:val="26"/>
          <w:szCs w:val="26"/>
          <w:lang w:eastAsia="en-GB"/>
        </w:rPr>
      </w:pPr>
      <w:r>
        <w:rPr>
          <w:rFonts w:ascii="Calibri Light" w:eastAsia="Times New Roman" w:hAnsi="Calibri Light" w:cs="Times New Roman"/>
          <w:bCs/>
          <w:color w:val="5B9BD5"/>
          <w:sz w:val="26"/>
          <w:szCs w:val="26"/>
          <w:lang w:eastAsia="en-GB"/>
        </w:rPr>
        <w:t>Climate Change Emergency</w:t>
      </w:r>
    </w:p>
    <w:p w14:paraId="4ACDAC08" w14:textId="77777777" w:rsidR="00D1637B" w:rsidRPr="00A01341" w:rsidRDefault="00D1637B" w:rsidP="00D1637B">
      <w:pPr>
        <w:numPr>
          <w:ilvl w:val="1"/>
          <w:numId w:val="1"/>
        </w:numPr>
        <w:autoSpaceDE w:val="0"/>
        <w:autoSpaceDN w:val="0"/>
        <w:adjustRightInd w:val="0"/>
        <w:spacing w:after="120" w:line="240" w:lineRule="auto"/>
        <w:ind w:left="567" w:hanging="567"/>
        <w:jc w:val="both"/>
        <w:rPr>
          <w:rFonts w:ascii="Arial" w:hAnsi="Arial" w:cs="Arial"/>
          <w:sz w:val="24"/>
          <w:szCs w:val="24"/>
        </w:rPr>
      </w:pPr>
      <w:r w:rsidRPr="00A01341">
        <w:rPr>
          <w:rFonts w:ascii="Arial" w:hAnsi="Arial" w:cs="Arial"/>
          <w:sz w:val="24"/>
          <w:szCs w:val="24"/>
        </w:rPr>
        <w:t>UK Parliament declared a climate and environment emergency. In the light of t</w:t>
      </w:r>
      <w:r>
        <w:rPr>
          <w:rFonts w:ascii="Arial" w:hAnsi="Arial" w:cs="Arial"/>
          <w:sz w:val="24"/>
          <w:szCs w:val="24"/>
        </w:rPr>
        <w:t xml:space="preserve">he Intergovernmental Panel on Climate Change’s 2018 Special Report on “Global Warming of 1.5° C” the Council heeded the call for urgent action within the </w:t>
      </w:r>
      <w:r w:rsidRPr="00A01341">
        <w:rPr>
          <w:rFonts w:ascii="Arial" w:hAnsi="Arial" w:cs="Arial"/>
          <w:sz w:val="24"/>
          <w:szCs w:val="24"/>
        </w:rPr>
        <w:t>next 12 years to avoid a climate crisis</w:t>
      </w:r>
      <w:r>
        <w:rPr>
          <w:rFonts w:ascii="Arial" w:hAnsi="Arial" w:cs="Arial"/>
          <w:sz w:val="24"/>
          <w:szCs w:val="24"/>
        </w:rPr>
        <w:t xml:space="preserve"> and</w:t>
      </w:r>
      <w:r w:rsidRPr="00A01341">
        <w:rPr>
          <w:rFonts w:ascii="Arial" w:hAnsi="Arial" w:cs="Arial"/>
          <w:sz w:val="24"/>
          <w:szCs w:val="24"/>
        </w:rPr>
        <w:t xml:space="preserve"> has resolved to become a carbon neutral </w:t>
      </w:r>
      <w:r w:rsidRPr="00DB5925">
        <w:rPr>
          <w:rFonts w:ascii="Arial" w:hAnsi="Arial" w:cs="Arial"/>
          <w:sz w:val="24"/>
          <w:szCs w:val="24"/>
        </w:rPr>
        <w:t>city by 2028. The Council’s Energy Team have developed a plan during 2019-20 In addition, the Council will need to understand and react</w:t>
      </w:r>
      <w:r>
        <w:rPr>
          <w:rFonts w:ascii="Arial" w:hAnsi="Arial" w:cs="Arial"/>
          <w:sz w:val="24"/>
          <w:szCs w:val="24"/>
        </w:rPr>
        <w:t xml:space="preserve"> to the impacts of climate change on the Council’s operations, strategies and governance</w:t>
      </w:r>
      <w:r w:rsidR="00E3660A">
        <w:rPr>
          <w:rFonts w:ascii="Arial" w:hAnsi="Arial" w:cs="Arial"/>
          <w:sz w:val="24"/>
          <w:szCs w:val="24"/>
        </w:rPr>
        <w:t xml:space="preserve"> and investments costs must be identified</w:t>
      </w:r>
      <w:r>
        <w:rPr>
          <w:rFonts w:ascii="Arial" w:hAnsi="Arial" w:cs="Arial"/>
          <w:sz w:val="24"/>
          <w:szCs w:val="24"/>
        </w:rPr>
        <w:t>.</w:t>
      </w:r>
    </w:p>
    <w:p w14:paraId="4F4D91BC" w14:textId="77777777" w:rsidR="00D1637B" w:rsidRPr="001F38CB" w:rsidRDefault="00C02C4E" w:rsidP="00D1637B">
      <w:pPr>
        <w:keepNext/>
        <w:autoSpaceDE w:val="0"/>
        <w:autoSpaceDN w:val="0"/>
        <w:adjustRightInd w:val="0"/>
        <w:spacing w:after="120" w:line="240" w:lineRule="auto"/>
        <w:jc w:val="both"/>
        <w:rPr>
          <w:rFonts w:ascii="Calibri Light" w:eastAsia="Times New Roman" w:hAnsi="Calibri Light" w:cs="Times New Roman"/>
          <w:bCs/>
          <w:color w:val="5B9BD5"/>
          <w:sz w:val="26"/>
          <w:szCs w:val="26"/>
          <w:lang w:eastAsia="en-GB"/>
        </w:rPr>
      </w:pPr>
      <w:r>
        <w:rPr>
          <w:rFonts w:ascii="Calibri Light" w:eastAsia="Times New Roman" w:hAnsi="Calibri Light" w:cs="Times New Roman"/>
          <w:bCs/>
          <w:color w:val="5B9BD5"/>
          <w:sz w:val="26"/>
          <w:szCs w:val="26"/>
          <w:lang w:eastAsia="en-GB"/>
        </w:rPr>
        <w:t xml:space="preserve">Children </w:t>
      </w:r>
      <w:r w:rsidRPr="000C0DA7">
        <w:rPr>
          <w:rFonts w:ascii="Calibri Light" w:eastAsia="Times New Roman" w:hAnsi="Calibri Light" w:cs="Times New Roman"/>
          <w:bCs/>
          <w:color w:val="5B9BD5"/>
          <w:sz w:val="26"/>
          <w:szCs w:val="26"/>
          <w:lang w:eastAsia="en-GB"/>
        </w:rPr>
        <w:t>i</w:t>
      </w:r>
      <w:r w:rsidR="00D1637B" w:rsidRPr="000C0DA7">
        <w:rPr>
          <w:rFonts w:ascii="Calibri Light" w:eastAsia="Times New Roman" w:hAnsi="Calibri Light" w:cs="Times New Roman"/>
          <w:bCs/>
          <w:color w:val="5B9BD5"/>
          <w:sz w:val="26"/>
          <w:szCs w:val="26"/>
          <w:lang w:eastAsia="en-GB"/>
        </w:rPr>
        <w:t>n</w:t>
      </w:r>
      <w:r w:rsidR="00D1637B" w:rsidRPr="00BB216E">
        <w:rPr>
          <w:rFonts w:ascii="Calibri Light" w:eastAsia="Times New Roman" w:hAnsi="Calibri Light" w:cs="Times New Roman"/>
          <w:bCs/>
          <w:color w:val="5B9BD5"/>
          <w:sz w:val="26"/>
          <w:szCs w:val="26"/>
          <w:lang w:eastAsia="en-GB"/>
        </w:rPr>
        <w:t xml:space="preserve"> Care</w:t>
      </w:r>
    </w:p>
    <w:p w14:paraId="6DDCC989" w14:textId="77777777" w:rsidR="00D1637B" w:rsidRPr="00BB216E" w:rsidRDefault="00D1637B" w:rsidP="00D1637B">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BB216E">
        <w:rPr>
          <w:rFonts w:ascii="Arial" w:eastAsia="Times New Roman" w:hAnsi="Arial" w:cs="Arial"/>
          <w:sz w:val="24"/>
          <w:szCs w:val="24"/>
          <w:lang w:eastAsia="en-GB"/>
        </w:rPr>
        <w:t xml:space="preserve">We continue to closely monitor this cohort of children to ensure that we support children to remain within their families wherever possible and that suitable permanent alternatives are identified for those who cannot do so safely. </w:t>
      </w:r>
    </w:p>
    <w:p w14:paraId="4A2C90B8" w14:textId="77777777" w:rsidR="00D1637B" w:rsidRPr="00BB216E" w:rsidRDefault="00D1637B" w:rsidP="00D1637B">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BB216E">
        <w:rPr>
          <w:rFonts w:ascii="Arial" w:eastAsia="Times New Roman" w:hAnsi="Arial" w:cs="Arial"/>
          <w:sz w:val="24"/>
          <w:szCs w:val="24"/>
          <w:lang w:eastAsia="en-GB"/>
        </w:rPr>
        <w:t>On 16.4.</w:t>
      </w:r>
      <w:r w:rsidR="00E3660A">
        <w:rPr>
          <w:rFonts w:ascii="Arial" w:eastAsia="Times New Roman" w:hAnsi="Arial" w:cs="Arial"/>
          <w:sz w:val="24"/>
          <w:szCs w:val="24"/>
          <w:lang w:eastAsia="en-GB"/>
        </w:rPr>
        <w:t>20</w:t>
      </w:r>
      <w:r w:rsidRPr="00BB216E">
        <w:rPr>
          <w:rFonts w:ascii="Arial" w:eastAsia="Times New Roman" w:hAnsi="Arial" w:cs="Arial"/>
          <w:sz w:val="24"/>
          <w:szCs w:val="24"/>
          <w:lang w:eastAsia="en-GB"/>
        </w:rPr>
        <w:t xml:space="preserve">19 there were 619 young people in care, of who 33 were unaccompanied asylum seeking young people and 7 were remanded into our care. Our rate of children in care stood at 91.1 per 10,000 children. In 2017/18 the rate per 10,000 of our statutory neighbour group stood at 94.3 per 10,000. We have a range of innovative and evidence based services that support children to remain within their family homes. These include Multi-Systemic Therapy, Safer Families for Children, and Family Network Meetings. At the end of June 2020 there were 677 children in care. The most recent published comparator figure for children in the care of other similar authorities is from 2018/19 and stood at 97.1 per 10,000. From our work regionally we know that a number of other authorities have seen a recent increase in their numbers of children in care. </w:t>
      </w:r>
    </w:p>
    <w:p w14:paraId="2AB8B7BD" w14:textId="77777777" w:rsidR="00D1637B" w:rsidRPr="00BB216E" w:rsidRDefault="00D1637B" w:rsidP="00D1637B">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BB216E">
        <w:rPr>
          <w:rFonts w:ascii="Arial" w:eastAsia="Times New Roman" w:hAnsi="Arial" w:cs="Arial"/>
          <w:sz w:val="24"/>
          <w:szCs w:val="24"/>
          <w:lang w:eastAsia="en-GB"/>
        </w:rPr>
        <w:t xml:space="preserve">Children in care numbers have increased month on month from January 2020 – May 2020. As part of our regular and ongoing analysis, we undertook a detailed analysis of the circumstances of all children admitted into care between 1.6.20 and 9.6.20, a period that saw a particularly sharp rise. During that period 13 young people were recorded as coming into care, although analysis indicated that four of these had been admitted prior to this with data latency being the cause of them falling within the cohort. Of the remaining 9, five were from the same sibling group, one child was remanded into care, one child was made subject to an Interim Care Order and the other children came into care under Section 20 of the Children act 1989. Safeguarding concerns continue to be the largest contributory factor to children coming into care.   </w:t>
      </w:r>
    </w:p>
    <w:p w14:paraId="0B6D9FC9" w14:textId="77777777" w:rsidR="00D1637B" w:rsidRPr="00BB216E" w:rsidRDefault="00D1637B" w:rsidP="00D1637B">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BB216E">
        <w:rPr>
          <w:rFonts w:ascii="Arial" w:eastAsia="Times New Roman" w:hAnsi="Arial" w:cs="Arial"/>
          <w:sz w:val="24"/>
          <w:szCs w:val="24"/>
          <w:lang w:eastAsia="en-GB"/>
        </w:rPr>
        <w:t>At the end of March 2019 there were 447 children in foster care. We have continued to work hard to recruit City Council foster carers. As a consequence</w:t>
      </w:r>
      <w:r w:rsidR="00E3660A">
        <w:rPr>
          <w:rFonts w:ascii="Arial" w:eastAsia="Times New Roman" w:hAnsi="Arial" w:cs="Arial"/>
          <w:sz w:val="24"/>
          <w:szCs w:val="24"/>
          <w:lang w:eastAsia="en-GB"/>
        </w:rPr>
        <w:t>,</w:t>
      </w:r>
      <w:r w:rsidRPr="00BB216E">
        <w:rPr>
          <w:rFonts w:ascii="Arial" w:eastAsia="Times New Roman" w:hAnsi="Arial" w:cs="Arial"/>
          <w:sz w:val="24"/>
          <w:szCs w:val="24"/>
          <w:lang w:eastAsia="en-GB"/>
        </w:rPr>
        <w:t xml:space="preserve"> we have again increased the proportion of children in City Council foster placements to 51.7% (at the start of April 2017 this figure was 39%). In June 2020 there were 494 children in foster care. Of these 56.5% were placed with Nottingham City Foster carers. The number of children in internal foster placements has been higher than those placed with independent fostering agencies since December 2018. </w:t>
      </w:r>
    </w:p>
    <w:p w14:paraId="0797987F" w14:textId="77777777" w:rsidR="00D1637B" w:rsidRPr="00BB216E" w:rsidRDefault="00D1637B" w:rsidP="00D1637B">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BB216E">
        <w:rPr>
          <w:rFonts w:ascii="Arial" w:eastAsia="Times New Roman" w:hAnsi="Arial" w:cs="Arial"/>
          <w:sz w:val="24"/>
          <w:szCs w:val="24"/>
          <w:lang w:eastAsia="en-GB"/>
        </w:rPr>
        <w:lastRenderedPageBreak/>
        <w:t xml:space="preserve">In March 2020 90% of care leavers were in suitable accommodation (89.6% at end of March 2019) and 66% were in Education, Employment or Training (EET) (53.3 at end of March 2019). Care Leavers have been identified as a priority cohort within the Nottingham City Integrated Care Partnership. We will be working with colleagues from other statutory and voluntary sector organisations to focus on further strengthening the support we offer to care leavers in relation to accommodation, EET opportunities and the transition to adulthood for those experiencing challenges with their emotional and mental health.  </w:t>
      </w:r>
    </w:p>
    <w:p w14:paraId="5DC1F5A2" w14:textId="77777777" w:rsidR="00D1637B" w:rsidRPr="00BB216E" w:rsidRDefault="00D1637B" w:rsidP="00D1637B">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BB216E">
        <w:rPr>
          <w:rFonts w:ascii="Arial" w:eastAsia="Times New Roman" w:hAnsi="Arial" w:cs="Arial"/>
          <w:sz w:val="24"/>
          <w:szCs w:val="24"/>
          <w:lang w:eastAsia="en-GB"/>
        </w:rPr>
        <w:t>All of our children’s homes have been inspected. They are all judged to be good or outstanding.</w:t>
      </w:r>
    </w:p>
    <w:p w14:paraId="74F93C36" w14:textId="77777777" w:rsidR="00D1637B" w:rsidRPr="00BB216E" w:rsidRDefault="00D1637B" w:rsidP="00D1637B">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BB216E">
        <w:rPr>
          <w:rFonts w:ascii="Arial" w:eastAsia="Times New Roman" w:hAnsi="Arial" w:cs="Arial"/>
          <w:sz w:val="24"/>
          <w:szCs w:val="24"/>
          <w:lang w:eastAsia="en-GB"/>
        </w:rPr>
        <w:t>We are continuing to work creatively to enable children and young people to remain with their family wherever this can be managed safely</w:t>
      </w:r>
      <w:r w:rsidR="00A17F7F">
        <w:rPr>
          <w:rFonts w:ascii="Arial" w:eastAsia="Times New Roman" w:hAnsi="Arial" w:cs="Arial"/>
          <w:sz w:val="24"/>
          <w:szCs w:val="24"/>
          <w:lang w:eastAsia="en-GB"/>
        </w:rPr>
        <w:t xml:space="preserve">, </w:t>
      </w:r>
      <w:r w:rsidR="00A17F7F" w:rsidRPr="00A17F7F">
        <w:rPr>
          <w:rFonts w:ascii="Arial" w:eastAsia="Times New Roman" w:hAnsi="Arial" w:cs="Arial"/>
          <w:sz w:val="24"/>
          <w:szCs w:val="24"/>
          <w:lang w:eastAsia="en-GB"/>
        </w:rPr>
        <w:t xml:space="preserve">making sure we respect and listen to the voices of children and young people </w:t>
      </w:r>
      <w:r w:rsidR="00EE7F03" w:rsidRPr="00A17F7F">
        <w:rPr>
          <w:rFonts w:ascii="Arial" w:eastAsia="Times New Roman" w:hAnsi="Arial" w:cs="Arial"/>
          <w:sz w:val="24"/>
          <w:szCs w:val="24"/>
          <w:lang w:eastAsia="en-GB"/>
        </w:rPr>
        <w:t>in this</w:t>
      </w:r>
      <w:r w:rsidR="00A17F7F" w:rsidRPr="00A17F7F">
        <w:rPr>
          <w:rFonts w:ascii="Arial" w:eastAsia="Times New Roman" w:hAnsi="Arial" w:cs="Arial"/>
          <w:sz w:val="24"/>
          <w:szCs w:val="24"/>
          <w:lang w:eastAsia="en-GB"/>
        </w:rPr>
        <w:t xml:space="preserve"> process</w:t>
      </w:r>
      <w:r w:rsidRPr="00BB216E">
        <w:rPr>
          <w:rFonts w:ascii="Arial" w:eastAsia="Times New Roman" w:hAnsi="Arial" w:cs="Arial"/>
          <w:sz w:val="24"/>
          <w:szCs w:val="24"/>
          <w:lang w:eastAsia="en-GB"/>
        </w:rPr>
        <w:t xml:space="preserve">. </w:t>
      </w:r>
    </w:p>
    <w:p w14:paraId="1887E732" w14:textId="77777777" w:rsidR="00D1637B" w:rsidRPr="00BB216E" w:rsidRDefault="00D1637B" w:rsidP="00D1637B">
      <w:pPr>
        <w:keepNext/>
        <w:autoSpaceDE w:val="0"/>
        <w:autoSpaceDN w:val="0"/>
        <w:adjustRightInd w:val="0"/>
        <w:spacing w:after="120" w:line="240" w:lineRule="auto"/>
        <w:ind w:firstLine="567"/>
        <w:jc w:val="both"/>
        <w:rPr>
          <w:rFonts w:ascii="Arial" w:eastAsia="Times New Roman" w:hAnsi="Arial" w:cs="Arial"/>
          <w:sz w:val="24"/>
          <w:szCs w:val="24"/>
          <w:u w:val="single"/>
          <w:lang w:eastAsia="en-GB"/>
        </w:rPr>
      </w:pPr>
      <w:r w:rsidRPr="00BB216E">
        <w:rPr>
          <w:rFonts w:ascii="Arial" w:eastAsia="Times New Roman" w:hAnsi="Arial" w:cs="Arial"/>
          <w:sz w:val="24"/>
          <w:szCs w:val="24"/>
          <w:u w:val="single"/>
          <w:lang w:eastAsia="en-GB"/>
        </w:rPr>
        <w:t>The impact of Covid 19</w:t>
      </w:r>
    </w:p>
    <w:p w14:paraId="30BD1B24" w14:textId="77777777" w:rsidR="00D1637B" w:rsidRPr="00BB216E" w:rsidRDefault="00D1637B" w:rsidP="00D1637B">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BB216E">
        <w:rPr>
          <w:rFonts w:ascii="Arial" w:eastAsia="Times New Roman" w:hAnsi="Arial" w:cs="Arial"/>
          <w:sz w:val="24"/>
          <w:szCs w:val="24"/>
          <w:lang w:eastAsia="en-GB"/>
        </w:rPr>
        <w:t>Our children and families have experienced the swift and extensive impact of Covid on their daily lives, both the direct experience of Covid and the lockdown, but also the experience of living through the uncertainty of this unprecedented situation.  This will include impact on emotional, social and physical wellbeing as well as the impact due to reduced service availability and protective contacts during lockdown.</w:t>
      </w:r>
    </w:p>
    <w:p w14:paraId="61C713D6" w14:textId="77777777" w:rsidR="00D1637B" w:rsidRPr="00BB216E" w:rsidRDefault="00D1637B" w:rsidP="00D1637B">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BB216E">
        <w:rPr>
          <w:rFonts w:ascii="Arial" w:eastAsia="Times New Roman" w:hAnsi="Arial" w:cs="Arial"/>
          <w:sz w:val="24"/>
          <w:szCs w:val="24"/>
          <w:lang w:eastAsia="en-GB"/>
        </w:rPr>
        <w:t xml:space="preserve">It has been vital to maintain robust and good quality services for our children and families at this time of unprecedented challenge for them. With a national focus on keeping vulnerable children visible to services, the Department for Education guidance has been clear that it remains the responsibility of local authorities to meet their key statutory responsibilities for the welfare of children and families. These responsibilities include safeguarding children, although recognising the difficulties in seeing children a small number of limited adjustments have been provided for in national guidance (see flexibilities below). </w:t>
      </w:r>
    </w:p>
    <w:p w14:paraId="2D50D7D4" w14:textId="77777777" w:rsidR="00D1637B" w:rsidRPr="00BB216E" w:rsidRDefault="00D1637B" w:rsidP="00D1637B">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BB216E">
        <w:rPr>
          <w:rFonts w:ascii="Arial" w:eastAsia="Times New Roman" w:hAnsi="Arial" w:cs="Arial"/>
          <w:sz w:val="24"/>
          <w:szCs w:val="24"/>
          <w:lang w:eastAsia="en-GB"/>
        </w:rPr>
        <w:t xml:space="preserve">Our priority under Covid has been safeguarding and protecting the welfare of children and young people.  National guidance and public health guidance has been adhered to.  The Department for Education has published a significant range of guidance throughout the period and we have ensured that we have understood and responded accordingly.  We have sought to ensure that we understand risk and prioritise our work to reflect this.      </w:t>
      </w:r>
    </w:p>
    <w:p w14:paraId="1174A6C0" w14:textId="77777777" w:rsidR="00D1637B" w:rsidRPr="00BB216E" w:rsidRDefault="00D1637B" w:rsidP="00D1637B">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BB216E">
        <w:rPr>
          <w:rFonts w:ascii="Arial" w:eastAsia="Times New Roman" w:hAnsi="Arial" w:cs="Arial"/>
          <w:sz w:val="24"/>
          <w:szCs w:val="24"/>
          <w:lang w:eastAsia="en-GB"/>
        </w:rPr>
        <w:t xml:space="preserve">As lockdown approached the service prioritised all children for whom we had the greatest concerns for ongoing face to face visits. All families receiving early help or social work support have been risk-assessed to determine the level of support required (face-to-face or via phone/video conference).  Children and families supported by Children’s Social Care have been receiving at least fortnightly contact and those children most in need of protection are seen more often in planned and unannounced visits to ensure they are safe. This level of visiting has been below normal requirements but for a period we wanted to ensure that children’s needs were well understood and visible. </w:t>
      </w:r>
    </w:p>
    <w:p w14:paraId="432DD935" w14:textId="77777777" w:rsidR="00D1637B" w:rsidRPr="00BB216E" w:rsidRDefault="00D1637B" w:rsidP="00D1637B">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BB216E">
        <w:rPr>
          <w:rFonts w:ascii="Arial" w:eastAsia="Times New Roman" w:hAnsi="Arial" w:cs="Arial"/>
          <w:sz w:val="24"/>
          <w:szCs w:val="24"/>
          <w:lang w:eastAsia="en-GB"/>
        </w:rPr>
        <w:t>Nearly 2,500 individual risk assessments have been carried out since lockdown for children currently open to services:</w:t>
      </w:r>
    </w:p>
    <w:p w14:paraId="50F2AEB4" w14:textId="77777777" w:rsidR="00D1637B" w:rsidRPr="00BB216E" w:rsidRDefault="00D1637B" w:rsidP="00D1637B">
      <w:pPr>
        <w:pStyle w:val="ListParagraph"/>
        <w:keepNext/>
        <w:numPr>
          <w:ilvl w:val="0"/>
          <w:numId w:val="32"/>
        </w:numPr>
        <w:autoSpaceDE w:val="0"/>
        <w:autoSpaceDN w:val="0"/>
        <w:adjustRightInd w:val="0"/>
        <w:spacing w:after="120" w:line="240" w:lineRule="auto"/>
        <w:ind w:left="1134"/>
        <w:jc w:val="both"/>
        <w:rPr>
          <w:rFonts w:ascii="Arial" w:eastAsia="Times New Roman" w:hAnsi="Arial" w:cs="Arial"/>
          <w:sz w:val="24"/>
          <w:szCs w:val="24"/>
          <w:lang w:eastAsia="en-GB"/>
        </w:rPr>
      </w:pPr>
      <w:r w:rsidRPr="00BB216E">
        <w:rPr>
          <w:rFonts w:ascii="Arial" w:eastAsia="Times New Roman" w:hAnsi="Arial" w:cs="Arial"/>
          <w:sz w:val="24"/>
          <w:szCs w:val="24"/>
          <w:lang w:eastAsia="en-GB"/>
        </w:rPr>
        <w:lastRenderedPageBreak/>
        <w:t>354 were risk assessed as red</w:t>
      </w:r>
    </w:p>
    <w:p w14:paraId="0925112D" w14:textId="77777777" w:rsidR="00D1637B" w:rsidRPr="00BB216E" w:rsidRDefault="00D1637B" w:rsidP="00D1637B">
      <w:pPr>
        <w:pStyle w:val="ListParagraph"/>
        <w:keepNext/>
        <w:numPr>
          <w:ilvl w:val="0"/>
          <w:numId w:val="32"/>
        </w:numPr>
        <w:autoSpaceDE w:val="0"/>
        <w:autoSpaceDN w:val="0"/>
        <w:adjustRightInd w:val="0"/>
        <w:spacing w:after="120" w:line="240" w:lineRule="auto"/>
        <w:ind w:left="1134"/>
        <w:jc w:val="both"/>
        <w:rPr>
          <w:rFonts w:ascii="Arial" w:eastAsia="Times New Roman" w:hAnsi="Arial" w:cs="Arial"/>
          <w:sz w:val="24"/>
          <w:szCs w:val="24"/>
          <w:lang w:eastAsia="en-GB"/>
        </w:rPr>
      </w:pPr>
      <w:r w:rsidRPr="00BB216E">
        <w:rPr>
          <w:rFonts w:ascii="Arial" w:eastAsia="Times New Roman" w:hAnsi="Arial" w:cs="Arial"/>
          <w:sz w:val="24"/>
          <w:szCs w:val="24"/>
          <w:lang w:eastAsia="en-GB"/>
        </w:rPr>
        <w:t>1334 were risk assessed as amber</w:t>
      </w:r>
    </w:p>
    <w:p w14:paraId="6E10A065" w14:textId="77777777" w:rsidR="00D1637B" w:rsidRPr="00BB216E" w:rsidRDefault="00D1637B" w:rsidP="00D1637B">
      <w:pPr>
        <w:pStyle w:val="ListParagraph"/>
        <w:keepNext/>
        <w:numPr>
          <w:ilvl w:val="0"/>
          <w:numId w:val="32"/>
        </w:numPr>
        <w:autoSpaceDE w:val="0"/>
        <w:autoSpaceDN w:val="0"/>
        <w:adjustRightInd w:val="0"/>
        <w:spacing w:after="120" w:line="240" w:lineRule="auto"/>
        <w:ind w:left="1134"/>
        <w:jc w:val="both"/>
        <w:rPr>
          <w:rFonts w:ascii="Arial" w:eastAsia="Times New Roman" w:hAnsi="Arial" w:cs="Arial"/>
          <w:sz w:val="24"/>
          <w:szCs w:val="24"/>
          <w:lang w:eastAsia="en-GB"/>
        </w:rPr>
      </w:pPr>
      <w:r w:rsidRPr="00BB216E">
        <w:rPr>
          <w:rFonts w:ascii="Arial" w:eastAsia="Times New Roman" w:hAnsi="Arial" w:cs="Arial"/>
          <w:sz w:val="24"/>
          <w:szCs w:val="24"/>
          <w:lang w:eastAsia="en-GB"/>
        </w:rPr>
        <w:t>783 were risk assessed as green</w:t>
      </w:r>
    </w:p>
    <w:p w14:paraId="0EE6339D" w14:textId="77777777" w:rsidR="00D1637B" w:rsidRPr="00BB216E" w:rsidRDefault="00D1637B" w:rsidP="00D1637B">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BB216E">
        <w:rPr>
          <w:rFonts w:ascii="Arial" w:eastAsia="Times New Roman" w:hAnsi="Arial" w:cs="Arial"/>
          <w:sz w:val="24"/>
          <w:szCs w:val="24"/>
          <w:lang w:eastAsia="en-GB"/>
        </w:rPr>
        <w:t>During May 2020, risk assessments were randomly dip sampled using a regional template and findings have been available to the Corporate Director and Portfolio Holder to provide assurance regarding the practice during this period.</w:t>
      </w:r>
    </w:p>
    <w:p w14:paraId="3056B752" w14:textId="77777777" w:rsidR="00D1637B" w:rsidRPr="00BB216E" w:rsidRDefault="00D1637B" w:rsidP="00D1637B">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BB216E">
        <w:rPr>
          <w:rFonts w:ascii="Arial" w:eastAsia="Times New Roman" w:hAnsi="Arial" w:cs="Arial"/>
          <w:sz w:val="24"/>
          <w:szCs w:val="24"/>
          <w:lang w:eastAsia="en-GB"/>
        </w:rPr>
        <w:t xml:space="preserve">We engaged more social work capacity from agencies as we approached lockdown, with additional resources being invested by the Council to make sure we had enough staff to keep children safe. There have been no significant issues that we could not manage in terms of staff absence due to illness, although a number of staff are shielded or isolating at different points, many staff are working remotely. Staff usually deployed within universal services, including youth workers and Children’s Centre workers, have worked flexibly to support vulnerable children, young people and families to ensure that critical services continue. Some of our youth workers have been trained to work in our children’s homes to help fill any gaps. Family support staff have continued to visit children who may be vulnerable and robust arrangements are in place to monitor staffing levels and agree where necessary the emergency deployment of staff. </w:t>
      </w:r>
    </w:p>
    <w:p w14:paraId="09C3A1DB" w14:textId="77777777" w:rsidR="00D1637B" w:rsidRPr="00BB216E" w:rsidRDefault="00D1637B" w:rsidP="00D1637B">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BB216E">
        <w:rPr>
          <w:rFonts w:ascii="Arial" w:eastAsia="Times New Roman" w:hAnsi="Arial" w:cs="Arial"/>
          <w:sz w:val="24"/>
          <w:szCs w:val="24"/>
          <w:lang w:eastAsia="en-GB"/>
        </w:rPr>
        <w:t>There was a robust response to the impact of Covid 19 on children in care. Initially we increased the frequency of contact to every two weeks so that we were confident children and their carers were being supported. Feedback from children in settled placements was that this was too frequent and so we reduced this</w:t>
      </w:r>
      <w:r>
        <w:rPr>
          <w:rFonts w:ascii="Arial" w:eastAsia="Times New Roman" w:hAnsi="Arial" w:cs="Arial"/>
          <w:sz w:val="24"/>
          <w:szCs w:val="24"/>
          <w:lang w:eastAsia="en-GB"/>
        </w:rPr>
        <w:t>.</w:t>
      </w:r>
      <w:r w:rsidRPr="00BB216E">
        <w:rPr>
          <w:rFonts w:ascii="Arial" w:eastAsia="Times New Roman" w:hAnsi="Arial" w:cs="Arial"/>
          <w:sz w:val="24"/>
          <w:szCs w:val="24"/>
          <w:lang w:eastAsia="en-GB"/>
        </w:rPr>
        <w:t xml:space="preserve"> Most visits to children in care have been virtual, which some children are telling us that they prefer. Where we need to visit children face to face we have continued to do so. We quickly sourced PPE so that staff were able to do this. Face to face contact with birth families was suspended but contact was maintained virtually. Direct contact has recently been reintroduced following meetings with public health and infection control specialists to ensure we plan this safely </w:t>
      </w:r>
    </w:p>
    <w:p w14:paraId="3124F29A" w14:textId="77777777" w:rsidR="00D1637B" w:rsidRPr="00BB216E" w:rsidRDefault="00D1637B" w:rsidP="00D1637B">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BB216E">
        <w:rPr>
          <w:rFonts w:ascii="Arial" w:eastAsia="Times New Roman" w:hAnsi="Arial" w:cs="Arial"/>
          <w:sz w:val="24"/>
          <w:szCs w:val="24"/>
          <w:lang w:eastAsia="en-GB"/>
        </w:rPr>
        <w:t xml:space="preserve">The Court process has been delayed given the complexities of social distancing. This has delayed final outcomes for some children although we have still been able to progress plans where cases are less complex and do not require face to face hearings. Adoption work has continued, although lodging adoption applications have been impacted by the delay in court processes and we have had to find creative ways to help children transition from foster care to adoptive placements.  </w:t>
      </w:r>
    </w:p>
    <w:p w14:paraId="717BBF94" w14:textId="77777777" w:rsidR="00D1637B" w:rsidRPr="00BB216E" w:rsidRDefault="00D1637B" w:rsidP="00D1637B">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BB216E">
        <w:rPr>
          <w:rFonts w:ascii="Arial" w:eastAsia="Times New Roman" w:hAnsi="Arial" w:cs="Arial"/>
          <w:sz w:val="24"/>
          <w:szCs w:val="24"/>
          <w:lang w:eastAsia="en-GB"/>
        </w:rPr>
        <w:t xml:space="preserve">Children in care were able to attend school throughout the lockdown period but the majority did not. The main factor in this was concern about the safety of the child and/or the carer. The Virtual School and Social Care developed a system for checking on attendance rates and this had reached 45% at the end of June 2020. There are weekly meetings with education colleagues and one of the outcomes of this has been to develop resources to encourage children back to school </w:t>
      </w:r>
    </w:p>
    <w:p w14:paraId="33719577" w14:textId="77777777" w:rsidR="00D1637B" w:rsidRPr="00BB216E" w:rsidRDefault="00D1637B" w:rsidP="00D1637B">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Pr>
          <w:rFonts w:ascii="Arial" w:eastAsia="Times New Roman" w:hAnsi="Arial" w:cs="Arial"/>
          <w:sz w:val="24"/>
          <w:szCs w:val="24"/>
          <w:lang w:eastAsia="en-GB"/>
        </w:rPr>
        <w:t>Although a number of foster car</w:t>
      </w:r>
      <w:r w:rsidRPr="00BB216E">
        <w:rPr>
          <w:rFonts w:ascii="Arial" w:eastAsia="Times New Roman" w:hAnsi="Arial" w:cs="Arial"/>
          <w:sz w:val="24"/>
          <w:szCs w:val="24"/>
          <w:lang w:eastAsia="en-GB"/>
        </w:rPr>
        <w:t xml:space="preserve">ers have reported positive consequences from lock down we have seen some increase in placement breakdown. The children’s placement market is particularly challenging which has made it harder to find placements, particularly for older children or those with complex needs. We have </w:t>
      </w:r>
      <w:r w:rsidRPr="00BB216E">
        <w:rPr>
          <w:rFonts w:ascii="Arial" w:eastAsia="Times New Roman" w:hAnsi="Arial" w:cs="Arial"/>
          <w:sz w:val="24"/>
          <w:szCs w:val="24"/>
          <w:lang w:eastAsia="en-GB"/>
        </w:rPr>
        <w:lastRenderedPageBreak/>
        <w:t xml:space="preserve">recently agreed to undertake a commissioning review to look at placement availability.  </w:t>
      </w:r>
    </w:p>
    <w:p w14:paraId="277FC415" w14:textId="77777777" w:rsidR="00D1637B" w:rsidRPr="00BB216E" w:rsidRDefault="00D1637B" w:rsidP="00D1637B">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BB216E">
        <w:rPr>
          <w:rFonts w:ascii="Arial" w:eastAsia="Times New Roman" w:hAnsi="Arial" w:cs="Arial"/>
          <w:sz w:val="24"/>
          <w:szCs w:val="24"/>
          <w:lang w:eastAsia="en-GB"/>
        </w:rPr>
        <w:t>The Department for Education introduced a range of flexibilities to the regulatory framework governing work with children in care. The City Council has not utilised the overwhelming majority of these. We are using health self-declaration from potential foster carers to progress fostering assessments. We have logged all of those assessments where this approach has been necessary and will re-visit the assessments when GP surgeries return to normal. First reviews of Foster Carers where there are no concerns or issues are going straight to the Agency Decision Maker, who in the City is independently employed for this role, rather than going via the Fostering Panel. Independent visits (Regulation 44) to Children’s homes have continued to be monthly but were virtual.</w:t>
      </w:r>
    </w:p>
    <w:p w14:paraId="6B9228E7" w14:textId="77777777" w:rsidR="00D1637B" w:rsidRPr="00BB216E" w:rsidRDefault="00D1637B" w:rsidP="00D1637B">
      <w:pPr>
        <w:keepNext/>
        <w:autoSpaceDE w:val="0"/>
        <w:autoSpaceDN w:val="0"/>
        <w:adjustRightInd w:val="0"/>
        <w:spacing w:after="120" w:line="240" w:lineRule="auto"/>
        <w:jc w:val="both"/>
        <w:rPr>
          <w:rFonts w:ascii="Arial" w:eastAsia="Times New Roman" w:hAnsi="Arial" w:cs="Arial"/>
          <w:sz w:val="24"/>
          <w:szCs w:val="24"/>
          <w:u w:val="single"/>
          <w:lang w:eastAsia="en-GB"/>
        </w:rPr>
      </w:pPr>
      <w:r w:rsidRPr="00BB216E">
        <w:rPr>
          <w:rFonts w:ascii="Arial" w:eastAsia="Times New Roman" w:hAnsi="Arial" w:cs="Arial"/>
          <w:sz w:val="24"/>
          <w:szCs w:val="24"/>
          <w:u w:val="single"/>
          <w:lang w:eastAsia="en-GB"/>
        </w:rPr>
        <w:t>IICSA</w:t>
      </w:r>
    </w:p>
    <w:p w14:paraId="61380680" w14:textId="77777777" w:rsidR="00D1637B" w:rsidRPr="00BB216E" w:rsidRDefault="00D1637B" w:rsidP="00D1637B">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BB216E">
        <w:rPr>
          <w:rFonts w:ascii="Arial" w:eastAsia="Times New Roman" w:hAnsi="Arial" w:cs="Arial"/>
          <w:sz w:val="24"/>
          <w:szCs w:val="24"/>
          <w:lang w:eastAsia="en-GB"/>
        </w:rPr>
        <w:t>On 31 July 2019, IICSA published its findings into the extent of any institutional failures to protect children in the care of Nottingham City and Nottinghamshire County Councils from sexual abuse.</w:t>
      </w:r>
    </w:p>
    <w:p w14:paraId="3D5E3B96" w14:textId="77777777" w:rsidR="00D1637B" w:rsidRPr="00BB216E" w:rsidRDefault="00D1637B" w:rsidP="00D1637B">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BB216E">
        <w:rPr>
          <w:rFonts w:ascii="Arial" w:eastAsia="Times New Roman" w:hAnsi="Arial" w:cs="Arial"/>
          <w:sz w:val="24"/>
          <w:szCs w:val="24"/>
          <w:lang w:eastAsia="en-GB"/>
        </w:rPr>
        <w:t xml:space="preserve">There were two recommendations for the City Council, </w:t>
      </w:r>
    </w:p>
    <w:p w14:paraId="6320B039" w14:textId="77777777" w:rsidR="00D1637B" w:rsidRPr="00BB216E" w:rsidRDefault="00D1637B" w:rsidP="00D1637B">
      <w:pPr>
        <w:pStyle w:val="ListParagraph"/>
        <w:numPr>
          <w:ilvl w:val="1"/>
          <w:numId w:val="2"/>
        </w:numPr>
        <w:autoSpaceDE w:val="0"/>
        <w:autoSpaceDN w:val="0"/>
        <w:adjustRightInd w:val="0"/>
        <w:spacing w:after="120" w:line="240" w:lineRule="auto"/>
        <w:jc w:val="both"/>
        <w:rPr>
          <w:rFonts w:ascii="Arial" w:eastAsia="Times New Roman" w:hAnsi="Arial" w:cs="Arial"/>
          <w:sz w:val="24"/>
          <w:szCs w:val="24"/>
          <w:lang w:eastAsia="en-GB"/>
        </w:rPr>
      </w:pPr>
      <w:r w:rsidRPr="00BB216E">
        <w:rPr>
          <w:rFonts w:ascii="Arial" w:eastAsia="Times New Roman" w:hAnsi="Arial" w:cs="Arial"/>
          <w:sz w:val="24"/>
          <w:szCs w:val="24"/>
          <w:lang w:eastAsia="en-GB"/>
        </w:rPr>
        <w:t>Nottingham City Council should assess the potential risk posted by current and former foster carers directly provided by the council in relation to the sexual abuse of children. They should also ensure that current and former foster carers provided by external agencies are assessed by those agencies. Any concerns which arise should be referred to the appropriate body or process, including the Disclosure and Baring Service, the local authority designated officer (LADO) or equivalent, the fostering panel and the police.</w:t>
      </w:r>
    </w:p>
    <w:p w14:paraId="78156687" w14:textId="77777777" w:rsidR="00D1637B" w:rsidRPr="00BB216E" w:rsidRDefault="00D1637B" w:rsidP="00D1637B">
      <w:pPr>
        <w:pStyle w:val="ListParagraph"/>
        <w:numPr>
          <w:ilvl w:val="1"/>
          <w:numId w:val="2"/>
        </w:numPr>
        <w:autoSpaceDE w:val="0"/>
        <w:autoSpaceDN w:val="0"/>
        <w:adjustRightInd w:val="0"/>
        <w:spacing w:after="120" w:line="240" w:lineRule="auto"/>
        <w:jc w:val="both"/>
        <w:rPr>
          <w:rFonts w:ascii="Arial" w:eastAsia="Times New Roman" w:hAnsi="Arial" w:cs="Arial"/>
          <w:sz w:val="24"/>
          <w:szCs w:val="24"/>
          <w:lang w:eastAsia="en-GB"/>
        </w:rPr>
      </w:pPr>
      <w:r w:rsidRPr="00BB216E">
        <w:rPr>
          <w:rFonts w:ascii="Arial" w:eastAsia="Times New Roman" w:hAnsi="Arial" w:cs="Arial"/>
          <w:sz w:val="24"/>
          <w:szCs w:val="24"/>
          <w:lang w:eastAsia="en-GB"/>
        </w:rPr>
        <w:t xml:space="preserve">Nottingham City Council and its child protection partners should commission an independent, external evaluation of their practice concerning harmful sexual behaviour, including responses, prevention, assessment, intervention and workforce development. An action plan should be set up to ensure that any recommendations are responded to in a timely manner and progress should be reported to City’s Safeguarding Children Partnership. </w:t>
      </w:r>
    </w:p>
    <w:p w14:paraId="680B317E" w14:textId="77777777" w:rsidR="00D1637B" w:rsidRPr="00BB216E" w:rsidRDefault="00D1637B" w:rsidP="00D1637B">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BB216E">
        <w:rPr>
          <w:rFonts w:ascii="Arial" w:eastAsia="Times New Roman" w:hAnsi="Arial" w:cs="Arial"/>
          <w:sz w:val="24"/>
          <w:szCs w:val="24"/>
          <w:lang w:eastAsia="en-GB"/>
        </w:rPr>
        <w:t xml:space="preserve">An action plan was developed in response to the findings of the report. This was published in November 2019 and shared with the Inquiry, Victims/Survivors and partners.  </w:t>
      </w:r>
    </w:p>
    <w:p w14:paraId="107690B5" w14:textId="77777777" w:rsidR="00D1637B" w:rsidRPr="00BB216E" w:rsidRDefault="00D1637B" w:rsidP="00D1637B">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BB216E">
        <w:rPr>
          <w:rFonts w:ascii="Arial" w:eastAsia="Times New Roman" w:hAnsi="Arial" w:cs="Arial"/>
          <w:sz w:val="24"/>
          <w:szCs w:val="24"/>
          <w:lang w:eastAsia="en-GB"/>
        </w:rPr>
        <w:t>We continue to closely monitor our Action Plan and have a monthly Governance Group to review progress.</w:t>
      </w:r>
    </w:p>
    <w:p w14:paraId="2F9A32BE" w14:textId="77777777" w:rsidR="00D1637B" w:rsidRPr="00BB216E" w:rsidRDefault="00D1637B" w:rsidP="00D1637B">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BB216E">
        <w:rPr>
          <w:rFonts w:ascii="Arial" w:eastAsia="Times New Roman" w:hAnsi="Arial" w:cs="Arial"/>
          <w:sz w:val="24"/>
          <w:szCs w:val="24"/>
          <w:lang w:eastAsia="en-GB"/>
        </w:rPr>
        <w:t>We continue to work in partnership with Nottinghamshire Police to actively support the ongoing criminal investigations, help to identify perpetrators and whenever possible, bring them to justice. We also work in partnership with Nottinghamshire County Council to progress Civil Claims and with Nottinghamshire CCG to help victims access the support they need.</w:t>
      </w:r>
    </w:p>
    <w:p w14:paraId="49996556" w14:textId="77777777" w:rsidR="00D1637B" w:rsidRPr="00BB216E" w:rsidRDefault="00D1637B" w:rsidP="00D1637B">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BB216E">
        <w:rPr>
          <w:rFonts w:ascii="Arial" w:eastAsia="Times New Roman" w:hAnsi="Arial" w:cs="Arial"/>
          <w:sz w:val="24"/>
          <w:szCs w:val="24"/>
          <w:lang w:eastAsia="en-GB"/>
        </w:rPr>
        <w:t xml:space="preserve">The safety and wellbeing of children and young people in the care of the City is and always will be our highest priority. </w:t>
      </w:r>
      <w:r>
        <w:rPr>
          <w:rFonts w:ascii="Arial" w:eastAsia="Times New Roman" w:hAnsi="Arial" w:cs="Arial"/>
          <w:sz w:val="24"/>
          <w:szCs w:val="24"/>
          <w:lang w:eastAsia="en-GB"/>
        </w:rPr>
        <w:t>The Service is tracking p</w:t>
      </w:r>
      <w:r w:rsidRPr="00BB216E">
        <w:rPr>
          <w:rFonts w:ascii="Arial" w:eastAsia="Times New Roman" w:hAnsi="Arial" w:cs="Arial"/>
          <w:sz w:val="24"/>
          <w:szCs w:val="24"/>
          <w:lang w:eastAsia="en-GB"/>
        </w:rPr>
        <w:t>rogress against this action pla</w:t>
      </w:r>
      <w:r>
        <w:rPr>
          <w:rFonts w:ascii="Arial" w:eastAsia="Times New Roman" w:hAnsi="Arial" w:cs="Arial"/>
          <w:sz w:val="24"/>
          <w:szCs w:val="24"/>
          <w:lang w:eastAsia="en-GB"/>
        </w:rPr>
        <w:t>n.</w:t>
      </w:r>
    </w:p>
    <w:p w14:paraId="1CD16491" w14:textId="77777777" w:rsidR="00D1637B" w:rsidRPr="00BB216E" w:rsidRDefault="00D1637B" w:rsidP="00D1637B">
      <w:pPr>
        <w:keepNext/>
        <w:autoSpaceDE w:val="0"/>
        <w:autoSpaceDN w:val="0"/>
        <w:adjustRightInd w:val="0"/>
        <w:spacing w:after="120" w:line="240" w:lineRule="auto"/>
        <w:jc w:val="both"/>
        <w:rPr>
          <w:rFonts w:ascii="Arial" w:eastAsia="Times New Roman" w:hAnsi="Arial" w:cs="Arial"/>
          <w:sz w:val="24"/>
          <w:szCs w:val="24"/>
          <w:u w:val="single"/>
          <w:lang w:eastAsia="en-GB"/>
        </w:rPr>
      </w:pPr>
      <w:r w:rsidRPr="00BB216E">
        <w:rPr>
          <w:rFonts w:ascii="Arial" w:eastAsia="Times New Roman" w:hAnsi="Arial" w:cs="Arial"/>
          <w:sz w:val="24"/>
          <w:szCs w:val="24"/>
          <w:u w:val="single"/>
          <w:lang w:eastAsia="en-GB"/>
        </w:rPr>
        <w:lastRenderedPageBreak/>
        <w:t xml:space="preserve">Ofsted </w:t>
      </w:r>
    </w:p>
    <w:p w14:paraId="280BDDBA" w14:textId="77777777" w:rsidR="00D1637B" w:rsidRPr="00BB216E" w:rsidRDefault="00D1637B" w:rsidP="00D1637B">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BB216E">
        <w:rPr>
          <w:rFonts w:ascii="Arial" w:eastAsia="Times New Roman" w:hAnsi="Arial" w:cs="Arial"/>
          <w:sz w:val="24"/>
          <w:szCs w:val="24"/>
          <w:lang w:eastAsia="en-GB"/>
        </w:rPr>
        <w:t>In November 2018, Ofsted undertook a full inspection of Nottingham City Council’s children’s services where Inspectors found that the service ‘Requires Improvement to be Good’.  In February 2020, Ofsted undertook a Focussed Visit to look specifically at the City Council’s arrangements for children in need and those subject to a child protection plan, with a focus on children at risk of neglect.</w:t>
      </w:r>
    </w:p>
    <w:p w14:paraId="6A45F43F" w14:textId="77777777" w:rsidR="00D1637B" w:rsidRPr="00BB216E" w:rsidRDefault="00D1637B" w:rsidP="00D1637B">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BB216E">
        <w:rPr>
          <w:rFonts w:ascii="Arial" w:eastAsia="Times New Roman" w:hAnsi="Arial" w:cs="Arial"/>
          <w:sz w:val="24"/>
          <w:szCs w:val="24"/>
          <w:lang w:eastAsia="en-GB"/>
        </w:rPr>
        <w:t xml:space="preserve">There is no inspection rating given during a Focussed Visit, but inspectors concluded that the experience of children in need of help and protection in Nottingham had deteriorated since the last inspection.  Given the issues they found in the service areas they looked at, Ofsted issued two Priority Actions: </w:t>
      </w:r>
    </w:p>
    <w:p w14:paraId="18B80043" w14:textId="77777777" w:rsidR="00D1637B" w:rsidRPr="00BB216E" w:rsidRDefault="00D1637B" w:rsidP="00D1637B">
      <w:pPr>
        <w:pStyle w:val="ListParagraph"/>
        <w:numPr>
          <w:ilvl w:val="1"/>
          <w:numId w:val="2"/>
        </w:numPr>
        <w:autoSpaceDE w:val="0"/>
        <w:autoSpaceDN w:val="0"/>
        <w:adjustRightInd w:val="0"/>
        <w:spacing w:after="120" w:line="240" w:lineRule="auto"/>
        <w:jc w:val="both"/>
        <w:rPr>
          <w:rFonts w:ascii="Arial" w:eastAsia="Times New Roman" w:hAnsi="Arial" w:cs="Arial"/>
          <w:sz w:val="24"/>
          <w:szCs w:val="24"/>
          <w:lang w:eastAsia="en-GB"/>
        </w:rPr>
      </w:pPr>
      <w:r w:rsidRPr="00BB216E">
        <w:rPr>
          <w:rFonts w:ascii="Arial" w:eastAsia="Times New Roman" w:hAnsi="Arial" w:cs="Arial"/>
          <w:sz w:val="24"/>
          <w:szCs w:val="24"/>
          <w:lang w:eastAsia="en-GB"/>
        </w:rPr>
        <w:t xml:space="preserve">Address the systemic failures in social work practice to ensure that planning and intervention for children improve their experiences, and that new and emerging risks are identified and responded to. </w:t>
      </w:r>
    </w:p>
    <w:p w14:paraId="65EEC8FA" w14:textId="77777777" w:rsidR="00D1637B" w:rsidRPr="00BB216E" w:rsidRDefault="00D1637B" w:rsidP="00D1637B">
      <w:pPr>
        <w:pStyle w:val="ListParagraph"/>
        <w:numPr>
          <w:ilvl w:val="1"/>
          <w:numId w:val="2"/>
        </w:numPr>
        <w:autoSpaceDE w:val="0"/>
        <w:autoSpaceDN w:val="0"/>
        <w:adjustRightInd w:val="0"/>
        <w:spacing w:after="120" w:line="240" w:lineRule="auto"/>
        <w:jc w:val="both"/>
        <w:rPr>
          <w:rFonts w:ascii="Arial" w:eastAsia="Times New Roman" w:hAnsi="Arial" w:cs="Arial"/>
          <w:sz w:val="24"/>
          <w:szCs w:val="24"/>
          <w:lang w:eastAsia="en-GB"/>
        </w:rPr>
      </w:pPr>
      <w:r w:rsidRPr="00BB216E">
        <w:rPr>
          <w:rFonts w:ascii="Arial" w:eastAsia="Times New Roman" w:hAnsi="Arial" w:cs="Arial"/>
          <w:sz w:val="24"/>
          <w:szCs w:val="24"/>
          <w:lang w:eastAsia="en-GB"/>
        </w:rPr>
        <w:t>Stabilise the workforce and address the significant shortfall in capacity to enable social workers and first line managers to respond effectively to children in need of help and protection.</w:t>
      </w:r>
    </w:p>
    <w:p w14:paraId="14A11955" w14:textId="77777777" w:rsidR="00D1637B" w:rsidRPr="00BB216E" w:rsidRDefault="00D1637B" w:rsidP="00D1637B">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BB216E">
        <w:rPr>
          <w:rFonts w:ascii="Arial" w:eastAsia="Times New Roman" w:hAnsi="Arial" w:cs="Arial"/>
          <w:sz w:val="24"/>
          <w:szCs w:val="24"/>
          <w:lang w:eastAsia="en-GB"/>
        </w:rPr>
        <w:t xml:space="preserve">In response to the findings of the Focussed Visit, an </w:t>
      </w:r>
      <w:r w:rsidR="00E3660A">
        <w:rPr>
          <w:rFonts w:ascii="Arial" w:eastAsia="Times New Roman" w:hAnsi="Arial" w:cs="Arial"/>
          <w:sz w:val="24"/>
          <w:szCs w:val="24"/>
          <w:lang w:eastAsia="en-GB"/>
        </w:rPr>
        <w:t>improvement</w:t>
      </w:r>
      <w:r w:rsidRPr="00BB216E">
        <w:rPr>
          <w:rFonts w:ascii="Arial" w:eastAsia="Times New Roman" w:hAnsi="Arial" w:cs="Arial"/>
          <w:sz w:val="24"/>
          <w:szCs w:val="24"/>
          <w:lang w:eastAsia="en-GB"/>
        </w:rPr>
        <w:t xml:space="preserve"> plan was developed and shared with Ofsted in March this year.</w:t>
      </w:r>
      <w:r>
        <w:rPr>
          <w:rFonts w:ascii="Arial" w:eastAsia="Times New Roman" w:hAnsi="Arial" w:cs="Arial"/>
          <w:sz w:val="24"/>
          <w:szCs w:val="24"/>
          <w:lang w:eastAsia="en-GB"/>
        </w:rPr>
        <w:t xml:space="preserve"> This includes</w:t>
      </w:r>
      <w:r w:rsidRPr="002A67FA">
        <w:rPr>
          <w:rFonts w:ascii="Arial" w:eastAsia="Times New Roman" w:hAnsi="Arial" w:cs="Arial"/>
          <w:sz w:val="24"/>
          <w:szCs w:val="24"/>
          <w:lang w:eastAsia="en-GB"/>
        </w:rPr>
        <w:t xml:space="preserve"> the investment of £1.4m, appointment of a Partner in Practice </w:t>
      </w:r>
      <w:r>
        <w:rPr>
          <w:rFonts w:ascii="Arial" w:eastAsia="Times New Roman" w:hAnsi="Arial" w:cs="Arial"/>
          <w:sz w:val="24"/>
          <w:szCs w:val="24"/>
          <w:lang w:eastAsia="en-GB"/>
        </w:rPr>
        <w:t xml:space="preserve">which </w:t>
      </w:r>
      <w:r w:rsidRPr="002A67FA">
        <w:rPr>
          <w:rFonts w:ascii="Arial" w:eastAsia="Times New Roman" w:hAnsi="Arial" w:cs="Arial"/>
          <w:sz w:val="24"/>
          <w:szCs w:val="24"/>
          <w:lang w:eastAsia="en-GB"/>
        </w:rPr>
        <w:t>recogni</w:t>
      </w:r>
      <w:r>
        <w:rPr>
          <w:rFonts w:ascii="Arial" w:eastAsia="Times New Roman" w:hAnsi="Arial" w:cs="Arial"/>
          <w:sz w:val="24"/>
          <w:szCs w:val="24"/>
          <w:lang w:eastAsia="en-GB"/>
        </w:rPr>
        <w:t>ses the seriousness of</w:t>
      </w:r>
      <w:r w:rsidRPr="002A67FA">
        <w:rPr>
          <w:rFonts w:ascii="Arial" w:eastAsia="Times New Roman" w:hAnsi="Arial" w:cs="Arial"/>
          <w:sz w:val="24"/>
          <w:szCs w:val="24"/>
          <w:lang w:eastAsia="en-GB"/>
        </w:rPr>
        <w:t xml:space="preserve"> our position</w:t>
      </w:r>
      <w:r w:rsidR="00EE7F03">
        <w:rPr>
          <w:rFonts w:ascii="Arial" w:eastAsia="Times New Roman" w:hAnsi="Arial" w:cs="Arial"/>
          <w:sz w:val="24"/>
          <w:szCs w:val="24"/>
          <w:lang w:eastAsia="en-GB"/>
        </w:rPr>
        <w:t>.</w:t>
      </w:r>
      <w:r w:rsidRPr="00BB216E">
        <w:rPr>
          <w:rFonts w:ascii="Arial" w:eastAsia="Times New Roman" w:hAnsi="Arial" w:cs="Arial"/>
          <w:sz w:val="24"/>
          <w:szCs w:val="24"/>
          <w:lang w:eastAsia="en-GB"/>
        </w:rPr>
        <w:t xml:space="preserve"> The improvement programme is led by the Director of Children’s Services and the Portfolio Holder for Children and Young People.</w:t>
      </w:r>
    </w:p>
    <w:p w14:paraId="035584AF" w14:textId="77777777" w:rsidR="00D1637B" w:rsidRPr="00BB216E" w:rsidRDefault="00D1637B" w:rsidP="00D1637B">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BB216E">
        <w:rPr>
          <w:rFonts w:ascii="Arial" w:eastAsia="Times New Roman" w:hAnsi="Arial" w:cs="Arial"/>
          <w:sz w:val="24"/>
          <w:szCs w:val="24"/>
          <w:lang w:eastAsia="en-GB"/>
        </w:rPr>
        <w:t>As an immediate action, scrutiny of current Children in Need cases was undertaken to ensure that there was robust management oversight, decision-making was appropriate and that timely action had been taken to address any drift or delay identities.</w:t>
      </w:r>
    </w:p>
    <w:p w14:paraId="02CFE6E6" w14:textId="77777777" w:rsidR="00D1637B" w:rsidRPr="00BB216E" w:rsidRDefault="00D1637B" w:rsidP="00D1637B">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BB216E">
        <w:rPr>
          <w:rFonts w:ascii="Arial" w:eastAsia="Times New Roman" w:hAnsi="Arial" w:cs="Arial"/>
          <w:sz w:val="24"/>
          <w:szCs w:val="24"/>
          <w:lang w:eastAsia="en-GB"/>
        </w:rPr>
        <w:t xml:space="preserve">Alongside the response to </w:t>
      </w:r>
      <w:r w:rsidR="00EE7F03">
        <w:rPr>
          <w:rFonts w:ascii="Arial" w:eastAsia="Times New Roman" w:hAnsi="Arial" w:cs="Arial"/>
          <w:sz w:val="24"/>
          <w:szCs w:val="24"/>
          <w:lang w:eastAsia="en-GB"/>
        </w:rPr>
        <w:t>C</w:t>
      </w:r>
      <w:r w:rsidRPr="00BB216E">
        <w:rPr>
          <w:rFonts w:ascii="Arial" w:eastAsia="Times New Roman" w:hAnsi="Arial" w:cs="Arial"/>
          <w:sz w:val="24"/>
          <w:szCs w:val="24"/>
          <w:lang w:eastAsia="en-GB"/>
        </w:rPr>
        <w:t xml:space="preserve">ovid, teams have been working hard to drive delivery of this action plan and to secure sustainable improvement which will make a real difference for children, young people and families. An Improvement Fund of £1.5m one-off funding has been identified to support short-term work force capacity and delivery of the improvement plan. </w:t>
      </w:r>
    </w:p>
    <w:p w14:paraId="7CD9B74E" w14:textId="77777777" w:rsidR="00D1637B" w:rsidRPr="00BB216E" w:rsidRDefault="00D1637B" w:rsidP="00D1637B">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BB216E">
        <w:rPr>
          <w:rFonts w:ascii="Arial" w:eastAsia="Times New Roman" w:hAnsi="Arial" w:cs="Arial"/>
          <w:sz w:val="24"/>
          <w:szCs w:val="24"/>
          <w:lang w:eastAsia="en-GB"/>
        </w:rPr>
        <w:t xml:space="preserve">To drive delivery of this action plan, the Children at the Heart Improvement Board has been established.  The Improvement Board is chaired by the Chief Executive and membership includes both the Leader of the Council and the Portfolio Holder for Children and Young People, along with senior officers </w:t>
      </w:r>
      <w:r w:rsidR="00E3660A">
        <w:rPr>
          <w:rFonts w:ascii="Arial" w:eastAsia="Times New Roman" w:hAnsi="Arial" w:cs="Arial"/>
          <w:sz w:val="24"/>
          <w:szCs w:val="24"/>
          <w:lang w:eastAsia="en-GB"/>
        </w:rPr>
        <w:t xml:space="preserve">and Executive Board members </w:t>
      </w:r>
      <w:r w:rsidRPr="00BB216E">
        <w:rPr>
          <w:rFonts w:ascii="Arial" w:eastAsia="Times New Roman" w:hAnsi="Arial" w:cs="Arial"/>
          <w:sz w:val="24"/>
          <w:szCs w:val="24"/>
          <w:lang w:eastAsia="en-GB"/>
        </w:rPr>
        <w:t xml:space="preserve">of the Council.  Key health, education and police partners are </w:t>
      </w:r>
      <w:r w:rsidR="00E3660A">
        <w:rPr>
          <w:rFonts w:ascii="Arial" w:eastAsia="Times New Roman" w:hAnsi="Arial" w:cs="Arial"/>
          <w:sz w:val="24"/>
          <w:szCs w:val="24"/>
          <w:lang w:eastAsia="en-GB"/>
        </w:rPr>
        <w:t xml:space="preserve">also </w:t>
      </w:r>
      <w:r w:rsidRPr="00BB216E">
        <w:rPr>
          <w:rFonts w:ascii="Arial" w:eastAsia="Times New Roman" w:hAnsi="Arial" w:cs="Arial"/>
          <w:sz w:val="24"/>
          <w:szCs w:val="24"/>
          <w:lang w:eastAsia="en-GB"/>
        </w:rPr>
        <w:t>members.  At the time of writing this report, the Board has met four times.</w:t>
      </w:r>
      <w:r>
        <w:rPr>
          <w:rFonts w:ascii="Arial" w:eastAsia="Times New Roman" w:hAnsi="Arial" w:cs="Arial"/>
          <w:sz w:val="24"/>
          <w:szCs w:val="24"/>
          <w:lang w:eastAsia="en-GB"/>
        </w:rPr>
        <w:t xml:space="preserve"> The Service is tracking p</w:t>
      </w:r>
      <w:r w:rsidRPr="00BB216E">
        <w:rPr>
          <w:rFonts w:ascii="Arial" w:eastAsia="Times New Roman" w:hAnsi="Arial" w:cs="Arial"/>
          <w:sz w:val="24"/>
          <w:szCs w:val="24"/>
          <w:lang w:eastAsia="en-GB"/>
        </w:rPr>
        <w:t>rogress against this action pla</w:t>
      </w:r>
      <w:r>
        <w:rPr>
          <w:rFonts w:ascii="Arial" w:eastAsia="Times New Roman" w:hAnsi="Arial" w:cs="Arial"/>
          <w:sz w:val="24"/>
          <w:szCs w:val="24"/>
          <w:lang w:eastAsia="en-GB"/>
        </w:rPr>
        <w:t>n.</w:t>
      </w:r>
      <w:r w:rsidRPr="00BB216E">
        <w:rPr>
          <w:rFonts w:ascii="Arial" w:eastAsia="Times New Roman" w:hAnsi="Arial" w:cs="Arial"/>
          <w:sz w:val="24"/>
          <w:szCs w:val="24"/>
          <w:lang w:eastAsia="en-GB"/>
        </w:rPr>
        <w:t xml:space="preserve"> </w:t>
      </w:r>
    </w:p>
    <w:p w14:paraId="475A1C8E" w14:textId="77777777" w:rsidR="00D1637B" w:rsidRPr="00630B4D" w:rsidRDefault="00D1637B" w:rsidP="00D1637B">
      <w:pPr>
        <w:keepNext/>
        <w:autoSpaceDE w:val="0"/>
        <w:autoSpaceDN w:val="0"/>
        <w:spacing w:after="120" w:line="240" w:lineRule="auto"/>
        <w:jc w:val="both"/>
        <w:rPr>
          <w:rFonts w:ascii="Calibri Light" w:eastAsia="Times New Roman" w:hAnsi="Calibri Light" w:cs="Times New Roman"/>
          <w:bCs/>
          <w:color w:val="5B9BD5"/>
          <w:sz w:val="26"/>
          <w:szCs w:val="26"/>
          <w:lang w:eastAsia="en-GB"/>
        </w:rPr>
      </w:pPr>
      <w:r w:rsidRPr="00630B4D">
        <w:rPr>
          <w:rFonts w:ascii="Calibri Light" w:eastAsia="Times New Roman" w:hAnsi="Calibri Light" w:cs="Times New Roman"/>
          <w:bCs/>
          <w:color w:val="5B9BD5"/>
          <w:sz w:val="26"/>
          <w:szCs w:val="26"/>
          <w:lang w:eastAsia="en-GB"/>
        </w:rPr>
        <w:t>Workplace Parking Levy (WPL)</w:t>
      </w:r>
    </w:p>
    <w:p w14:paraId="67064FAC" w14:textId="77777777" w:rsidR="00D1637B" w:rsidRPr="00630B4D" w:rsidRDefault="00D1637B" w:rsidP="00D1637B">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9D08BE">
        <w:rPr>
          <w:rFonts w:ascii="Arial" w:eastAsia="Times New Roman" w:hAnsi="Arial" w:cs="Arial"/>
          <w:sz w:val="24"/>
          <w:szCs w:val="24"/>
          <w:lang w:eastAsia="en-GB"/>
        </w:rPr>
        <w:t xml:space="preserve">The overall NET/WPL financial model is regularly updated to reflect the actual WPL </w:t>
      </w:r>
      <w:r w:rsidRPr="009D08BE">
        <w:rPr>
          <w:rFonts w:ascii="Arial" w:hAnsi="Arial" w:cs="Arial"/>
          <w:sz w:val="24"/>
          <w:szCs w:val="24"/>
        </w:rPr>
        <w:t>income</w:t>
      </w:r>
      <w:r w:rsidRPr="009D08BE">
        <w:rPr>
          <w:rFonts w:ascii="Arial" w:eastAsia="Times New Roman" w:hAnsi="Arial" w:cs="Arial"/>
          <w:sz w:val="24"/>
          <w:szCs w:val="24"/>
          <w:lang w:eastAsia="en-GB"/>
        </w:rPr>
        <w:t xml:space="preserve"> received each financial year together with the latest projections of future income. It is proposed that the financial model be extended to 2037/38, four years after the end of the Concession Agreement, to include continued WPL income and re-profiling of the Prudential Borrowing repayments</w:t>
      </w:r>
      <w:r>
        <w:rPr>
          <w:rFonts w:ascii="Arial" w:eastAsia="Times New Roman" w:hAnsi="Arial" w:cs="Arial"/>
          <w:sz w:val="24"/>
          <w:szCs w:val="24"/>
          <w:lang w:eastAsia="en-GB"/>
        </w:rPr>
        <w:t>.</w:t>
      </w:r>
    </w:p>
    <w:p w14:paraId="782B5C63" w14:textId="77777777" w:rsidR="00D1637B" w:rsidRPr="00630B4D" w:rsidRDefault="00D1637B" w:rsidP="00D1637B">
      <w:pPr>
        <w:keepNext/>
        <w:autoSpaceDE w:val="0"/>
        <w:autoSpaceDN w:val="0"/>
        <w:adjustRightInd w:val="0"/>
        <w:spacing w:after="120" w:line="240" w:lineRule="auto"/>
        <w:jc w:val="both"/>
        <w:rPr>
          <w:rFonts w:ascii="Calibri Light" w:eastAsia="Times New Roman" w:hAnsi="Calibri Light" w:cs="Times New Roman"/>
          <w:bCs/>
          <w:color w:val="5B9BD5"/>
          <w:sz w:val="26"/>
          <w:szCs w:val="26"/>
          <w:lang w:eastAsia="en-GB"/>
        </w:rPr>
      </w:pPr>
      <w:r w:rsidRPr="00630B4D">
        <w:rPr>
          <w:rFonts w:ascii="Calibri Light" w:eastAsia="Times New Roman" w:hAnsi="Calibri Light" w:cs="Times New Roman"/>
          <w:bCs/>
          <w:color w:val="5B9BD5"/>
          <w:sz w:val="26"/>
          <w:szCs w:val="26"/>
          <w:lang w:eastAsia="en-GB"/>
        </w:rPr>
        <w:t xml:space="preserve">Information </w:t>
      </w:r>
      <w:r>
        <w:rPr>
          <w:rFonts w:ascii="Calibri Light" w:eastAsia="Times New Roman" w:hAnsi="Calibri Light" w:cs="Times New Roman"/>
          <w:bCs/>
          <w:color w:val="5B9BD5"/>
          <w:sz w:val="26"/>
          <w:szCs w:val="26"/>
          <w:lang w:eastAsia="en-GB"/>
        </w:rPr>
        <w:t>&amp; Communications Technology</w:t>
      </w:r>
    </w:p>
    <w:p w14:paraId="3284392D" w14:textId="77777777" w:rsidR="00D1637B" w:rsidRPr="00FF6F32" w:rsidRDefault="00C02C4E" w:rsidP="00D1637B">
      <w:pPr>
        <w:autoSpaceDE w:val="0"/>
        <w:autoSpaceDN w:val="0"/>
        <w:adjustRightInd w:val="0"/>
        <w:spacing w:after="0" w:line="240" w:lineRule="auto"/>
        <w:ind w:left="567"/>
        <w:jc w:val="both"/>
        <w:rPr>
          <w:rFonts w:ascii="Arial" w:eastAsia="Times New Roman" w:hAnsi="Arial" w:cs="Arial"/>
          <w:b/>
          <w:sz w:val="24"/>
          <w:szCs w:val="24"/>
          <w:lang w:eastAsia="en-GB"/>
        </w:rPr>
      </w:pPr>
      <w:r>
        <w:rPr>
          <w:rFonts w:ascii="Arial" w:eastAsia="Times New Roman" w:hAnsi="Arial" w:cs="Arial"/>
          <w:b/>
          <w:sz w:val="24"/>
          <w:szCs w:val="24"/>
          <w:lang w:eastAsia="en-GB"/>
        </w:rPr>
        <w:t xml:space="preserve">Increase </w:t>
      </w:r>
      <w:r w:rsidRPr="000C0DA7">
        <w:rPr>
          <w:rFonts w:ascii="Arial" w:eastAsia="Times New Roman" w:hAnsi="Arial" w:cs="Arial"/>
          <w:b/>
          <w:sz w:val="24"/>
          <w:szCs w:val="24"/>
          <w:lang w:eastAsia="en-GB"/>
        </w:rPr>
        <w:t>i</w:t>
      </w:r>
      <w:r w:rsidR="00D1637B" w:rsidRPr="000C0DA7">
        <w:rPr>
          <w:rFonts w:ascii="Arial" w:eastAsia="Times New Roman" w:hAnsi="Arial" w:cs="Arial"/>
          <w:b/>
          <w:sz w:val="24"/>
          <w:szCs w:val="24"/>
          <w:lang w:eastAsia="en-GB"/>
        </w:rPr>
        <w:t>n</w:t>
      </w:r>
      <w:r w:rsidR="00D1637B" w:rsidRPr="00FF6F32">
        <w:rPr>
          <w:rFonts w:ascii="Arial" w:eastAsia="Times New Roman" w:hAnsi="Arial" w:cs="Arial"/>
          <w:b/>
          <w:sz w:val="24"/>
          <w:szCs w:val="24"/>
          <w:lang w:eastAsia="en-GB"/>
        </w:rPr>
        <w:t xml:space="preserve"> Targeted Threats</w:t>
      </w:r>
    </w:p>
    <w:p w14:paraId="15924CE4" w14:textId="77777777" w:rsidR="00D1637B" w:rsidRPr="001F1BE1" w:rsidRDefault="00D1637B" w:rsidP="00D1637B">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1F1BE1">
        <w:rPr>
          <w:rFonts w:ascii="Arial" w:eastAsia="Times New Roman" w:hAnsi="Arial" w:cs="Arial"/>
          <w:sz w:val="24"/>
          <w:szCs w:val="24"/>
          <w:lang w:eastAsia="en-GB"/>
        </w:rPr>
        <w:lastRenderedPageBreak/>
        <w:t>During 201</w:t>
      </w:r>
      <w:r w:rsidR="001F1BE1" w:rsidRPr="001F1BE1">
        <w:rPr>
          <w:rFonts w:ascii="Arial" w:eastAsia="Times New Roman" w:hAnsi="Arial" w:cs="Arial"/>
          <w:sz w:val="24"/>
          <w:szCs w:val="24"/>
          <w:lang w:eastAsia="en-GB"/>
        </w:rPr>
        <w:t>9</w:t>
      </w:r>
      <w:r w:rsidRPr="001F1BE1">
        <w:rPr>
          <w:rFonts w:ascii="Arial" w:eastAsia="Times New Roman" w:hAnsi="Arial" w:cs="Arial"/>
          <w:sz w:val="24"/>
          <w:szCs w:val="24"/>
          <w:lang w:eastAsia="en-GB"/>
        </w:rPr>
        <w:t>/</w:t>
      </w:r>
      <w:r w:rsidR="001F1BE1" w:rsidRPr="001F1BE1">
        <w:rPr>
          <w:rFonts w:ascii="Arial" w:eastAsia="Times New Roman" w:hAnsi="Arial" w:cs="Arial"/>
          <w:sz w:val="24"/>
          <w:szCs w:val="24"/>
          <w:lang w:eastAsia="en-GB"/>
        </w:rPr>
        <w:t>20</w:t>
      </w:r>
      <w:r w:rsidRPr="001F1BE1">
        <w:rPr>
          <w:rFonts w:ascii="Arial" w:eastAsia="Times New Roman" w:hAnsi="Arial" w:cs="Arial"/>
          <w:sz w:val="24"/>
          <w:szCs w:val="24"/>
          <w:lang w:eastAsia="en-GB"/>
        </w:rPr>
        <w:t xml:space="preserve"> we continue to see a large number of sophisticated and often targeted attacks. This is in keeping with the broader picture across local and national government. </w:t>
      </w:r>
    </w:p>
    <w:p w14:paraId="289C7CA1" w14:textId="77777777" w:rsidR="00D1637B" w:rsidRPr="001F1BE1" w:rsidRDefault="00D1637B" w:rsidP="001F1BE1">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FC63D8">
        <w:rPr>
          <w:rFonts w:ascii="Arial" w:eastAsia="Times New Roman" w:hAnsi="Arial" w:cs="Arial"/>
          <w:sz w:val="24"/>
          <w:szCs w:val="24"/>
          <w:lang w:eastAsia="en-GB"/>
        </w:rPr>
        <w:t>We continue to be successful in preventing / detecting issues to date, but the elevated threat level continues.</w:t>
      </w:r>
    </w:p>
    <w:p w14:paraId="1665F000" w14:textId="77777777" w:rsidR="00D1637B" w:rsidRPr="00FF6F32" w:rsidRDefault="00D1637B" w:rsidP="00D1637B">
      <w:pPr>
        <w:autoSpaceDE w:val="0"/>
        <w:autoSpaceDN w:val="0"/>
        <w:adjustRightInd w:val="0"/>
        <w:spacing w:after="0" w:line="240" w:lineRule="auto"/>
        <w:ind w:left="567"/>
        <w:jc w:val="both"/>
        <w:rPr>
          <w:rFonts w:ascii="Arial" w:eastAsia="Times New Roman" w:hAnsi="Arial" w:cs="Arial"/>
          <w:b/>
          <w:sz w:val="24"/>
          <w:szCs w:val="24"/>
          <w:lang w:eastAsia="en-GB"/>
        </w:rPr>
      </w:pPr>
      <w:r w:rsidRPr="00FF6F32">
        <w:rPr>
          <w:rFonts w:ascii="Arial" w:eastAsia="Times New Roman" w:hAnsi="Arial" w:cs="Arial"/>
          <w:b/>
          <w:sz w:val="24"/>
          <w:szCs w:val="24"/>
          <w:lang w:eastAsia="en-GB"/>
        </w:rPr>
        <w:t>Security Accreditation and Best Practice</w:t>
      </w:r>
    </w:p>
    <w:p w14:paraId="5FB4FCBA" w14:textId="77777777" w:rsidR="00D1637B" w:rsidRPr="001F1BE1" w:rsidRDefault="00D1637B" w:rsidP="00D1637B">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1F1BE1">
        <w:rPr>
          <w:rFonts w:ascii="Arial" w:eastAsia="Times New Roman" w:hAnsi="Arial" w:cs="Arial"/>
          <w:sz w:val="24"/>
          <w:szCs w:val="24"/>
          <w:lang w:eastAsia="en-GB"/>
        </w:rPr>
        <w:t>In early 2019 NCC was successful in securing the Cyber Security Essentials Plus accreditation, this is in addition to remaining accredited to the Health and central government security standards, (HSCN and PSN). Whilst elective, this is a helpful check and demonstration of good practice in our approach to operational information security.</w:t>
      </w:r>
    </w:p>
    <w:p w14:paraId="3D504569" w14:textId="77777777" w:rsidR="00D1637B" w:rsidRPr="00630B4D" w:rsidRDefault="00D1637B" w:rsidP="00D1637B">
      <w:pPr>
        <w:keepNext/>
        <w:autoSpaceDE w:val="0"/>
        <w:autoSpaceDN w:val="0"/>
        <w:adjustRightInd w:val="0"/>
        <w:spacing w:after="120" w:line="240" w:lineRule="auto"/>
        <w:jc w:val="both"/>
        <w:rPr>
          <w:rFonts w:ascii="Calibri Light" w:eastAsia="Times New Roman" w:hAnsi="Calibri Light" w:cs="Times New Roman"/>
          <w:bCs/>
          <w:color w:val="5B9BD5"/>
          <w:sz w:val="26"/>
          <w:szCs w:val="26"/>
          <w:lang w:eastAsia="en-GB"/>
        </w:rPr>
      </w:pPr>
      <w:r w:rsidRPr="00630B4D">
        <w:rPr>
          <w:rFonts w:ascii="Calibri Light" w:eastAsia="Times New Roman" w:hAnsi="Calibri Light" w:cs="Times New Roman"/>
          <w:bCs/>
          <w:color w:val="5B9BD5"/>
          <w:sz w:val="26"/>
          <w:szCs w:val="26"/>
          <w:lang w:eastAsia="en-GB"/>
        </w:rPr>
        <w:t>Information Governance</w:t>
      </w:r>
    </w:p>
    <w:p w14:paraId="4B839ED1" w14:textId="77777777" w:rsidR="00D1637B" w:rsidRPr="0024195B" w:rsidRDefault="00D1637B" w:rsidP="00D1637B">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24195B">
        <w:rPr>
          <w:rFonts w:ascii="Arial" w:eastAsia="Times New Roman" w:hAnsi="Arial" w:cs="Arial"/>
          <w:sz w:val="24"/>
          <w:szCs w:val="24"/>
          <w:lang w:eastAsia="en-GB"/>
        </w:rPr>
        <w:t>An Information Compliance Board (ICB) has been established to ensure that privacy is embedded into the heart of the Council and to ensure that data protection compliance is appropriately monitored.</w:t>
      </w:r>
    </w:p>
    <w:p w14:paraId="13709151" w14:textId="77777777" w:rsidR="00D1637B" w:rsidRPr="0024195B" w:rsidRDefault="00D1637B" w:rsidP="00D1637B">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24195B">
        <w:rPr>
          <w:rFonts w:ascii="Arial" w:eastAsia="Times New Roman" w:hAnsi="Arial" w:cs="Arial"/>
          <w:sz w:val="24"/>
          <w:szCs w:val="24"/>
          <w:lang w:eastAsia="en-GB"/>
        </w:rPr>
        <w:t xml:space="preserve">The Senior Information Risk Owner (SIRO) chairs the ICB and the SIRO has overall ownership of information risk management across the </w:t>
      </w:r>
      <w:r>
        <w:rPr>
          <w:rFonts w:ascii="Arial" w:eastAsia="Times New Roman" w:hAnsi="Arial" w:cs="Arial"/>
          <w:sz w:val="24"/>
          <w:szCs w:val="24"/>
          <w:lang w:eastAsia="en-GB"/>
        </w:rPr>
        <w:t>C</w:t>
      </w:r>
      <w:r w:rsidRPr="0024195B">
        <w:rPr>
          <w:rFonts w:ascii="Arial" w:eastAsia="Times New Roman" w:hAnsi="Arial" w:cs="Arial"/>
          <w:sz w:val="24"/>
          <w:szCs w:val="24"/>
          <w:lang w:eastAsia="en-GB"/>
        </w:rPr>
        <w:t>ouncil, acting as champion for information compliance activities in order to mitigate against potential risks, and realising greater operational efficiencies and improved customer services. Information compliance activities include Data Protection, Records Management and Freedom of Information requests.</w:t>
      </w:r>
    </w:p>
    <w:p w14:paraId="60839EA6" w14:textId="77777777" w:rsidR="00D1637B" w:rsidRPr="00024F53" w:rsidRDefault="00D1637B" w:rsidP="00D1637B">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024F53">
        <w:rPr>
          <w:rFonts w:ascii="Arial" w:eastAsia="Times New Roman" w:hAnsi="Arial" w:cs="Arial"/>
          <w:sz w:val="24"/>
          <w:szCs w:val="24"/>
          <w:lang w:eastAsia="en-GB"/>
        </w:rPr>
        <w:t>Performance associated with requests under Freedom of Information and Environmental Information Regulations continue to remain above the increased statutory target of 90%. There are still challenges associated with managing and processing personal information requests under the General Data Protection Regulation 2106/679 and the Data Protection Act (DPA) 2018 and performance has currently dropped below new statutory expectations of 100% compliance. Steps have been taken to address this issue with a view to achieving the standard as soon as possible.</w:t>
      </w:r>
    </w:p>
    <w:p w14:paraId="346A386C" w14:textId="77777777" w:rsidR="00D1637B" w:rsidRPr="00630B4D" w:rsidRDefault="00D1637B" w:rsidP="00D1637B">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24195B">
        <w:rPr>
          <w:rFonts w:ascii="Arial" w:eastAsia="Times New Roman" w:hAnsi="Arial" w:cs="Arial"/>
          <w:sz w:val="24"/>
          <w:szCs w:val="24"/>
          <w:lang w:eastAsia="en-GB"/>
        </w:rPr>
        <w:t>The GDPR imposes significantly more stringent requirements for the handling of personal data</w:t>
      </w:r>
      <w:r w:rsidR="002421D4">
        <w:rPr>
          <w:rFonts w:ascii="Arial" w:eastAsia="Times New Roman" w:hAnsi="Arial" w:cs="Arial"/>
          <w:sz w:val="24"/>
          <w:szCs w:val="24"/>
          <w:lang w:eastAsia="en-GB"/>
        </w:rPr>
        <w:t xml:space="preserve"> than previous regulation</w:t>
      </w:r>
      <w:r w:rsidRPr="0024195B">
        <w:rPr>
          <w:rFonts w:ascii="Arial" w:eastAsia="Times New Roman" w:hAnsi="Arial" w:cs="Arial"/>
          <w:sz w:val="24"/>
          <w:szCs w:val="24"/>
          <w:lang w:eastAsia="en-GB"/>
        </w:rPr>
        <w:t xml:space="preserve">. </w:t>
      </w:r>
      <w:r w:rsidR="002421D4">
        <w:rPr>
          <w:rFonts w:ascii="Arial" w:eastAsia="Times New Roman" w:hAnsi="Arial" w:cs="Arial"/>
          <w:sz w:val="24"/>
          <w:szCs w:val="24"/>
          <w:lang w:eastAsia="en-GB"/>
        </w:rPr>
        <w:t>P</w:t>
      </w:r>
      <w:r w:rsidRPr="0024195B">
        <w:rPr>
          <w:rFonts w:ascii="Arial" w:eastAsia="Times New Roman" w:hAnsi="Arial" w:cs="Arial"/>
          <w:sz w:val="24"/>
          <w:szCs w:val="24"/>
          <w:lang w:eastAsia="en-GB"/>
        </w:rPr>
        <w:t xml:space="preserve">rocedures </w:t>
      </w:r>
      <w:r w:rsidR="002421D4">
        <w:rPr>
          <w:rFonts w:ascii="Arial" w:eastAsia="Times New Roman" w:hAnsi="Arial" w:cs="Arial"/>
          <w:sz w:val="24"/>
          <w:szCs w:val="24"/>
          <w:lang w:eastAsia="en-GB"/>
        </w:rPr>
        <w:t>are</w:t>
      </w:r>
      <w:r w:rsidRPr="0024195B">
        <w:rPr>
          <w:rFonts w:ascii="Arial" w:eastAsia="Times New Roman" w:hAnsi="Arial" w:cs="Arial"/>
          <w:sz w:val="24"/>
          <w:szCs w:val="24"/>
          <w:lang w:eastAsia="en-GB"/>
        </w:rPr>
        <w:t xml:space="preserve"> in place to deal with the </w:t>
      </w:r>
      <w:r w:rsidRPr="00024F53">
        <w:rPr>
          <w:rFonts w:ascii="Arial" w:eastAsia="Times New Roman" w:hAnsi="Arial" w:cs="Arial"/>
          <w:sz w:val="24"/>
          <w:szCs w:val="24"/>
          <w:lang w:eastAsia="en-GB"/>
        </w:rPr>
        <w:t>provisions of the GDPR associated with transparency and individuals' rights. A GDPR project manager is helping to monitor compliance with the GDPR and is assisting the Data Protection Officer with the GDPR project plan and the Information Assurance Framework. Mandatory GDPR training has been</w:t>
      </w:r>
      <w:r w:rsidRPr="0024195B">
        <w:rPr>
          <w:rFonts w:ascii="Arial" w:eastAsia="Times New Roman" w:hAnsi="Arial" w:cs="Arial"/>
          <w:sz w:val="24"/>
          <w:szCs w:val="24"/>
          <w:lang w:eastAsia="en-GB"/>
        </w:rPr>
        <w:t xml:space="preserve"> embedded into the organisation as has refresher t</w:t>
      </w:r>
      <w:r w:rsidR="00291FA2">
        <w:rPr>
          <w:rFonts w:ascii="Arial" w:eastAsia="Times New Roman" w:hAnsi="Arial" w:cs="Arial"/>
          <w:sz w:val="24"/>
          <w:szCs w:val="24"/>
          <w:lang w:eastAsia="en-GB"/>
        </w:rPr>
        <w:t>raining on an annual basis. D</w:t>
      </w:r>
      <w:r w:rsidRPr="0024195B">
        <w:rPr>
          <w:rFonts w:ascii="Arial" w:eastAsia="Times New Roman" w:hAnsi="Arial" w:cs="Arial"/>
          <w:sz w:val="24"/>
          <w:szCs w:val="24"/>
          <w:lang w:eastAsia="en-GB"/>
        </w:rPr>
        <w:t xml:space="preserve">ata flow mapping is </w:t>
      </w:r>
      <w:r>
        <w:rPr>
          <w:rFonts w:ascii="Arial" w:eastAsia="Times New Roman" w:hAnsi="Arial" w:cs="Arial"/>
          <w:sz w:val="24"/>
          <w:szCs w:val="24"/>
          <w:lang w:eastAsia="en-GB"/>
        </w:rPr>
        <w:t>continuing as business as usual</w:t>
      </w:r>
      <w:r w:rsidRPr="0024195B">
        <w:rPr>
          <w:rFonts w:ascii="Arial" w:eastAsia="Times New Roman" w:hAnsi="Arial" w:cs="Arial"/>
          <w:sz w:val="24"/>
          <w:szCs w:val="24"/>
          <w:lang w:eastAsia="en-GB"/>
        </w:rPr>
        <w:t xml:space="preserve"> for the </w:t>
      </w:r>
      <w:r>
        <w:rPr>
          <w:rFonts w:ascii="Arial" w:eastAsia="Times New Roman" w:hAnsi="Arial" w:cs="Arial"/>
          <w:sz w:val="24"/>
          <w:szCs w:val="24"/>
          <w:lang w:eastAsia="en-GB"/>
        </w:rPr>
        <w:t>a</w:t>
      </w:r>
      <w:r w:rsidRPr="0024195B">
        <w:rPr>
          <w:rFonts w:ascii="Arial" w:eastAsia="Times New Roman" w:hAnsi="Arial" w:cs="Arial"/>
          <w:sz w:val="24"/>
          <w:szCs w:val="24"/>
          <w:lang w:eastAsia="en-GB"/>
        </w:rPr>
        <w:t>uthority. An Annual Assurance report has been produced by Information Compliance and Information Technology for the Audit Committee.</w:t>
      </w:r>
    </w:p>
    <w:p w14:paraId="6A035336" w14:textId="77777777" w:rsidR="00D1637B" w:rsidRDefault="00D1637B" w:rsidP="00D1637B">
      <w:pPr>
        <w:keepNext/>
        <w:autoSpaceDE w:val="0"/>
        <w:autoSpaceDN w:val="0"/>
        <w:adjustRightInd w:val="0"/>
        <w:spacing w:after="120" w:line="240" w:lineRule="auto"/>
        <w:jc w:val="both"/>
        <w:rPr>
          <w:rFonts w:ascii="Calibri Light" w:eastAsia="Times New Roman" w:hAnsi="Calibri Light" w:cs="Times New Roman"/>
          <w:bCs/>
          <w:color w:val="5B9BD5"/>
          <w:sz w:val="26"/>
          <w:szCs w:val="26"/>
          <w:lang w:eastAsia="en-GB"/>
        </w:rPr>
      </w:pPr>
      <w:r w:rsidRPr="00630B4D">
        <w:rPr>
          <w:rFonts w:ascii="Calibri Light" w:eastAsia="Times New Roman" w:hAnsi="Calibri Light" w:cs="Times New Roman"/>
          <w:bCs/>
          <w:color w:val="5B9BD5"/>
          <w:sz w:val="26"/>
          <w:szCs w:val="26"/>
          <w:lang w:eastAsia="en-GB"/>
        </w:rPr>
        <w:t>Enviroenergy</w:t>
      </w:r>
      <w:r w:rsidR="00D17E19">
        <w:rPr>
          <w:rFonts w:ascii="Calibri Light" w:eastAsia="Times New Roman" w:hAnsi="Calibri Light" w:cs="Times New Roman"/>
          <w:bCs/>
          <w:color w:val="5B9BD5"/>
          <w:sz w:val="26"/>
          <w:szCs w:val="26"/>
          <w:lang w:eastAsia="en-GB"/>
        </w:rPr>
        <w:t xml:space="preserve"> </w:t>
      </w:r>
      <w:r w:rsidR="00E3660A">
        <w:rPr>
          <w:rFonts w:ascii="Calibri Light" w:eastAsia="Times New Roman" w:hAnsi="Calibri Light" w:cs="Times New Roman"/>
          <w:bCs/>
          <w:color w:val="5B9BD5"/>
          <w:sz w:val="26"/>
          <w:szCs w:val="26"/>
          <w:lang w:eastAsia="en-GB"/>
        </w:rPr>
        <w:t>(EE)</w:t>
      </w:r>
    </w:p>
    <w:p w14:paraId="1C9C1F81" w14:textId="77777777" w:rsidR="00D1637B" w:rsidRPr="00024F53" w:rsidRDefault="00D1637B" w:rsidP="00D1637B">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024F53">
        <w:rPr>
          <w:rFonts w:ascii="Arial" w:eastAsia="Times New Roman" w:hAnsi="Arial" w:cs="Arial"/>
          <w:sz w:val="24"/>
          <w:szCs w:val="24"/>
          <w:lang w:eastAsia="en-GB"/>
        </w:rPr>
        <w:t>EE is now able to issue Renewable Obligation Certificates (ROCs) for power generated through low carbon sources to secure new income for the company.</w:t>
      </w:r>
    </w:p>
    <w:p w14:paraId="2C714605" w14:textId="77777777" w:rsidR="00D1637B" w:rsidRPr="00024F53" w:rsidRDefault="00D1637B" w:rsidP="00D1637B">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024F53">
        <w:rPr>
          <w:rFonts w:ascii="Arial" w:eastAsia="Times New Roman" w:hAnsi="Arial" w:cs="Arial"/>
          <w:sz w:val="24"/>
          <w:szCs w:val="24"/>
          <w:lang w:eastAsia="en-GB"/>
        </w:rPr>
        <w:t xml:space="preserve">A number of network legacy repairs have been identified through thermal imaging drone survey work and investment in improving network quality remains a key priority for district heating longevity. Condition surveys of operating plant </w:t>
      </w:r>
      <w:r w:rsidRPr="00024F53">
        <w:rPr>
          <w:rFonts w:ascii="Arial" w:eastAsia="Times New Roman" w:hAnsi="Arial" w:cs="Arial"/>
          <w:sz w:val="24"/>
          <w:szCs w:val="24"/>
          <w:lang w:eastAsia="en-GB"/>
        </w:rPr>
        <w:lastRenderedPageBreak/>
        <w:t>at the heat station also identify significant investment need or replacement, co-dependent upon securing a steam source when current arrangements expire.</w:t>
      </w:r>
    </w:p>
    <w:p w14:paraId="10980376" w14:textId="170CF58E" w:rsidR="00D1637B" w:rsidRPr="00024F53" w:rsidRDefault="00D1637B" w:rsidP="00D1637B">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024F53">
        <w:rPr>
          <w:rFonts w:ascii="Arial" w:eastAsia="Times New Roman" w:hAnsi="Arial" w:cs="Arial"/>
          <w:sz w:val="24"/>
          <w:szCs w:val="24"/>
          <w:lang w:eastAsia="en-GB"/>
        </w:rPr>
        <w:t xml:space="preserve">Long term </w:t>
      </w:r>
      <w:r w:rsidRPr="00044213">
        <w:rPr>
          <w:rFonts w:ascii="Arial" w:eastAsia="Times New Roman" w:hAnsi="Arial" w:cs="Arial"/>
          <w:sz w:val="24"/>
          <w:szCs w:val="24"/>
          <w:lang w:eastAsia="en-GB"/>
        </w:rPr>
        <w:t>financial planning</w:t>
      </w:r>
      <w:r w:rsidRPr="00024F53">
        <w:rPr>
          <w:rFonts w:ascii="Arial" w:eastAsia="Times New Roman" w:hAnsi="Arial" w:cs="Arial"/>
          <w:sz w:val="24"/>
          <w:szCs w:val="24"/>
          <w:lang w:eastAsia="en-GB"/>
        </w:rPr>
        <w:t xml:space="preserve"> </w:t>
      </w:r>
      <w:r w:rsidR="00044213">
        <w:rPr>
          <w:rFonts w:ascii="Arial" w:eastAsia="Times New Roman" w:hAnsi="Arial" w:cs="Arial"/>
          <w:sz w:val="24"/>
          <w:szCs w:val="24"/>
          <w:lang w:eastAsia="en-GB"/>
        </w:rPr>
        <w:t xml:space="preserve">and affordability </w:t>
      </w:r>
      <w:r w:rsidRPr="00024F53">
        <w:rPr>
          <w:rFonts w:ascii="Arial" w:eastAsia="Times New Roman" w:hAnsi="Arial" w:cs="Arial"/>
          <w:sz w:val="24"/>
          <w:szCs w:val="24"/>
          <w:lang w:eastAsia="en-GB"/>
        </w:rPr>
        <w:t>remains the biggest issue and risk, with proposals being brought forward during 2019 to address this. Affordability of the proposals will need to address the roles and responsibilities of shareholder and company in determining the investment required.</w:t>
      </w:r>
    </w:p>
    <w:p w14:paraId="32C990F2" w14:textId="77777777" w:rsidR="00E60D59" w:rsidRPr="00BB3F98" w:rsidRDefault="00E60D59" w:rsidP="00E60D59">
      <w:pPr>
        <w:keepNext/>
        <w:keepLines/>
        <w:numPr>
          <w:ilvl w:val="0"/>
          <w:numId w:val="1"/>
        </w:numPr>
        <w:spacing w:before="240" w:after="0" w:line="240" w:lineRule="auto"/>
        <w:ind w:left="567" w:hanging="567"/>
        <w:outlineLvl w:val="0"/>
        <w:rPr>
          <w:rFonts w:ascii="Cambria" w:eastAsia="Times New Roman" w:hAnsi="Cambria" w:cs="Times New Roman"/>
          <w:b/>
          <w:bCs/>
          <w:color w:val="365F91"/>
          <w:sz w:val="28"/>
          <w:szCs w:val="28"/>
        </w:rPr>
      </w:pPr>
      <w:r>
        <w:rPr>
          <w:rFonts w:ascii="Cambria" w:eastAsia="Times New Roman" w:hAnsi="Cambria" w:cs="Times New Roman"/>
          <w:b/>
          <w:bCs/>
          <w:color w:val="365F91"/>
          <w:sz w:val="28"/>
          <w:szCs w:val="28"/>
        </w:rPr>
        <w:t xml:space="preserve">Responsibility of NCC and Purpose of the Governance Framework </w:t>
      </w:r>
    </w:p>
    <w:p w14:paraId="79CA6DE6" w14:textId="77777777" w:rsidR="00516573" w:rsidRPr="00516573" w:rsidRDefault="00516573" w:rsidP="00516573">
      <w:pPr>
        <w:pStyle w:val="Heading2"/>
        <w:rPr>
          <w:rFonts w:eastAsia="Times New Roman"/>
          <w:lang w:eastAsia="en-GB"/>
        </w:rPr>
      </w:pPr>
      <w:r w:rsidRPr="00516573">
        <w:rPr>
          <w:rFonts w:eastAsia="Times New Roman"/>
          <w:lang w:eastAsia="en-GB"/>
        </w:rPr>
        <w:t>NCC Responsibility for Implementing Good Governance</w:t>
      </w:r>
    </w:p>
    <w:p w14:paraId="65E71686" w14:textId="77777777" w:rsidR="00630B4D" w:rsidRPr="00630B4D" w:rsidRDefault="00630B4D" w:rsidP="0038335F">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630B4D">
        <w:rPr>
          <w:rFonts w:ascii="Arial" w:eastAsia="Times New Roman" w:hAnsi="Arial" w:cs="Arial"/>
          <w:sz w:val="24"/>
          <w:szCs w:val="24"/>
          <w:lang w:eastAsia="en-GB"/>
        </w:rPr>
        <w:t xml:space="preserve">Nottingham City Council (NCC, the Council) is responsible for ensuring that its business is conducted in accordance with the law and standards and that public money is safeguarded, properly accounted for, and used economically, efficiently and effectively. The Council also has a </w:t>
      </w:r>
      <w:r w:rsidR="00A17F7F">
        <w:rPr>
          <w:rFonts w:ascii="Arial" w:eastAsia="Times New Roman" w:hAnsi="Arial" w:cs="Arial"/>
          <w:sz w:val="24"/>
          <w:szCs w:val="24"/>
          <w:lang w:eastAsia="en-GB"/>
        </w:rPr>
        <w:t>best value</w:t>
      </w:r>
      <w:r w:rsidR="00A17F7F" w:rsidRPr="00630B4D">
        <w:rPr>
          <w:rFonts w:ascii="Arial" w:eastAsia="Times New Roman" w:hAnsi="Arial" w:cs="Arial"/>
          <w:sz w:val="24"/>
          <w:szCs w:val="24"/>
          <w:lang w:eastAsia="en-GB"/>
        </w:rPr>
        <w:t xml:space="preserve"> </w:t>
      </w:r>
      <w:r w:rsidRPr="00630B4D">
        <w:rPr>
          <w:rFonts w:ascii="Arial" w:eastAsia="Times New Roman" w:hAnsi="Arial" w:cs="Arial"/>
          <w:sz w:val="24"/>
          <w:szCs w:val="24"/>
          <w:lang w:eastAsia="en-GB"/>
        </w:rPr>
        <w:t>duty under the Local Government Act 1999 to make arrangements to secure continuous improvement in the way in which its functions are exercised, having regard to a combination of economy, efficiency and effectiveness.</w:t>
      </w:r>
    </w:p>
    <w:p w14:paraId="6D580A30" w14:textId="77777777" w:rsidR="00630B4D" w:rsidRPr="00630B4D" w:rsidRDefault="00630B4D" w:rsidP="0038335F">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630B4D">
        <w:rPr>
          <w:rFonts w:ascii="Arial" w:eastAsia="Times New Roman" w:hAnsi="Arial" w:cs="Arial"/>
          <w:sz w:val="24"/>
          <w:szCs w:val="24"/>
          <w:lang w:eastAsia="en-GB"/>
        </w:rPr>
        <w:t>In discharging this overall responsibility, the Council is responsible for putting in place proper arrangements for the governance of its affairs and facilitating the effective exercise of its functions</w:t>
      </w:r>
      <w:r w:rsidR="00AC1B2D">
        <w:rPr>
          <w:rFonts w:ascii="Arial" w:eastAsia="Times New Roman" w:hAnsi="Arial" w:cs="Arial"/>
          <w:sz w:val="24"/>
          <w:szCs w:val="24"/>
          <w:lang w:eastAsia="en-GB"/>
        </w:rPr>
        <w:t>, and effective delivery of its powers and duties</w:t>
      </w:r>
      <w:r w:rsidRPr="00630B4D">
        <w:rPr>
          <w:rFonts w:ascii="Arial" w:eastAsia="Times New Roman" w:hAnsi="Arial" w:cs="Arial"/>
          <w:sz w:val="24"/>
          <w:szCs w:val="24"/>
          <w:lang w:eastAsia="en-GB"/>
        </w:rPr>
        <w:t>, this includes arrangements for the management of risk</w:t>
      </w:r>
      <w:r w:rsidR="006B1884" w:rsidRPr="00FC31C5">
        <w:rPr>
          <w:rFonts w:ascii="Arial" w:eastAsia="Times New Roman" w:hAnsi="Arial" w:cs="Arial"/>
          <w:sz w:val="24"/>
          <w:szCs w:val="24"/>
          <w:lang w:eastAsia="en-GB"/>
        </w:rPr>
        <w:t>, and a sound system of internal control</w:t>
      </w:r>
      <w:r w:rsidRPr="00630B4D">
        <w:rPr>
          <w:rFonts w:ascii="Arial" w:eastAsia="Times New Roman" w:hAnsi="Arial" w:cs="Arial"/>
          <w:sz w:val="24"/>
          <w:szCs w:val="24"/>
          <w:lang w:eastAsia="en-GB"/>
        </w:rPr>
        <w:t>.</w:t>
      </w:r>
    </w:p>
    <w:p w14:paraId="658BC8C6" w14:textId="77777777" w:rsidR="00F14DDA" w:rsidRDefault="00630B4D" w:rsidP="0038335F">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630B4D">
        <w:rPr>
          <w:rFonts w:ascii="Arial" w:eastAsia="Times New Roman" w:hAnsi="Arial" w:cs="Arial"/>
          <w:sz w:val="24"/>
          <w:szCs w:val="24"/>
          <w:lang w:eastAsia="en-GB"/>
        </w:rPr>
        <w:t xml:space="preserve">The Council approved and adopted a code of corporate governance consistent with the principles of the 2016 CIPFA/SOLACE Framework Delivering Good Governance in Local Government publication. A copy of the code is available on our website at </w:t>
      </w:r>
      <w:hyperlink r:id="rId9" w:history="1">
        <w:r w:rsidRPr="0038335F">
          <w:rPr>
            <w:rFonts w:ascii="Arial" w:eastAsia="Times New Roman" w:hAnsi="Arial" w:cs="Arial"/>
            <w:sz w:val="24"/>
            <w:szCs w:val="24"/>
            <w:lang w:eastAsia="en-GB"/>
          </w:rPr>
          <w:t>http://www.nottingham.gov.uk/governance</w:t>
        </w:r>
      </w:hyperlink>
      <w:r w:rsidRPr="00630B4D">
        <w:rPr>
          <w:rFonts w:ascii="Arial" w:eastAsia="Times New Roman" w:hAnsi="Arial" w:cs="Arial"/>
          <w:sz w:val="24"/>
          <w:szCs w:val="24"/>
          <w:lang w:eastAsia="en-GB"/>
        </w:rPr>
        <w:t xml:space="preserve">. </w:t>
      </w:r>
    </w:p>
    <w:p w14:paraId="3EA23F27" w14:textId="77777777" w:rsidR="00630B4D" w:rsidRPr="00234B04" w:rsidRDefault="00E60D59" w:rsidP="0038335F">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Pr>
          <w:rFonts w:ascii="Arial" w:eastAsia="Times New Roman" w:hAnsi="Arial" w:cs="Arial"/>
          <w:sz w:val="24"/>
          <w:szCs w:val="24"/>
          <w:lang w:eastAsia="en-GB"/>
        </w:rPr>
        <w:t>This</w:t>
      </w:r>
      <w:r w:rsidR="00F14DDA" w:rsidRPr="00234B04">
        <w:rPr>
          <w:rFonts w:ascii="Arial" w:eastAsia="Times New Roman" w:hAnsi="Arial" w:cs="Arial"/>
          <w:sz w:val="24"/>
          <w:szCs w:val="24"/>
          <w:lang w:eastAsia="en-GB"/>
        </w:rPr>
        <w:t xml:space="preserve"> </w:t>
      </w:r>
      <w:r w:rsidR="00630B4D" w:rsidRPr="00234B04">
        <w:rPr>
          <w:rFonts w:ascii="Arial" w:eastAsia="Times New Roman" w:hAnsi="Arial" w:cs="Arial"/>
          <w:sz w:val="24"/>
          <w:szCs w:val="24"/>
          <w:lang w:eastAsia="en-GB"/>
        </w:rPr>
        <w:t>statement explains how the Council ha</w:t>
      </w:r>
      <w:r w:rsidR="00F71A45" w:rsidRPr="00234B04">
        <w:rPr>
          <w:rFonts w:ascii="Arial" w:eastAsia="Times New Roman" w:hAnsi="Arial" w:cs="Arial"/>
          <w:sz w:val="24"/>
          <w:szCs w:val="24"/>
          <w:lang w:eastAsia="en-GB"/>
        </w:rPr>
        <w:t xml:space="preserve">s complied with the code in </w:t>
      </w:r>
      <w:r w:rsidR="00F46F49">
        <w:rPr>
          <w:rFonts w:ascii="Arial" w:eastAsia="Times New Roman" w:hAnsi="Arial" w:cs="Arial"/>
          <w:sz w:val="24"/>
          <w:szCs w:val="24"/>
          <w:lang w:eastAsia="en-GB"/>
        </w:rPr>
        <w:t>2019/20</w:t>
      </w:r>
      <w:r w:rsidR="00630B4D" w:rsidRPr="00234B04">
        <w:rPr>
          <w:rFonts w:ascii="Arial" w:eastAsia="Times New Roman" w:hAnsi="Arial" w:cs="Arial"/>
          <w:sz w:val="24"/>
          <w:szCs w:val="24"/>
          <w:lang w:eastAsia="en-GB"/>
        </w:rPr>
        <w:t xml:space="preserve"> and also meets the requirements of the Accounts and Audit (England) Regulations 2015, which require all relevant bodies to review their system of internal control and prepare an Annual Governance Statement.</w:t>
      </w:r>
      <w:r w:rsidR="00F14DDA" w:rsidRPr="00234B04">
        <w:rPr>
          <w:rFonts w:ascii="Arial" w:eastAsia="Times New Roman" w:hAnsi="Arial" w:cs="Arial"/>
          <w:sz w:val="24"/>
          <w:szCs w:val="24"/>
          <w:lang w:eastAsia="en-GB"/>
        </w:rPr>
        <w:t xml:space="preserve"> It reports on</w:t>
      </w:r>
    </w:p>
    <w:p w14:paraId="715D923B" w14:textId="77777777" w:rsidR="00F14DDA" w:rsidRPr="00234B04" w:rsidRDefault="00F14DDA" w:rsidP="00F14DDA">
      <w:pPr>
        <w:numPr>
          <w:ilvl w:val="2"/>
          <w:numId w:val="1"/>
        </w:numPr>
        <w:autoSpaceDE w:val="0"/>
        <w:autoSpaceDN w:val="0"/>
        <w:adjustRightInd w:val="0"/>
        <w:spacing w:after="120" w:line="240" w:lineRule="auto"/>
        <w:jc w:val="both"/>
        <w:rPr>
          <w:rFonts w:ascii="Arial" w:eastAsia="Times New Roman" w:hAnsi="Arial" w:cs="Arial"/>
          <w:sz w:val="24"/>
          <w:szCs w:val="24"/>
          <w:lang w:eastAsia="en-GB"/>
        </w:rPr>
      </w:pPr>
      <w:r w:rsidRPr="00234B04">
        <w:rPr>
          <w:rFonts w:ascii="Arial" w:eastAsia="Times New Roman" w:hAnsi="Arial" w:cs="Arial"/>
          <w:sz w:val="24"/>
          <w:szCs w:val="24"/>
          <w:lang w:eastAsia="en-GB"/>
        </w:rPr>
        <w:t xml:space="preserve">The governance system as it applied during the financial year </w:t>
      </w:r>
      <w:r w:rsidR="00F46F49">
        <w:rPr>
          <w:rFonts w:ascii="Arial" w:eastAsia="Times New Roman" w:hAnsi="Arial" w:cs="Arial"/>
          <w:sz w:val="24"/>
          <w:szCs w:val="24"/>
          <w:lang w:eastAsia="en-GB"/>
        </w:rPr>
        <w:t>2019/20</w:t>
      </w:r>
      <w:r w:rsidRPr="00234B04">
        <w:rPr>
          <w:rFonts w:ascii="Arial" w:eastAsia="Times New Roman" w:hAnsi="Arial" w:cs="Arial"/>
          <w:sz w:val="24"/>
          <w:szCs w:val="24"/>
          <w:lang w:eastAsia="en-GB"/>
        </w:rPr>
        <w:t xml:space="preserve"> including group activities.</w:t>
      </w:r>
    </w:p>
    <w:p w14:paraId="2DBFE42F" w14:textId="77777777" w:rsidR="00F14DDA" w:rsidRPr="00234B04" w:rsidRDefault="00F14DDA" w:rsidP="00F14DDA">
      <w:pPr>
        <w:numPr>
          <w:ilvl w:val="2"/>
          <w:numId w:val="1"/>
        </w:numPr>
        <w:autoSpaceDE w:val="0"/>
        <w:autoSpaceDN w:val="0"/>
        <w:adjustRightInd w:val="0"/>
        <w:spacing w:after="120" w:line="240" w:lineRule="auto"/>
        <w:jc w:val="both"/>
        <w:rPr>
          <w:rFonts w:ascii="Arial" w:eastAsia="Times New Roman" w:hAnsi="Arial" w:cs="Arial"/>
          <w:sz w:val="24"/>
          <w:szCs w:val="24"/>
          <w:lang w:eastAsia="en-GB"/>
        </w:rPr>
      </w:pPr>
      <w:r w:rsidRPr="00234B04">
        <w:rPr>
          <w:rFonts w:ascii="Arial" w:eastAsia="Times New Roman" w:hAnsi="Arial" w:cs="Arial"/>
          <w:sz w:val="24"/>
          <w:szCs w:val="24"/>
          <w:lang w:eastAsia="en-GB"/>
        </w:rPr>
        <w:t>Significant events or developments relating to the governance system that have occurred between the year-end and the date on which the Statement of Accounts is signed by the responsible financial officer.</w:t>
      </w:r>
    </w:p>
    <w:p w14:paraId="35A1B791" w14:textId="77777777" w:rsidR="00B55F36" w:rsidRDefault="00630B4D" w:rsidP="00E60D59">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630B4D">
        <w:rPr>
          <w:rFonts w:ascii="Arial" w:eastAsia="Times New Roman" w:hAnsi="Arial" w:cs="Arial"/>
          <w:sz w:val="24"/>
          <w:szCs w:val="24"/>
          <w:lang w:eastAsia="en-GB"/>
        </w:rPr>
        <w:t>In addition</w:t>
      </w:r>
      <w:r w:rsidR="00B641A0">
        <w:rPr>
          <w:rFonts w:ascii="Arial" w:eastAsia="Times New Roman" w:hAnsi="Arial" w:cs="Arial"/>
          <w:sz w:val="24"/>
          <w:szCs w:val="24"/>
          <w:lang w:eastAsia="en-GB"/>
        </w:rPr>
        <w:t>,</w:t>
      </w:r>
      <w:r w:rsidRPr="00630B4D">
        <w:rPr>
          <w:rFonts w:ascii="Arial" w:eastAsia="Times New Roman" w:hAnsi="Arial" w:cs="Arial"/>
          <w:sz w:val="24"/>
          <w:szCs w:val="24"/>
          <w:lang w:eastAsia="en-GB"/>
        </w:rPr>
        <w:t xml:space="preserve"> the CIPFA Code of Practice on Local Authority Accounting requires reference to and assessment of the effectiveness of key elements of the governance framework, including</w:t>
      </w:r>
      <w:r w:rsidR="00B55F36">
        <w:rPr>
          <w:rFonts w:ascii="Arial" w:eastAsia="Times New Roman" w:hAnsi="Arial" w:cs="Arial"/>
          <w:sz w:val="24"/>
          <w:szCs w:val="24"/>
          <w:lang w:eastAsia="en-GB"/>
        </w:rPr>
        <w:t>:</w:t>
      </w:r>
    </w:p>
    <w:p w14:paraId="180BFD03" w14:textId="77777777" w:rsidR="00B55F36" w:rsidRDefault="00630B4D" w:rsidP="000B0B40">
      <w:pPr>
        <w:pStyle w:val="ListParagraph"/>
        <w:numPr>
          <w:ilvl w:val="0"/>
          <w:numId w:val="40"/>
        </w:numPr>
        <w:autoSpaceDE w:val="0"/>
        <w:autoSpaceDN w:val="0"/>
        <w:adjustRightInd w:val="0"/>
        <w:spacing w:after="120" w:line="240" w:lineRule="auto"/>
        <w:jc w:val="both"/>
        <w:rPr>
          <w:rFonts w:ascii="Arial" w:eastAsia="Times New Roman" w:hAnsi="Arial" w:cs="Arial"/>
          <w:sz w:val="24"/>
          <w:szCs w:val="24"/>
          <w:lang w:eastAsia="en-GB"/>
        </w:rPr>
      </w:pPr>
      <w:r w:rsidRPr="000B0B40">
        <w:rPr>
          <w:rFonts w:ascii="Arial" w:eastAsia="Times New Roman" w:hAnsi="Arial" w:cs="Arial"/>
          <w:sz w:val="24"/>
          <w:szCs w:val="24"/>
          <w:lang w:eastAsia="en-GB"/>
        </w:rPr>
        <w:t xml:space="preserve">group activities where the activities are significant, </w:t>
      </w:r>
    </w:p>
    <w:p w14:paraId="1EF60C92" w14:textId="77777777" w:rsidR="00B55F36" w:rsidRDefault="00630B4D" w:rsidP="000B0B40">
      <w:pPr>
        <w:pStyle w:val="ListParagraph"/>
        <w:numPr>
          <w:ilvl w:val="0"/>
          <w:numId w:val="40"/>
        </w:numPr>
        <w:autoSpaceDE w:val="0"/>
        <w:autoSpaceDN w:val="0"/>
        <w:adjustRightInd w:val="0"/>
        <w:spacing w:after="120" w:line="240" w:lineRule="auto"/>
        <w:jc w:val="both"/>
        <w:rPr>
          <w:rFonts w:ascii="Arial" w:eastAsia="Times New Roman" w:hAnsi="Arial" w:cs="Arial"/>
          <w:sz w:val="24"/>
          <w:szCs w:val="24"/>
          <w:lang w:eastAsia="en-GB"/>
        </w:rPr>
      </w:pPr>
      <w:r w:rsidRPr="000B0B40">
        <w:rPr>
          <w:rFonts w:ascii="Arial" w:eastAsia="Times New Roman" w:hAnsi="Arial" w:cs="Arial"/>
          <w:sz w:val="24"/>
          <w:szCs w:val="24"/>
          <w:lang w:eastAsia="en-GB"/>
        </w:rPr>
        <w:t>the role of those responsible for the development and maintenance of the governance environment such as</w:t>
      </w:r>
    </w:p>
    <w:p w14:paraId="604D0485" w14:textId="77777777" w:rsidR="00B55F36" w:rsidRDefault="00630B4D" w:rsidP="000B0B40">
      <w:pPr>
        <w:pStyle w:val="ListParagraph"/>
        <w:numPr>
          <w:ilvl w:val="1"/>
          <w:numId w:val="40"/>
        </w:numPr>
        <w:autoSpaceDE w:val="0"/>
        <w:autoSpaceDN w:val="0"/>
        <w:adjustRightInd w:val="0"/>
        <w:spacing w:after="120" w:line="240" w:lineRule="auto"/>
        <w:jc w:val="both"/>
        <w:rPr>
          <w:rFonts w:ascii="Arial" w:eastAsia="Times New Roman" w:hAnsi="Arial" w:cs="Arial"/>
          <w:sz w:val="24"/>
          <w:szCs w:val="24"/>
          <w:lang w:eastAsia="en-GB"/>
        </w:rPr>
      </w:pPr>
      <w:r w:rsidRPr="000B0B40">
        <w:rPr>
          <w:rFonts w:ascii="Arial" w:eastAsia="Times New Roman" w:hAnsi="Arial" w:cs="Arial"/>
          <w:sz w:val="24"/>
          <w:szCs w:val="24"/>
          <w:lang w:eastAsia="en-GB"/>
        </w:rPr>
        <w:t xml:space="preserve"> the authority, </w:t>
      </w:r>
    </w:p>
    <w:p w14:paraId="05B34719" w14:textId="77777777" w:rsidR="00B55F36" w:rsidRDefault="00630B4D" w:rsidP="000B0B40">
      <w:pPr>
        <w:pStyle w:val="ListParagraph"/>
        <w:numPr>
          <w:ilvl w:val="1"/>
          <w:numId w:val="40"/>
        </w:numPr>
        <w:autoSpaceDE w:val="0"/>
        <w:autoSpaceDN w:val="0"/>
        <w:adjustRightInd w:val="0"/>
        <w:spacing w:after="120" w:line="240" w:lineRule="auto"/>
        <w:jc w:val="both"/>
        <w:rPr>
          <w:rFonts w:ascii="Arial" w:eastAsia="Times New Roman" w:hAnsi="Arial" w:cs="Arial"/>
          <w:sz w:val="24"/>
          <w:szCs w:val="24"/>
          <w:lang w:eastAsia="en-GB"/>
        </w:rPr>
      </w:pPr>
      <w:r w:rsidRPr="000B0B40">
        <w:rPr>
          <w:rFonts w:ascii="Arial" w:eastAsia="Times New Roman" w:hAnsi="Arial" w:cs="Arial"/>
          <w:sz w:val="24"/>
          <w:szCs w:val="24"/>
          <w:lang w:eastAsia="en-GB"/>
        </w:rPr>
        <w:t xml:space="preserve">the executive, </w:t>
      </w:r>
    </w:p>
    <w:p w14:paraId="49BB4952" w14:textId="77777777" w:rsidR="00B55F36" w:rsidRDefault="00630B4D" w:rsidP="000B0B40">
      <w:pPr>
        <w:pStyle w:val="ListParagraph"/>
        <w:numPr>
          <w:ilvl w:val="1"/>
          <w:numId w:val="40"/>
        </w:numPr>
        <w:autoSpaceDE w:val="0"/>
        <w:autoSpaceDN w:val="0"/>
        <w:adjustRightInd w:val="0"/>
        <w:spacing w:after="120" w:line="240" w:lineRule="auto"/>
        <w:jc w:val="both"/>
        <w:rPr>
          <w:rFonts w:ascii="Arial" w:eastAsia="Times New Roman" w:hAnsi="Arial" w:cs="Arial"/>
          <w:sz w:val="24"/>
          <w:szCs w:val="24"/>
          <w:lang w:eastAsia="en-GB"/>
        </w:rPr>
      </w:pPr>
      <w:r w:rsidRPr="000B0B40">
        <w:rPr>
          <w:rFonts w:ascii="Arial" w:eastAsia="Times New Roman" w:hAnsi="Arial" w:cs="Arial"/>
          <w:sz w:val="24"/>
          <w:szCs w:val="24"/>
          <w:lang w:eastAsia="en-GB"/>
        </w:rPr>
        <w:t xml:space="preserve">the audit committee </w:t>
      </w:r>
    </w:p>
    <w:p w14:paraId="30F8B451" w14:textId="77777777" w:rsidR="00630B4D" w:rsidRPr="000B0B40" w:rsidRDefault="00630B4D" w:rsidP="000B0B40">
      <w:pPr>
        <w:pStyle w:val="ListParagraph"/>
        <w:numPr>
          <w:ilvl w:val="1"/>
          <w:numId w:val="40"/>
        </w:numPr>
        <w:autoSpaceDE w:val="0"/>
        <w:autoSpaceDN w:val="0"/>
        <w:adjustRightInd w:val="0"/>
        <w:spacing w:after="120" w:line="240" w:lineRule="auto"/>
        <w:jc w:val="both"/>
        <w:rPr>
          <w:rFonts w:ascii="Arial" w:eastAsia="Times New Roman" w:hAnsi="Arial" w:cs="Arial"/>
          <w:sz w:val="24"/>
          <w:szCs w:val="24"/>
          <w:lang w:eastAsia="en-GB"/>
        </w:rPr>
      </w:pPr>
      <w:r w:rsidRPr="000B0B40">
        <w:rPr>
          <w:rFonts w:ascii="Arial" w:eastAsia="Times New Roman" w:hAnsi="Arial" w:cs="Arial"/>
          <w:sz w:val="24"/>
          <w:szCs w:val="24"/>
          <w:lang w:eastAsia="en-GB"/>
        </w:rPr>
        <w:t>others as appropriate</w:t>
      </w:r>
      <w:r w:rsidR="00AC1B2D" w:rsidRPr="000B0B40">
        <w:rPr>
          <w:rFonts w:ascii="Arial" w:eastAsia="Times New Roman" w:hAnsi="Arial" w:cs="Arial"/>
          <w:sz w:val="24"/>
          <w:szCs w:val="24"/>
          <w:lang w:eastAsia="en-GB"/>
        </w:rPr>
        <w:t xml:space="preserve"> including shareholder representatives</w:t>
      </w:r>
      <w:r w:rsidRPr="000B0B40">
        <w:rPr>
          <w:rFonts w:ascii="Arial" w:eastAsia="Times New Roman" w:hAnsi="Arial" w:cs="Arial"/>
          <w:sz w:val="24"/>
          <w:szCs w:val="24"/>
          <w:lang w:eastAsia="en-GB"/>
        </w:rPr>
        <w:t xml:space="preserve">. </w:t>
      </w:r>
    </w:p>
    <w:p w14:paraId="502A65FC" w14:textId="77777777" w:rsidR="00630B4D" w:rsidRPr="00630B4D" w:rsidRDefault="00630B4D" w:rsidP="0038335F">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630B4D">
        <w:rPr>
          <w:rFonts w:ascii="Arial" w:eastAsia="Times New Roman" w:hAnsi="Arial" w:cs="Arial"/>
          <w:sz w:val="24"/>
          <w:szCs w:val="24"/>
          <w:lang w:eastAsia="en-GB"/>
        </w:rPr>
        <w:lastRenderedPageBreak/>
        <w:t xml:space="preserve">Good governance helps the Council to set </w:t>
      </w:r>
      <w:r w:rsidR="00537F27">
        <w:rPr>
          <w:rFonts w:ascii="Arial" w:eastAsia="Times New Roman" w:hAnsi="Arial" w:cs="Arial"/>
          <w:sz w:val="24"/>
          <w:szCs w:val="24"/>
          <w:lang w:eastAsia="en-GB"/>
        </w:rPr>
        <w:t xml:space="preserve">its </w:t>
      </w:r>
      <w:r w:rsidRPr="00630B4D">
        <w:rPr>
          <w:rFonts w:ascii="Arial" w:eastAsia="Times New Roman" w:hAnsi="Arial" w:cs="Arial"/>
          <w:sz w:val="24"/>
          <w:szCs w:val="24"/>
          <w:lang w:eastAsia="en-GB"/>
        </w:rPr>
        <w:t>objectives and achieve them</w:t>
      </w:r>
      <w:r w:rsidR="00537F27">
        <w:rPr>
          <w:rFonts w:ascii="Arial" w:eastAsia="Times New Roman" w:hAnsi="Arial" w:cs="Arial"/>
          <w:sz w:val="24"/>
          <w:szCs w:val="24"/>
          <w:lang w:eastAsia="en-GB"/>
        </w:rPr>
        <w:t xml:space="preserve"> efficiently and deliver value for money for the tax payer</w:t>
      </w:r>
      <w:r w:rsidR="00B641A0">
        <w:rPr>
          <w:rFonts w:ascii="Arial" w:eastAsia="Times New Roman" w:hAnsi="Arial" w:cs="Arial"/>
          <w:sz w:val="24"/>
          <w:szCs w:val="24"/>
          <w:lang w:eastAsia="en-GB"/>
        </w:rPr>
        <w:t>.</w:t>
      </w:r>
      <w:r w:rsidRPr="00630B4D">
        <w:rPr>
          <w:rFonts w:ascii="Arial" w:eastAsia="Times New Roman" w:hAnsi="Arial" w:cs="Arial"/>
          <w:sz w:val="24"/>
          <w:szCs w:val="24"/>
          <w:lang w:eastAsia="en-GB"/>
        </w:rPr>
        <w:t xml:space="preserve"> </w:t>
      </w:r>
    </w:p>
    <w:p w14:paraId="0597573B" w14:textId="77777777" w:rsidR="00630B4D" w:rsidRPr="00630B4D" w:rsidRDefault="00630B4D" w:rsidP="0038335F">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630B4D">
        <w:rPr>
          <w:rFonts w:ascii="Arial" w:eastAsia="Times New Roman" w:hAnsi="Arial" w:cs="Arial"/>
          <w:sz w:val="24"/>
          <w:szCs w:val="24"/>
          <w:lang w:eastAsia="en-GB"/>
        </w:rPr>
        <w:t xml:space="preserve">The guidance for implementing good governance was updated in 2016 by CIPFA / SOLACE to reflect a revision to the </w:t>
      </w:r>
      <w:r w:rsidR="00537F27">
        <w:rPr>
          <w:rFonts w:ascii="Arial" w:eastAsia="Times New Roman" w:hAnsi="Arial" w:cs="Arial"/>
          <w:sz w:val="24"/>
          <w:szCs w:val="24"/>
          <w:lang w:eastAsia="en-GB"/>
        </w:rPr>
        <w:t>I</w:t>
      </w:r>
      <w:r w:rsidRPr="00630B4D">
        <w:rPr>
          <w:rFonts w:ascii="Arial" w:eastAsia="Times New Roman" w:hAnsi="Arial" w:cs="Arial"/>
          <w:sz w:val="24"/>
          <w:szCs w:val="24"/>
          <w:lang w:eastAsia="en-GB"/>
        </w:rPr>
        <w:t xml:space="preserve">nternational </w:t>
      </w:r>
      <w:r w:rsidR="00537F27">
        <w:rPr>
          <w:rFonts w:ascii="Arial" w:eastAsia="Times New Roman" w:hAnsi="Arial" w:cs="Arial"/>
          <w:sz w:val="24"/>
          <w:szCs w:val="24"/>
          <w:lang w:eastAsia="en-GB"/>
        </w:rPr>
        <w:t>F</w:t>
      </w:r>
      <w:r w:rsidRPr="00630B4D">
        <w:rPr>
          <w:rFonts w:ascii="Arial" w:eastAsia="Times New Roman" w:hAnsi="Arial" w:cs="Arial"/>
          <w:sz w:val="24"/>
          <w:szCs w:val="24"/>
          <w:lang w:eastAsia="en-GB"/>
        </w:rPr>
        <w:t>ramework in 2014 (see below). It places the attainment of sustainable economic, societal and environmental outcomes as a key focus of the governance structures and processes, and stresses the importance of taking account of the impact of current decisions and actions on future generations.</w:t>
      </w:r>
    </w:p>
    <w:p w14:paraId="19FA2E61" w14:textId="77777777" w:rsidR="00630B4D" w:rsidRPr="00630B4D" w:rsidRDefault="00630B4D" w:rsidP="00E60D59">
      <w:pPr>
        <w:keepNext/>
        <w:keepLines/>
        <w:numPr>
          <w:ilvl w:val="0"/>
          <w:numId w:val="1"/>
        </w:numPr>
        <w:spacing w:before="240" w:after="0" w:line="240" w:lineRule="auto"/>
        <w:ind w:left="567" w:hanging="567"/>
        <w:outlineLvl w:val="0"/>
        <w:rPr>
          <w:rFonts w:ascii="Cambria" w:eastAsia="Times New Roman" w:hAnsi="Cambria" w:cs="Times New Roman"/>
          <w:b/>
          <w:bCs/>
          <w:color w:val="365F91"/>
          <w:sz w:val="28"/>
          <w:szCs w:val="28"/>
        </w:rPr>
      </w:pPr>
      <w:r w:rsidRPr="00630B4D">
        <w:rPr>
          <w:rFonts w:ascii="Cambria" w:eastAsia="Times New Roman" w:hAnsi="Cambria" w:cs="Times New Roman"/>
          <w:b/>
          <w:bCs/>
          <w:color w:val="365F91"/>
          <w:sz w:val="28"/>
          <w:szCs w:val="28"/>
        </w:rPr>
        <w:t>The Governance Framework</w:t>
      </w:r>
    </w:p>
    <w:p w14:paraId="2DD1FEB4" w14:textId="77777777" w:rsidR="00630B4D" w:rsidRPr="00630B4D" w:rsidRDefault="00630B4D" w:rsidP="004C1D8C">
      <w:pPr>
        <w:keepNext/>
        <w:keepLines/>
        <w:spacing w:after="0"/>
        <w:outlineLvl w:val="1"/>
        <w:rPr>
          <w:rFonts w:ascii="Cambria" w:eastAsia="Times New Roman" w:hAnsi="Cambria" w:cs="Times New Roman"/>
          <w:b/>
          <w:bCs/>
          <w:color w:val="4F81BD"/>
          <w:sz w:val="26"/>
          <w:szCs w:val="26"/>
        </w:rPr>
      </w:pPr>
      <w:r w:rsidRPr="00630B4D">
        <w:rPr>
          <w:rFonts w:ascii="Cambria" w:eastAsia="Times New Roman" w:hAnsi="Cambria" w:cs="Times New Roman"/>
          <w:b/>
          <w:bCs/>
          <w:color w:val="4F81BD"/>
          <w:sz w:val="26"/>
          <w:szCs w:val="26"/>
        </w:rPr>
        <w:t xml:space="preserve">Governance </w:t>
      </w:r>
      <w:r w:rsidR="00B641A0">
        <w:rPr>
          <w:rFonts w:ascii="Cambria" w:eastAsia="Times New Roman" w:hAnsi="Cambria" w:cs="Times New Roman"/>
          <w:b/>
          <w:bCs/>
          <w:color w:val="4F81BD"/>
          <w:sz w:val="26"/>
          <w:szCs w:val="26"/>
        </w:rPr>
        <w:t>p</w:t>
      </w:r>
      <w:r w:rsidRPr="00630B4D">
        <w:rPr>
          <w:rFonts w:ascii="Cambria" w:eastAsia="Times New Roman" w:hAnsi="Cambria" w:cs="Times New Roman"/>
          <w:b/>
          <w:bCs/>
          <w:color w:val="4F81BD"/>
          <w:sz w:val="26"/>
          <w:szCs w:val="26"/>
        </w:rPr>
        <w:t xml:space="preserve">rinciples &amp; </w:t>
      </w:r>
      <w:r w:rsidR="00B641A0">
        <w:rPr>
          <w:rFonts w:ascii="Cambria" w:eastAsia="Times New Roman" w:hAnsi="Cambria" w:cs="Times New Roman"/>
          <w:b/>
          <w:bCs/>
          <w:color w:val="4F81BD"/>
          <w:sz w:val="26"/>
          <w:szCs w:val="26"/>
        </w:rPr>
        <w:t>h</w:t>
      </w:r>
      <w:r w:rsidRPr="00630B4D">
        <w:rPr>
          <w:rFonts w:ascii="Cambria" w:eastAsia="Times New Roman" w:hAnsi="Cambria" w:cs="Times New Roman"/>
          <w:b/>
          <w:bCs/>
          <w:color w:val="4F81BD"/>
          <w:sz w:val="26"/>
          <w:szCs w:val="26"/>
        </w:rPr>
        <w:t xml:space="preserve">ow NCC </w:t>
      </w:r>
      <w:r w:rsidR="00B641A0">
        <w:rPr>
          <w:rFonts w:ascii="Cambria" w:eastAsia="Times New Roman" w:hAnsi="Cambria" w:cs="Times New Roman"/>
          <w:b/>
          <w:bCs/>
          <w:color w:val="4F81BD"/>
          <w:sz w:val="26"/>
          <w:szCs w:val="26"/>
        </w:rPr>
        <w:t>a</w:t>
      </w:r>
      <w:r w:rsidRPr="00630B4D">
        <w:rPr>
          <w:rFonts w:ascii="Cambria" w:eastAsia="Times New Roman" w:hAnsi="Cambria" w:cs="Times New Roman"/>
          <w:b/>
          <w:bCs/>
          <w:color w:val="4F81BD"/>
          <w:sz w:val="26"/>
          <w:szCs w:val="26"/>
        </w:rPr>
        <w:t xml:space="preserve">ims to </w:t>
      </w:r>
      <w:r w:rsidR="00B641A0">
        <w:rPr>
          <w:rFonts w:ascii="Cambria" w:eastAsia="Times New Roman" w:hAnsi="Cambria" w:cs="Times New Roman"/>
          <w:b/>
          <w:bCs/>
          <w:color w:val="4F81BD"/>
          <w:sz w:val="26"/>
          <w:szCs w:val="26"/>
        </w:rPr>
        <w:t>m</w:t>
      </w:r>
      <w:r w:rsidRPr="00630B4D">
        <w:rPr>
          <w:rFonts w:ascii="Cambria" w:eastAsia="Times New Roman" w:hAnsi="Cambria" w:cs="Times New Roman"/>
          <w:b/>
          <w:bCs/>
          <w:color w:val="4F81BD"/>
          <w:sz w:val="26"/>
          <w:szCs w:val="26"/>
        </w:rPr>
        <w:t xml:space="preserve">eet </w:t>
      </w:r>
      <w:r w:rsidR="00B641A0">
        <w:rPr>
          <w:rFonts w:ascii="Cambria" w:eastAsia="Times New Roman" w:hAnsi="Cambria" w:cs="Times New Roman"/>
          <w:b/>
          <w:bCs/>
          <w:color w:val="4F81BD"/>
          <w:sz w:val="26"/>
          <w:szCs w:val="26"/>
        </w:rPr>
        <w:t>t</w:t>
      </w:r>
      <w:r w:rsidRPr="00630B4D">
        <w:rPr>
          <w:rFonts w:ascii="Cambria" w:eastAsia="Times New Roman" w:hAnsi="Cambria" w:cs="Times New Roman"/>
          <w:b/>
          <w:bCs/>
          <w:color w:val="4F81BD"/>
          <w:sz w:val="26"/>
          <w:szCs w:val="26"/>
        </w:rPr>
        <w:t>hem</w:t>
      </w:r>
    </w:p>
    <w:p w14:paraId="6C251375" w14:textId="77777777" w:rsidR="00630B4D" w:rsidRPr="00630B4D" w:rsidRDefault="00630B4D" w:rsidP="0038335F">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630B4D">
        <w:rPr>
          <w:rFonts w:ascii="Arial" w:eastAsia="Times New Roman" w:hAnsi="Arial" w:cs="Arial"/>
          <w:sz w:val="24"/>
          <w:szCs w:val="24"/>
          <w:lang w:eastAsia="en-GB"/>
        </w:rPr>
        <w:t>The diagram below, taken from the International Framework, illustrates the various principles of good governance in the public sector and how they relate to each other.</w:t>
      </w:r>
    </w:p>
    <w:p w14:paraId="65686810" w14:textId="77777777" w:rsidR="00630B4D" w:rsidRPr="00630B4D" w:rsidRDefault="00630B4D" w:rsidP="00630B4D">
      <w:pPr>
        <w:keepNext/>
        <w:tabs>
          <w:tab w:val="left" w:pos="5812"/>
          <w:tab w:val="left" w:pos="9540"/>
        </w:tabs>
        <w:spacing w:after="0" w:line="240" w:lineRule="auto"/>
        <w:jc w:val="center"/>
        <w:rPr>
          <w:rFonts w:ascii="Arial" w:eastAsia="Times New Roman" w:hAnsi="Arial" w:cs="Arial"/>
          <w:sz w:val="24"/>
          <w:szCs w:val="24"/>
          <w:lang w:eastAsia="en-GB"/>
        </w:rPr>
      </w:pPr>
      <w:r w:rsidRPr="00630B4D">
        <w:rPr>
          <w:rFonts w:ascii="Times New Roman" w:eastAsia="Times New Roman" w:hAnsi="Times New Roman" w:cs="Times New Roman"/>
          <w:b/>
          <w:sz w:val="24"/>
          <w:szCs w:val="24"/>
          <w:lang w:eastAsia="en-GB"/>
        </w:rPr>
        <w:t xml:space="preserve">Achieving the </w:t>
      </w:r>
      <w:r w:rsidR="00AC1B2D">
        <w:rPr>
          <w:rFonts w:ascii="Times New Roman" w:eastAsia="Times New Roman" w:hAnsi="Times New Roman" w:cs="Times New Roman"/>
          <w:b/>
          <w:sz w:val="24"/>
          <w:szCs w:val="24"/>
          <w:lang w:eastAsia="en-GB"/>
        </w:rPr>
        <w:t>i</w:t>
      </w:r>
      <w:r w:rsidRPr="00630B4D">
        <w:rPr>
          <w:rFonts w:ascii="Times New Roman" w:eastAsia="Times New Roman" w:hAnsi="Times New Roman" w:cs="Times New Roman"/>
          <w:b/>
          <w:sz w:val="24"/>
          <w:szCs w:val="24"/>
          <w:lang w:eastAsia="en-GB"/>
        </w:rPr>
        <w:t xml:space="preserve">ntended </w:t>
      </w:r>
      <w:r w:rsidR="00AC1B2D">
        <w:rPr>
          <w:rFonts w:ascii="Times New Roman" w:eastAsia="Times New Roman" w:hAnsi="Times New Roman" w:cs="Times New Roman"/>
          <w:b/>
          <w:sz w:val="24"/>
          <w:szCs w:val="24"/>
          <w:lang w:eastAsia="en-GB"/>
        </w:rPr>
        <w:t>o</w:t>
      </w:r>
      <w:r w:rsidRPr="00630B4D">
        <w:rPr>
          <w:rFonts w:ascii="Times New Roman" w:eastAsia="Times New Roman" w:hAnsi="Times New Roman" w:cs="Times New Roman"/>
          <w:b/>
          <w:sz w:val="24"/>
          <w:szCs w:val="24"/>
          <w:lang w:eastAsia="en-GB"/>
        </w:rPr>
        <w:t xml:space="preserve">utcomes </w:t>
      </w:r>
      <w:r w:rsidR="00AC1B2D">
        <w:rPr>
          <w:rFonts w:ascii="Times New Roman" w:eastAsia="Times New Roman" w:hAnsi="Times New Roman" w:cs="Times New Roman"/>
          <w:b/>
          <w:sz w:val="24"/>
          <w:szCs w:val="24"/>
          <w:lang w:eastAsia="en-GB"/>
        </w:rPr>
        <w:t>w</w:t>
      </w:r>
      <w:r w:rsidRPr="00630B4D">
        <w:rPr>
          <w:rFonts w:ascii="Times New Roman" w:eastAsia="Times New Roman" w:hAnsi="Times New Roman" w:cs="Times New Roman"/>
          <w:b/>
          <w:sz w:val="24"/>
          <w:szCs w:val="24"/>
          <w:lang w:eastAsia="en-GB"/>
        </w:rPr>
        <w:t xml:space="preserve">hile </w:t>
      </w:r>
      <w:r w:rsidR="00AC1B2D">
        <w:rPr>
          <w:rFonts w:ascii="Times New Roman" w:eastAsia="Times New Roman" w:hAnsi="Times New Roman" w:cs="Times New Roman"/>
          <w:b/>
          <w:sz w:val="24"/>
          <w:szCs w:val="24"/>
          <w:lang w:eastAsia="en-GB"/>
        </w:rPr>
        <w:t>a</w:t>
      </w:r>
      <w:r w:rsidRPr="00630B4D">
        <w:rPr>
          <w:rFonts w:ascii="Times New Roman" w:eastAsia="Times New Roman" w:hAnsi="Times New Roman" w:cs="Times New Roman"/>
          <w:b/>
          <w:sz w:val="24"/>
          <w:szCs w:val="24"/>
          <w:lang w:eastAsia="en-GB"/>
        </w:rPr>
        <w:t>cting in the Public Interest at all</w:t>
      </w:r>
      <w:r w:rsidRPr="00630B4D">
        <w:rPr>
          <w:rFonts w:ascii="Times New Roman" w:eastAsia="Times New Roman" w:hAnsi="Times New Roman" w:cs="Times New Roman"/>
          <w:sz w:val="24"/>
          <w:szCs w:val="24"/>
          <w:lang w:eastAsia="en-GB"/>
        </w:rPr>
        <w:t xml:space="preserve"> </w:t>
      </w:r>
      <w:r w:rsidR="00AC1B2D">
        <w:rPr>
          <w:rFonts w:ascii="Times New Roman" w:eastAsia="Times New Roman" w:hAnsi="Times New Roman" w:cs="Times New Roman"/>
          <w:b/>
          <w:sz w:val="24"/>
          <w:szCs w:val="24"/>
          <w:lang w:eastAsia="en-GB"/>
        </w:rPr>
        <w:t>t</w:t>
      </w:r>
      <w:r w:rsidRPr="00630B4D">
        <w:rPr>
          <w:rFonts w:ascii="Times New Roman" w:eastAsia="Times New Roman" w:hAnsi="Times New Roman" w:cs="Times New Roman"/>
          <w:b/>
          <w:sz w:val="24"/>
          <w:szCs w:val="24"/>
          <w:lang w:eastAsia="en-GB"/>
        </w:rPr>
        <w:t>imes</w:t>
      </w:r>
    </w:p>
    <w:p w14:paraId="716D11B0" w14:textId="77777777" w:rsidR="00630B4D" w:rsidRPr="00630B4D" w:rsidRDefault="00630B4D" w:rsidP="00630B4D">
      <w:pPr>
        <w:tabs>
          <w:tab w:val="left" w:pos="5812"/>
          <w:tab w:val="left" w:pos="9540"/>
        </w:tabs>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36335C17" wp14:editId="6B60AD54">
            <wp:extent cx="4657725" cy="4514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57725" cy="4514850"/>
                    </a:xfrm>
                    <a:prstGeom prst="rect">
                      <a:avLst/>
                    </a:prstGeom>
                    <a:noFill/>
                    <a:ln>
                      <a:noFill/>
                    </a:ln>
                  </pic:spPr>
                </pic:pic>
              </a:graphicData>
            </a:graphic>
          </wp:inline>
        </w:drawing>
      </w:r>
    </w:p>
    <w:p w14:paraId="004C9204" w14:textId="77777777" w:rsidR="00630B4D" w:rsidRPr="00630B4D" w:rsidRDefault="00630B4D" w:rsidP="0038335F">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630B4D">
        <w:rPr>
          <w:rFonts w:ascii="Arial" w:eastAsia="Times New Roman" w:hAnsi="Arial" w:cs="Arial"/>
          <w:sz w:val="24"/>
          <w:szCs w:val="24"/>
          <w:lang w:eastAsia="en-GB"/>
        </w:rPr>
        <w:t>Various arrangements are in place to ensure that the Council complies with the local code of corporate governance. Some of these are listed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630B4D" w:rsidRPr="00630B4D" w14:paraId="17DFD509" w14:textId="77777777" w:rsidTr="003509C1">
        <w:tc>
          <w:tcPr>
            <w:tcW w:w="9016" w:type="dxa"/>
            <w:gridSpan w:val="2"/>
            <w:shd w:val="clear" w:color="auto" w:fill="auto"/>
          </w:tcPr>
          <w:p w14:paraId="148A4759" w14:textId="77777777" w:rsidR="00630B4D" w:rsidRPr="00630B4D" w:rsidRDefault="00630B4D" w:rsidP="00630B4D">
            <w:pPr>
              <w:keepNext/>
              <w:keepLines/>
              <w:pBdr>
                <w:top w:val="single" w:sz="4" w:space="1" w:color="auto"/>
                <w:left w:val="single" w:sz="4" w:space="4" w:color="auto"/>
                <w:bottom w:val="single" w:sz="4" w:space="1" w:color="auto"/>
                <w:right w:val="single" w:sz="4" w:space="4" w:color="auto"/>
              </w:pBdr>
              <w:spacing w:after="0"/>
              <w:outlineLvl w:val="1"/>
              <w:rPr>
                <w:rFonts w:ascii="Arial" w:eastAsia="Times New Roman" w:hAnsi="Arial" w:cs="Arial"/>
                <w:bCs/>
                <w:color w:val="44546A"/>
                <w:sz w:val="24"/>
                <w:szCs w:val="24"/>
              </w:rPr>
            </w:pPr>
            <w:r w:rsidRPr="00630B4D">
              <w:rPr>
                <w:rFonts w:ascii="Arial" w:eastAsia="Times New Roman" w:hAnsi="Arial" w:cs="Arial"/>
                <w:bCs/>
                <w:color w:val="44546A"/>
                <w:sz w:val="24"/>
                <w:szCs w:val="24"/>
                <w:u w:val="single"/>
              </w:rPr>
              <w:lastRenderedPageBreak/>
              <w:t>A. Behaving with Integrity</w:t>
            </w:r>
          </w:p>
        </w:tc>
      </w:tr>
      <w:tr w:rsidR="00630B4D" w:rsidRPr="00630B4D" w14:paraId="025BF93E" w14:textId="77777777" w:rsidTr="003509C1">
        <w:tc>
          <w:tcPr>
            <w:tcW w:w="4508" w:type="dxa"/>
            <w:shd w:val="clear" w:color="auto" w:fill="auto"/>
          </w:tcPr>
          <w:p w14:paraId="00FC88DB" w14:textId="77777777" w:rsidR="00630B4D" w:rsidRPr="00630B4D" w:rsidRDefault="00630B4D" w:rsidP="00630B4D">
            <w:pPr>
              <w:keepNext/>
              <w:keepLines/>
              <w:pBdr>
                <w:top w:val="single" w:sz="4" w:space="1" w:color="auto"/>
                <w:left w:val="single" w:sz="4" w:space="4" w:color="auto"/>
                <w:bottom w:val="single" w:sz="4" w:space="1" w:color="auto"/>
                <w:right w:val="single" w:sz="4" w:space="4" w:color="auto"/>
              </w:pBdr>
              <w:spacing w:after="0"/>
              <w:outlineLvl w:val="1"/>
              <w:rPr>
                <w:rFonts w:ascii="Arial" w:eastAsia="Times New Roman" w:hAnsi="Arial" w:cs="Arial"/>
                <w:bCs/>
                <w:sz w:val="24"/>
                <w:szCs w:val="24"/>
              </w:rPr>
            </w:pPr>
            <w:r w:rsidRPr="00630B4D">
              <w:rPr>
                <w:rFonts w:ascii="Arial" w:eastAsia="Times New Roman" w:hAnsi="Arial" w:cs="Arial"/>
                <w:bCs/>
                <w:sz w:val="24"/>
                <w:szCs w:val="24"/>
              </w:rPr>
              <w:t>Councillors’ and Co-opted Members’ Code of Conduct</w:t>
            </w:r>
          </w:p>
        </w:tc>
        <w:tc>
          <w:tcPr>
            <w:tcW w:w="4508" w:type="dxa"/>
            <w:shd w:val="clear" w:color="auto" w:fill="auto"/>
          </w:tcPr>
          <w:p w14:paraId="731AE346" w14:textId="77777777" w:rsidR="00630B4D" w:rsidRPr="00630B4D" w:rsidRDefault="00630B4D" w:rsidP="00630B4D">
            <w:pPr>
              <w:keepNext/>
              <w:keepLines/>
              <w:pBdr>
                <w:top w:val="single" w:sz="4" w:space="1" w:color="auto"/>
                <w:left w:val="single" w:sz="4" w:space="4" w:color="auto"/>
                <w:bottom w:val="single" w:sz="4" w:space="1" w:color="auto"/>
                <w:right w:val="single" w:sz="4" w:space="4" w:color="auto"/>
              </w:pBdr>
              <w:spacing w:after="0"/>
              <w:outlineLvl w:val="1"/>
              <w:rPr>
                <w:rFonts w:ascii="Arial" w:eastAsia="Times New Roman" w:hAnsi="Arial" w:cs="Arial"/>
                <w:bCs/>
                <w:sz w:val="24"/>
                <w:szCs w:val="24"/>
              </w:rPr>
            </w:pPr>
            <w:r w:rsidRPr="00630B4D">
              <w:rPr>
                <w:rFonts w:ascii="Arial" w:eastAsia="Times New Roman" w:hAnsi="Arial" w:cs="Arial"/>
                <w:bCs/>
                <w:sz w:val="24"/>
                <w:szCs w:val="24"/>
              </w:rPr>
              <w:t>Employees’ Code of Conduct</w:t>
            </w:r>
          </w:p>
          <w:p w14:paraId="698DDCC9" w14:textId="77777777" w:rsidR="00630B4D" w:rsidRPr="00630B4D" w:rsidRDefault="00630B4D" w:rsidP="00630B4D">
            <w:pPr>
              <w:spacing w:after="0" w:line="240" w:lineRule="auto"/>
              <w:rPr>
                <w:rFonts w:ascii="Arial" w:eastAsia="Times New Roman" w:hAnsi="Arial" w:cs="Arial"/>
                <w:sz w:val="24"/>
                <w:szCs w:val="24"/>
                <w:lang w:eastAsia="en-GB"/>
              </w:rPr>
            </w:pPr>
            <w:r w:rsidRPr="00630B4D">
              <w:rPr>
                <w:rFonts w:ascii="Arial" w:eastAsia="Times New Roman" w:hAnsi="Arial" w:cs="Arial"/>
                <w:sz w:val="24"/>
                <w:szCs w:val="24"/>
                <w:lang w:eastAsia="en-GB"/>
              </w:rPr>
              <w:t>Scheme of Delegation</w:t>
            </w:r>
          </w:p>
        </w:tc>
      </w:tr>
      <w:tr w:rsidR="00630B4D" w:rsidRPr="00630B4D" w14:paraId="1F2DE20E" w14:textId="77777777" w:rsidTr="003509C1">
        <w:tc>
          <w:tcPr>
            <w:tcW w:w="4508" w:type="dxa"/>
            <w:shd w:val="clear" w:color="auto" w:fill="auto"/>
          </w:tcPr>
          <w:p w14:paraId="1D757A6B" w14:textId="77777777" w:rsidR="00630B4D" w:rsidRPr="00630B4D" w:rsidRDefault="00630B4D" w:rsidP="00630B4D">
            <w:pPr>
              <w:keepNext/>
              <w:keepLines/>
              <w:pBdr>
                <w:top w:val="single" w:sz="4" w:space="1" w:color="auto"/>
                <w:left w:val="single" w:sz="4" w:space="4" w:color="auto"/>
                <w:bottom w:val="single" w:sz="4" w:space="1" w:color="auto"/>
                <w:right w:val="single" w:sz="4" w:space="4" w:color="auto"/>
              </w:pBdr>
              <w:spacing w:after="0"/>
              <w:outlineLvl w:val="1"/>
              <w:rPr>
                <w:rFonts w:ascii="Cambria" w:eastAsia="Times New Roman" w:hAnsi="Cambria" w:cs="Times New Roman"/>
                <w:b/>
                <w:bCs/>
                <w:color w:val="4F81BD"/>
                <w:sz w:val="26"/>
                <w:szCs w:val="26"/>
              </w:rPr>
            </w:pPr>
            <w:r w:rsidRPr="00630B4D">
              <w:rPr>
                <w:rFonts w:ascii="Arial" w:eastAsia="Times New Roman" w:hAnsi="Arial" w:cs="Arial"/>
                <w:bCs/>
                <w:sz w:val="24"/>
                <w:szCs w:val="24"/>
              </w:rPr>
              <w:t>Councillor / Officer Protocol</w:t>
            </w:r>
            <w:r w:rsidRPr="00630B4D">
              <w:rPr>
                <w:rFonts w:ascii="Cambria" w:eastAsia="Times New Roman" w:hAnsi="Cambria" w:cs="Times New Roman"/>
                <w:b/>
                <w:bCs/>
                <w:color w:val="4F81BD"/>
                <w:sz w:val="26"/>
                <w:szCs w:val="26"/>
              </w:rPr>
              <w:t xml:space="preserve"> </w:t>
            </w:r>
          </w:p>
        </w:tc>
        <w:tc>
          <w:tcPr>
            <w:tcW w:w="4508" w:type="dxa"/>
            <w:shd w:val="clear" w:color="auto" w:fill="auto"/>
          </w:tcPr>
          <w:p w14:paraId="3EE62BDF" w14:textId="77777777" w:rsidR="00630B4D" w:rsidRPr="00630B4D" w:rsidRDefault="00630B4D" w:rsidP="00630B4D">
            <w:pPr>
              <w:keepNext/>
              <w:keepLines/>
              <w:pBdr>
                <w:top w:val="single" w:sz="4" w:space="1" w:color="auto"/>
                <w:left w:val="single" w:sz="4" w:space="4" w:color="auto"/>
                <w:bottom w:val="single" w:sz="4" w:space="1" w:color="auto"/>
                <w:right w:val="single" w:sz="4" w:space="4" w:color="auto"/>
              </w:pBdr>
              <w:spacing w:after="0"/>
              <w:outlineLvl w:val="1"/>
              <w:rPr>
                <w:rFonts w:ascii="Arial" w:eastAsia="Times New Roman" w:hAnsi="Arial" w:cs="Arial"/>
                <w:bCs/>
                <w:sz w:val="24"/>
                <w:szCs w:val="24"/>
              </w:rPr>
            </w:pPr>
            <w:r w:rsidRPr="00630B4D">
              <w:rPr>
                <w:rFonts w:ascii="Arial" w:eastAsia="Times New Roman" w:hAnsi="Arial" w:cs="Arial"/>
                <w:bCs/>
                <w:sz w:val="24"/>
                <w:szCs w:val="24"/>
              </w:rPr>
              <w:t xml:space="preserve">Performance Appraisal </w:t>
            </w:r>
            <w:r w:rsidR="00AC1B2D">
              <w:rPr>
                <w:rFonts w:ascii="Arial" w:eastAsia="Times New Roman" w:hAnsi="Arial" w:cs="Arial"/>
                <w:bCs/>
                <w:sz w:val="24"/>
                <w:szCs w:val="24"/>
              </w:rPr>
              <w:t>Process</w:t>
            </w:r>
          </w:p>
        </w:tc>
      </w:tr>
      <w:tr w:rsidR="00630B4D" w:rsidRPr="00630B4D" w14:paraId="019B79FF" w14:textId="77777777" w:rsidTr="003509C1">
        <w:tc>
          <w:tcPr>
            <w:tcW w:w="4508" w:type="dxa"/>
            <w:shd w:val="clear" w:color="auto" w:fill="auto"/>
          </w:tcPr>
          <w:p w14:paraId="3E45F6F9" w14:textId="77777777" w:rsidR="00630B4D" w:rsidRPr="00630B4D" w:rsidRDefault="00630B4D" w:rsidP="00630B4D">
            <w:pPr>
              <w:keepNext/>
              <w:keepLines/>
              <w:pBdr>
                <w:top w:val="single" w:sz="4" w:space="1" w:color="auto"/>
                <w:left w:val="single" w:sz="4" w:space="4" w:color="auto"/>
                <w:bottom w:val="single" w:sz="4" w:space="1" w:color="auto"/>
                <w:right w:val="single" w:sz="4" w:space="4" w:color="auto"/>
              </w:pBdr>
              <w:spacing w:after="0"/>
              <w:outlineLvl w:val="1"/>
              <w:rPr>
                <w:rFonts w:ascii="Arial" w:eastAsia="Times New Roman" w:hAnsi="Arial" w:cs="Arial"/>
                <w:bCs/>
                <w:sz w:val="24"/>
                <w:szCs w:val="24"/>
              </w:rPr>
            </w:pPr>
            <w:r w:rsidRPr="00630B4D">
              <w:rPr>
                <w:rFonts w:ascii="Arial" w:eastAsia="Times New Roman" w:hAnsi="Arial" w:cs="Arial"/>
                <w:bCs/>
                <w:sz w:val="24"/>
                <w:szCs w:val="24"/>
              </w:rPr>
              <w:t>Counter Fraud Strategy</w:t>
            </w:r>
          </w:p>
        </w:tc>
        <w:tc>
          <w:tcPr>
            <w:tcW w:w="4508" w:type="dxa"/>
            <w:shd w:val="clear" w:color="auto" w:fill="auto"/>
          </w:tcPr>
          <w:p w14:paraId="1D2077AA" w14:textId="77777777" w:rsidR="00630B4D" w:rsidRPr="00630B4D" w:rsidRDefault="00630B4D" w:rsidP="00630B4D">
            <w:pPr>
              <w:keepNext/>
              <w:keepLines/>
              <w:pBdr>
                <w:top w:val="single" w:sz="4" w:space="1" w:color="auto"/>
                <w:left w:val="single" w:sz="4" w:space="4" w:color="auto"/>
                <w:bottom w:val="single" w:sz="4" w:space="1" w:color="auto"/>
                <w:right w:val="single" w:sz="4" w:space="4" w:color="auto"/>
              </w:pBdr>
              <w:spacing w:after="0"/>
              <w:outlineLvl w:val="1"/>
              <w:rPr>
                <w:rFonts w:ascii="Arial" w:eastAsia="Times New Roman" w:hAnsi="Arial" w:cs="Arial"/>
                <w:bCs/>
                <w:sz w:val="24"/>
                <w:szCs w:val="24"/>
              </w:rPr>
            </w:pPr>
            <w:r w:rsidRPr="00630B4D">
              <w:rPr>
                <w:rFonts w:ascii="Arial" w:eastAsia="Times New Roman" w:hAnsi="Arial" w:cs="Arial"/>
                <w:bCs/>
                <w:sz w:val="24"/>
                <w:szCs w:val="24"/>
              </w:rPr>
              <w:t>Confidential Reporting Code</w:t>
            </w:r>
            <w:r w:rsidR="00AC1B2D">
              <w:rPr>
                <w:rFonts w:ascii="Arial" w:eastAsia="Times New Roman" w:hAnsi="Arial" w:cs="Arial"/>
                <w:bCs/>
                <w:sz w:val="24"/>
                <w:szCs w:val="24"/>
              </w:rPr>
              <w:t xml:space="preserve"> (Whistleblowers’ Code)</w:t>
            </w:r>
          </w:p>
        </w:tc>
      </w:tr>
      <w:tr w:rsidR="00630B4D" w:rsidRPr="00630B4D" w14:paraId="0EBF704C" w14:textId="77777777" w:rsidTr="003509C1">
        <w:tc>
          <w:tcPr>
            <w:tcW w:w="4508" w:type="dxa"/>
            <w:shd w:val="clear" w:color="auto" w:fill="auto"/>
          </w:tcPr>
          <w:p w14:paraId="44A3D8D2" w14:textId="77777777" w:rsidR="00630B4D" w:rsidRPr="00630B4D" w:rsidRDefault="00630B4D" w:rsidP="00630B4D">
            <w:pPr>
              <w:keepNext/>
              <w:keepLines/>
              <w:pBdr>
                <w:top w:val="single" w:sz="4" w:space="1" w:color="auto"/>
                <w:left w:val="single" w:sz="4" w:space="4" w:color="auto"/>
                <w:bottom w:val="single" w:sz="4" w:space="1" w:color="auto"/>
                <w:right w:val="single" w:sz="4" w:space="4" w:color="auto"/>
              </w:pBdr>
              <w:spacing w:after="0"/>
              <w:outlineLvl w:val="1"/>
              <w:rPr>
                <w:rFonts w:ascii="Arial" w:eastAsia="Times New Roman" w:hAnsi="Arial" w:cs="Arial"/>
                <w:bCs/>
                <w:sz w:val="24"/>
                <w:szCs w:val="24"/>
              </w:rPr>
            </w:pPr>
            <w:r w:rsidRPr="00630B4D">
              <w:rPr>
                <w:rFonts w:ascii="Arial" w:eastAsia="Times New Roman" w:hAnsi="Arial" w:cs="Arial"/>
                <w:bCs/>
                <w:sz w:val="24"/>
                <w:szCs w:val="24"/>
              </w:rPr>
              <w:t xml:space="preserve">Registers of Interests, Gifts &amp; Hospitality </w:t>
            </w:r>
          </w:p>
        </w:tc>
        <w:tc>
          <w:tcPr>
            <w:tcW w:w="4508" w:type="dxa"/>
            <w:shd w:val="clear" w:color="auto" w:fill="auto"/>
          </w:tcPr>
          <w:p w14:paraId="5CC1B812" w14:textId="77777777" w:rsidR="00630B4D" w:rsidRPr="00630B4D" w:rsidRDefault="00630B4D" w:rsidP="00630B4D">
            <w:pPr>
              <w:keepNext/>
              <w:keepLines/>
              <w:pBdr>
                <w:top w:val="single" w:sz="4" w:space="1" w:color="auto"/>
                <w:left w:val="single" w:sz="4" w:space="4" w:color="auto"/>
                <w:bottom w:val="single" w:sz="4" w:space="1" w:color="auto"/>
                <w:right w:val="single" w:sz="4" w:space="4" w:color="auto"/>
              </w:pBdr>
              <w:spacing w:after="0"/>
              <w:outlineLvl w:val="1"/>
              <w:rPr>
                <w:rFonts w:ascii="Arial" w:eastAsia="Times New Roman" w:hAnsi="Arial" w:cs="Arial"/>
                <w:bCs/>
                <w:sz w:val="24"/>
                <w:szCs w:val="24"/>
              </w:rPr>
            </w:pPr>
            <w:r w:rsidRPr="00630B4D">
              <w:rPr>
                <w:rFonts w:ascii="Arial" w:eastAsia="Times New Roman" w:hAnsi="Arial" w:cs="Arial"/>
                <w:bCs/>
                <w:sz w:val="24"/>
                <w:szCs w:val="24"/>
              </w:rPr>
              <w:t>Declaration of Related Party Transactions</w:t>
            </w:r>
          </w:p>
        </w:tc>
      </w:tr>
      <w:tr w:rsidR="00630B4D" w:rsidRPr="00630B4D" w14:paraId="7E50BEA5" w14:textId="77777777" w:rsidTr="003509C1">
        <w:tc>
          <w:tcPr>
            <w:tcW w:w="9016" w:type="dxa"/>
            <w:gridSpan w:val="2"/>
            <w:shd w:val="clear" w:color="auto" w:fill="auto"/>
          </w:tcPr>
          <w:p w14:paraId="6143BA58" w14:textId="77777777" w:rsidR="00630B4D" w:rsidRPr="00630B4D" w:rsidRDefault="00630B4D" w:rsidP="00630B4D">
            <w:pPr>
              <w:keepNext/>
              <w:keepLines/>
              <w:pBdr>
                <w:top w:val="single" w:sz="4" w:space="1" w:color="auto"/>
                <w:left w:val="single" w:sz="4" w:space="4" w:color="auto"/>
                <w:bottom w:val="single" w:sz="4" w:space="1" w:color="auto"/>
                <w:right w:val="single" w:sz="4" w:space="4" w:color="auto"/>
              </w:pBdr>
              <w:spacing w:after="0"/>
              <w:outlineLvl w:val="1"/>
              <w:rPr>
                <w:rFonts w:ascii="Arial" w:eastAsia="Times New Roman" w:hAnsi="Arial" w:cs="Arial"/>
                <w:bCs/>
                <w:color w:val="44546A"/>
                <w:sz w:val="24"/>
                <w:szCs w:val="24"/>
              </w:rPr>
            </w:pPr>
            <w:r w:rsidRPr="00630B4D">
              <w:rPr>
                <w:rFonts w:ascii="Arial" w:eastAsia="Times New Roman" w:hAnsi="Arial" w:cs="Arial"/>
                <w:bCs/>
                <w:color w:val="44546A"/>
                <w:sz w:val="24"/>
                <w:szCs w:val="24"/>
                <w:u w:val="single"/>
              </w:rPr>
              <w:t>B.Openness and Engagement</w:t>
            </w:r>
          </w:p>
        </w:tc>
      </w:tr>
      <w:tr w:rsidR="00630B4D" w:rsidRPr="00630B4D" w14:paraId="64B78CE0" w14:textId="77777777" w:rsidTr="003509C1">
        <w:tc>
          <w:tcPr>
            <w:tcW w:w="4508" w:type="dxa"/>
            <w:shd w:val="clear" w:color="auto" w:fill="auto"/>
          </w:tcPr>
          <w:p w14:paraId="7AAEC9BB" w14:textId="77777777" w:rsidR="00630B4D" w:rsidRPr="00630B4D" w:rsidRDefault="00630B4D" w:rsidP="00630B4D">
            <w:pPr>
              <w:keepNext/>
              <w:keepLines/>
              <w:pBdr>
                <w:top w:val="single" w:sz="4" w:space="1" w:color="auto"/>
                <w:left w:val="single" w:sz="4" w:space="4" w:color="auto"/>
                <w:bottom w:val="single" w:sz="4" w:space="1" w:color="auto"/>
                <w:right w:val="single" w:sz="4" w:space="4" w:color="auto"/>
              </w:pBdr>
              <w:spacing w:after="0"/>
              <w:outlineLvl w:val="1"/>
              <w:rPr>
                <w:rFonts w:ascii="Arial" w:eastAsia="Times New Roman" w:hAnsi="Arial" w:cs="Arial"/>
                <w:bCs/>
                <w:sz w:val="24"/>
                <w:szCs w:val="24"/>
                <w:u w:val="single"/>
              </w:rPr>
            </w:pPr>
            <w:r w:rsidRPr="00630B4D">
              <w:rPr>
                <w:rFonts w:ascii="Arial" w:eastAsia="Times New Roman" w:hAnsi="Arial" w:cs="Arial"/>
                <w:bCs/>
                <w:sz w:val="24"/>
                <w:szCs w:val="24"/>
              </w:rPr>
              <w:t>Customer Charter</w:t>
            </w:r>
          </w:p>
        </w:tc>
        <w:tc>
          <w:tcPr>
            <w:tcW w:w="4508" w:type="dxa"/>
            <w:shd w:val="clear" w:color="auto" w:fill="auto"/>
          </w:tcPr>
          <w:p w14:paraId="1E7E0CA3" w14:textId="77777777" w:rsidR="00630B4D" w:rsidRPr="00630B4D" w:rsidRDefault="00630B4D" w:rsidP="00630B4D">
            <w:pPr>
              <w:keepNext/>
              <w:keepLines/>
              <w:pBdr>
                <w:top w:val="single" w:sz="4" w:space="1" w:color="auto"/>
                <w:left w:val="single" w:sz="4" w:space="4" w:color="auto"/>
                <w:bottom w:val="single" w:sz="4" w:space="1" w:color="auto"/>
                <w:right w:val="single" w:sz="4" w:space="4" w:color="auto"/>
              </w:pBdr>
              <w:spacing w:after="0"/>
              <w:outlineLvl w:val="1"/>
              <w:rPr>
                <w:rFonts w:ascii="Arial" w:eastAsia="Times New Roman" w:hAnsi="Arial" w:cs="Arial"/>
                <w:bCs/>
                <w:sz w:val="24"/>
                <w:szCs w:val="24"/>
              </w:rPr>
            </w:pPr>
            <w:r w:rsidRPr="00630B4D">
              <w:rPr>
                <w:rFonts w:ascii="Arial" w:eastAsia="Times New Roman" w:hAnsi="Arial" w:cs="Arial"/>
                <w:bCs/>
                <w:sz w:val="24"/>
                <w:szCs w:val="24"/>
              </w:rPr>
              <w:t>Consultations</w:t>
            </w:r>
          </w:p>
        </w:tc>
      </w:tr>
      <w:tr w:rsidR="00630B4D" w:rsidRPr="00630B4D" w14:paraId="4BA4E9C6" w14:textId="77777777" w:rsidTr="003509C1">
        <w:tc>
          <w:tcPr>
            <w:tcW w:w="4508" w:type="dxa"/>
            <w:shd w:val="clear" w:color="auto" w:fill="auto"/>
          </w:tcPr>
          <w:p w14:paraId="70A44809" w14:textId="77777777" w:rsidR="00630B4D" w:rsidRPr="00630B4D" w:rsidRDefault="00630B4D" w:rsidP="00630B4D">
            <w:pPr>
              <w:keepNext/>
              <w:keepLines/>
              <w:pBdr>
                <w:top w:val="single" w:sz="4" w:space="1" w:color="auto"/>
                <w:left w:val="single" w:sz="4" w:space="4" w:color="auto"/>
                <w:bottom w:val="single" w:sz="4" w:space="1" w:color="auto"/>
                <w:right w:val="single" w:sz="4" w:space="4" w:color="auto"/>
              </w:pBdr>
              <w:spacing w:after="0"/>
              <w:outlineLvl w:val="1"/>
              <w:rPr>
                <w:rFonts w:ascii="Arial" w:eastAsia="Times New Roman" w:hAnsi="Arial" w:cs="Arial"/>
                <w:bCs/>
                <w:sz w:val="24"/>
                <w:szCs w:val="24"/>
              </w:rPr>
            </w:pPr>
            <w:r w:rsidRPr="00630B4D">
              <w:rPr>
                <w:rFonts w:ascii="Arial" w:eastAsia="Times New Roman" w:hAnsi="Arial" w:cs="Arial"/>
                <w:bCs/>
                <w:sz w:val="24"/>
                <w:szCs w:val="24"/>
              </w:rPr>
              <w:t>Comments, Compliments and Complaints Policy</w:t>
            </w:r>
            <w:r w:rsidR="009C64F9">
              <w:rPr>
                <w:rFonts w:ascii="Arial" w:eastAsia="Times New Roman" w:hAnsi="Arial" w:cs="Arial"/>
                <w:bCs/>
                <w:sz w:val="24"/>
                <w:szCs w:val="24"/>
              </w:rPr>
              <w:t xml:space="preserve"> </w:t>
            </w:r>
            <w:r w:rsidR="009C64F9" w:rsidRPr="00FC31C5">
              <w:rPr>
                <w:rFonts w:ascii="Arial" w:eastAsia="Times New Roman" w:hAnsi="Arial" w:cs="Arial"/>
                <w:bCs/>
                <w:sz w:val="24"/>
                <w:szCs w:val="24"/>
              </w:rPr>
              <w:t>(Have Your Say)</w:t>
            </w:r>
          </w:p>
        </w:tc>
        <w:tc>
          <w:tcPr>
            <w:tcW w:w="4508" w:type="dxa"/>
            <w:shd w:val="clear" w:color="auto" w:fill="auto"/>
          </w:tcPr>
          <w:p w14:paraId="696C793A" w14:textId="77777777" w:rsidR="00630B4D" w:rsidRPr="00630B4D" w:rsidRDefault="00630B4D" w:rsidP="00630B4D">
            <w:pPr>
              <w:keepNext/>
              <w:keepLines/>
              <w:pBdr>
                <w:top w:val="single" w:sz="4" w:space="1" w:color="auto"/>
                <w:left w:val="single" w:sz="4" w:space="4" w:color="auto"/>
                <w:bottom w:val="single" w:sz="4" w:space="1" w:color="auto"/>
                <w:right w:val="single" w:sz="4" w:space="4" w:color="auto"/>
              </w:pBdr>
              <w:spacing w:after="0"/>
              <w:outlineLvl w:val="1"/>
              <w:rPr>
                <w:rFonts w:ascii="Arial" w:eastAsia="Times New Roman" w:hAnsi="Arial" w:cs="Arial"/>
                <w:bCs/>
                <w:sz w:val="24"/>
                <w:szCs w:val="24"/>
              </w:rPr>
            </w:pPr>
            <w:r w:rsidRPr="00630B4D">
              <w:rPr>
                <w:rFonts w:ascii="Arial" w:eastAsia="Times New Roman" w:hAnsi="Arial" w:cs="Arial"/>
                <w:bCs/>
                <w:sz w:val="24"/>
                <w:szCs w:val="24"/>
              </w:rPr>
              <w:t>Partnership Governance Framework</w:t>
            </w:r>
          </w:p>
          <w:p w14:paraId="01739EEF" w14:textId="77777777" w:rsidR="00630B4D" w:rsidRPr="00630B4D" w:rsidRDefault="00630B4D" w:rsidP="00630B4D">
            <w:pPr>
              <w:spacing w:after="0" w:line="240" w:lineRule="auto"/>
              <w:rPr>
                <w:rFonts w:ascii="Times New Roman" w:eastAsia="Times New Roman" w:hAnsi="Times New Roman" w:cs="Times New Roman"/>
                <w:sz w:val="24"/>
                <w:szCs w:val="24"/>
                <w:lang w:eastAsia="en-GB"/>
              </w:rPr>
            </w:pPr>
            <w:r w:rsidRPr="00630B4D">
              <w:rPr>
                <w:rFonts w:ascii="Arial" w:eastAsia="Times New Roman" w:hAnsi="Arial" w:cs="Arial"/>
                <w:sz w:val="24"/>
                <w:szCs w:val="24"/>
                <w:lang w:eastAsia="en-GB"/>
              </w:rPr>
              <w:t>Citizens’ Panel</w:t>
            </w:r>
          </w:p>
        </w:tc>
      </w:tr>
      <w:tr w:rsidR="00630B4D" w:rsidRPr="00630B4D" w14:paraId="4B8A91E6" w14:textId="77777777" w:rsidTr="003509C1">
        <w:tc>
          <w:tcPr>
            <w:tcW w:w="4508" w:type="dxa"/>
            <w:shd w:val="clear" w:color="auto" w:fill="auto"/>
          </w:tcPr>
          <w:p w14:paraId="10A93E8E" w14:textId="77777777" w:rsidR="00630B4D" w:rsidRPr="00630B4D" w:rsidRDefault="00630B4D" w:rsidP="00630B4D">
            <w:pPr>
              <w:keepNext/>
              <w:keepLines/>
              <w:pBdr>
                <w:top w:val="single" w:sz="4" w:space="1" w:color="auto"/>
                <w:left w:val="single" w:sz="4" w:space="4" w:color="auto"/>
                <w:bottom w:val="single" w:sz="4" w:space="1" w:color="auto"/>
                <w:right w:val="single" w:sz="4" w:space="4" w:color="auto"/>
              </w:pBdr>
              <w:spacing w:after="0"/>
              <w:outlineLvl w:val="1"/>
              <w:rPr>
                <w:rFonts w:ascii="Arial" w:eastAsia="Times New Roman" w:hAnsi="Arial" w:cs="Arial"/>
                <w:bCs/>
                <w:sz w:val="24"/>
                <w:szCs w:val="24"/>
              </w:rPr>
            </w:pPr>
            <w:r w:rsidRPr="00630B4D">
              <w:rPr>
                <w:rFonts w:ascii="Arial" w:eastAsia="Times New Roman" w:hAnsi="Arial" w:cs="Arial"/>
                <w:bCs/>
                <w:sz w:val="24"/>
                <w:szCs w:val="24"/>
              </w:rPr>
              <w:t>Freedom of Information arrangements</w:t>
            </w:r>
          </w:p>
        </w:tc>
        <w:tc>
          <w:tcPr>
            <w:tcW w:w="4508" w:type="dxa"/>
            <w:shd w:val="clear" w:color="auto" w:fill="auto"/>
          </w:tcPr>
          <w:p w14:paraId="47D1828F" w14:textId="77777777" w:rsidR="00630B4D" w:rsidRPr="00630B4D" w:rsidRDefault="00630B4D" w:rsidP="00630B4D">
            <w:pPr>
              <w:keepNext/>
              <w:keepLines/>
              <w:pBdr>
                <w:top w:val="single" w:sz="4" w:space="1" w:color="auto"/>
                <w:left w:val="single" w:sz="4" w:space="4" w:color="auto"/>
                <w:bottom w:val="single" w:sz="4" w:space="1" w:color="auto"/>
                <w:right w:val="single" w:sz="4" w:space="4" w:color="auto"/>
              </w:pBdr>
              <w:spacing w:after="0"/>
              <w:outlineLvl w:val="1"/>
              <w:rPr>
                <w:rFonts w:ascii="Arial" w:eastAsia="Times New Roman" w:hAnsi="Arial" w:cs="Arial"/>
                <w:bCs/>
                <w:sz w:val="24"/>
                <w:szCs w:val="24"/>
              </w:rPr>
            </w:pPr>
          </w:p>
        </w:tc>
      </w:tr>
    </w:tbl>
    <w:p w14:paraId="1E0BF841" w14:textId="77777777" w:rsidR="00630B4D" w:rsidRPr="00630B4D" w:rsidRDefault="00630B4D" w:rsidP="00630B4D">
      <w:pPr>
        <w:spacing w:after="0" w:line="240" w:lineRule="auto"/>
        <w:rPr>
          <w:rFonts w:ascii="Times New Roman" w:eastAsia="Times New Roman" w:hAnsi="Times New Roman" w:cs="Times New Roman"/>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630B4D" w:rsidRPr="00630B4D" w14:paraId="3BDCF024" w14:textId="77777777" w:rsidTr="003509C1">
        <w:tc>
          <w:tcPr>
            <w:tcW w:w="9016" w:type="dxa"/>
            <w:gridSpan w:val="2"/>
            <w:shd w:val="clear" w:color="auto" w:fill="auto"/>
          </w:tcPr>
          <w:p w14:paraId="4C3F84F8" w14:textId="77777777" w:rsidR="00630B4D" w:rsidRPr="00630B4D" w:rsidRDefault="00630B4D" w:rsidP="00630B4D">
            <w:pPr>
              <w:keepNext/>
              <w:keepLines/>
              <w:pBdr>
                <w:top w:val="single" w:sz="4" w:space="1" w:color="auto"/>
                <w:left w:val="single" w:sz="4" w:space="4" w:color="auto"/>
                <w:bottom w:val="single" w:sz="4" w:space="1" w:color="auto"/>
                <w:right w:val="single" w:sz="4" w:space="4" w:color="auto"/>
              </w:pBdr>
              <w:spacing w:after="0"/>
              <w:outlineLvl w:val="1"/>
              <w:rPr>
                <w:rFonts w:ascii="Arial" w:eastAsia="Times New Roman" w:hAnsi="Arial" w:cs="Arial"/>
                <w:bCs/>
                <w:color w:val="44546A"/>
                <w:sz w:val="24"/>
                <w:szCs w:val="24"/>
                <w:u w:val="single"/>
              </w:rPr>
            </w:pPr>
            <w:r w:rsidRPr="00630B4D">
              <w:rPr>
                <w:rFonts w:ascii="Arial" w:eastAsia="Times New Roman" w:hAnsi="Arial" w:cs="Arial"/>
                <w:bCs/>
                <w:color w:val="44546A"/>
                <w:sz w:val="24"/>
                <w:szCs w:val="24"/>
                <w:u w:val="single"/>
              </w:rPr>
              <w:t>C. Defining Outcomes (decision making)</w:t>
            </w:r>
          </w:p>
        </w:tc>
      </w:tr>
      <w:tr w:rsidR="00630B4D" w:rsidRPr="00630B4D" w14:paraId="50965E85" w14:textId="77777777" w:rsidTr="0084027A">
        <w:trPr>
          <w:trHeight w:val="344"/>
        </w:trPr>
        <w:tc>
          <w:tcPr>
            <w:tcW w:w="4508" w:type="dxa"/>
            <w:tcBorders>
              <w:top w:val="single" w:sz="4" w:space="0" w:color="auto"/>
              <w:left w:val="single" w:sz="4" w:space="0" w:color="auto"/>
              <w:bottom w:val="single" w:sz="4" w:space="0" w:color="auto"/>
              <w:right w:val="single" w:sz="4" w:space="0" w:color="auto"/>
            </w:tcBorders>
            <w:shd w:val="clear" w:color="auto" w:fill="auto"/>
          </w:tcPr>
          <w:p w14:paraId="25F56AF3" w14:textId="77777777" w:rsidR="00630B4D" w:rsidRPr="00630B4D" w:rsidRDefault="0084027A" w:rsidP="00630B4D">
            <w:pPr>
              <w:keepNext/>
              <w:keepLines/>
              <w:pBdr>
                <w:top w:val="single" w:sz="4" w:space="1" w:color="auto"/>
                <w:left w:val="single" w:sz="4" w:space="4" w:color="auto"/>
                <w:bottom w:val="single" w:sz="4" w:space="1" w:color="auto"/>
                <w:right w:val="single" w:sz="4" w:space="4" w:color="auto"/>
              </w:pBdr>
              <w:spacing w:after="0"/>
              <w:outlineLvl w:val="1"/>
              <w:rPr>
                <w:rFonts w:ascii="Arial" w:eastAsia="Times New Roman" w:hAnsi="Arial" w:cs="Arial"/>
                <w:bCs/>
                <w:sz w:val="24"/>
                <w:szCs w:val="24"/>
              </w:rPr>
            </w:pPr>
            <w:r>
              <w:rPr>
                <w:rFonts w:ascii="Arial" w:eastAsia="Times New Roman" w:hAnsi="Arial" w:cs="Arial"/>
                <w:bCs/>
                <w:sz w:val="24"/>
                <w:szCs w:val="24"/>
              </w:rPr>
              <w:t>2030 Vision</w:t>
            </w:r>
          </w:p>
        </w:tc>
        <w:tc>
          <w:tcPr>
            <w:tcW w:w="4508" w:type="dxa"/>
            <w:vMerge w:val="restart"/>
            <w:tcBorders>
              <w:left w:val="single" w:sz="4" w:space="0" w:color="auto"/>
            </w:tcBorders>
            <w:shd w:val="clear" w:color="auto" w:fill="auto"/>
          </w:tcPr>
          <w:p w14:paraId="5314A5E5" w14:textId="77777777" w:rsidR="00630B4D" w:rsidRPr="00630B4D" w:rsidRDefault="00630B4D" w:rsidP="005C3A91">
            <w:pPr>
              <w:keepNext/>
              <w:keepLines/>
              <w:spacing w:after="0"/>
              <w:outlineLvl w:val="1"/>
              <w:rPr>
                <w:rFonts w:ascii="Arial" w:eastAsia="Times New Roman" w:hAnsi="Arial" w:cs="Arial"/>
                <w:bCs/>
                <w:sz w:val="24"/>
                <w:szCs w:val="24"/>
              </w:rPr>
            </w:pPr>
            <w:r w:rsidRPr="00630B4D">
              <w:rPr>
                <w:rFonts w:ascii="Arial" w:eastAsia="Times New Roman" w:hAnsi="Arial" w:cs="Arial"/>
                <w:bCs/>
                <w:sz w:val="24"/>
                <w:szCs w:val="24"/>
              </w:rPr>
              <w:t>Constitution</w:t>
            </w:r>
            <w:r w:rsidRPr="00630B4D">
              <w:rPr>
                <w:rFonts w:ascii="Cambria" w:eastAsia="Times New Roman" w:hAnsi="Cambria" w:cs="Times New Roman"/>
                <w:b/>
                <w:bCs/>
                <w:color w:val="4F81BD"/>
                <w:sz w:val="26"/>
                <w:szCs w:val="26"/>
              </w:rPr>
              <w:t xml:space="preserve"> </w:t>
            </w:r>
            <w:r w:rsidRPr="00630B4D">
              <w:rPr>
                <w:rFonts w:ascii="Arial" w:eastAsia="Times New Roman" w:hAnsi="Arial" w:cs="Arial"/>
                <w:bCs/>
                <w:sz w:val="24"/>
                <w:szCs w:val="24"/>
              </w:rPr>
              <w:t xml:space="preserve">including </w:t>
            </w:r>
          </w:p>
          <w:p w14:paraId="5A2D362E" w14:textId="77777777" w:rsidR="00630B4D" w:rsidRPr="00630B4D" w:rsidRDefault="00630B4D" w:rsidP="005C3A91">
            <w:pPr>
              <w:keepNext/>
              <w:keepLines/>
              <w:numPr>
                <w:ilvl w:val="0"/>
                <w:numId w:val="4"/>
              </w:numPr>
              <w:spacing w:after="0" w:line="240" w:lineRule="auto"/>
              <w:ind w:left="357" w:hanging="357"/>
              <w:outlineLvl w:val="1"/>
              <w:rPr>
                <w:rFonts w:ascii="Arial" w:eastAsia="Times New Roman" w:hAnsi="Arial" w:cs="Arial"/>
                <w:bCs/>
                <w:sz w:val="24"/>
                <w:szCs w:val="24"/>
              </w:rPr>
            </w:pPr>
            <w:r w:rsidRPr="00630B4D">
              <w:rPr>
                <w:rFonts w:ascii="Arial" w:eastAsia="Times New Roman" w:hAnsi="Arial" w:cs="Arial"/>
                <w:bCs/>
                <w:sz w:val="24"/>
                <w:szCs w:val="24"/>
              </w:rPr>
              <w:t xml:space="preserve">Responsibilities for Functions and Terms of Reference </w:t>
            </w:r>
          </w:p>
          <w:p w14:paraId="13846372" w14:textId="77777777" w:rsidR="00630B4D" w:rsidRPr="00630B4D" w:rsidRDefault="00630B4D" w:rsidP="005C3A91">
            <w:pPr>
              <w:keepNext/>
              <w:keepLines/>
              <w:numPr>
                <w:ilvl w:val="0"/>
                <w:numId w:val="4"/>
              </w:numPr>
              <w:spacing w:after="0" w:line="240" w:lineRule="auto"/>
              <w:ind w:left="357" w:hanging="357"/>
              <w:outlineLvl w:val="1"/>
              <w:rPr>
                <w:rFonts w:ascii="Arial" w:eastAsia="Times New Roman" w:hAnsi="Arial" w:cs="Arial"/>
                <w:bCs/>
                <w:sz w:val="24"/>
                <w:szCs w:val="24"/>
              </w:rPr>
            </w:pPr>
            <w:r w:rsidRPr="00630B4D">
              <w:rPr>
                <w:rFonts w:ascii="Arial" w:eastAsia="Times New Roman" w:hAnsi="Arial" w:cs="Arial"/>
                <w:bCs/>
                <w:sz w:val="24"/>
                <w:szCs w:val="24"/>
              </w:rPr>
              <w:t xml:space="preserve">Councillors’ and Co-opted Members’ Code of Conduct </w:t>
            </w:r>
          </w:p>
          <w:p w14:paraId="58E7D2FF" w14:textId="77777777" w:rsidR="0084027A" w:rsidRPr="007F38FD" w:rsidRDefault="00630B4D" w:rsidP="007F38FD">
            <w:pPr>
              <w:keepNext/>
              <w:keepLines/>
              <w:numPr>
                <w:ilvl w:val="0"/>
                <w:numId w:val="4"/>
              </w:numPr>
              <w:spacing w:after="0" w:line="240" w:lineRule="auto"/>
              <w:ind w:left="357" w:hanging="357"/>
              <w:outlineLvl w:val="1"/>
              <w:rPr>
                <w:rFonts w:ascii="Arial" w:eastAsia="Times New Roman" w:hAnsi="Arial" w:cs="Arial"/>
                <w:bCs/>
                <w:sz w:val="24"/>
                <w:szCs w:val="24"/>
              </w:rPr>
            </w:pPr>
            <w:r w:rsidRPr="00630B4D">
              <w:rPr>
                <w:rFonts w:ascii="Arial" w:eastAsia="Times New Roman" w:hAnsi="Arial" w:cs="Arial"/>
                <w:bCs/>
                <w:sz w:val="24"/>
                <w:szCs w:val="24"/>
              </w:rPr>
              <w:t>Procedures and Standing Orders</w:t>
            </w:r>
          </w:p>
        </w:tc>
      </w:tr>
      <w:tr w:rsidR="0084027A" w:rsidRPr="00630B4D" w14:paraId="5C733AEE" w14:textId="77777777" w:rsidTr="0084027A">
        <w:trPr>
          <w:trHeight w:val="344"/>
        </w:trPr>
        <w:tc>
          <w:tcPr>
            <w:tcW w:w="4508" w:type="dxa"/>
            <w:tcBorders>
              <w:top w:val="single" w:sz="4" w:space="0" w:color="auto"/>
              <w:left w:val="single" w:sz="4" w:space="0" w:color="auto"/>
              <w:bottom w:val="single" w:sz="4" w:space="0" w:color="auto"/>
              <w:right w:val="single" w:sz="4" w:space="0" w:color="auto"/>
            </w:tcBorders>
            <w:shd w:val="clear" w:color="auto" w:fill="auto"/>
          </w:tcPr>
          <w:p w14:paraId="33B50502" w14:textId="77777777" w:rsidR="0084027A" w:rsidRPr="00630B4D" w:rsidRDefault="0084027A" w:rsidP="00630B4D">
            <w:pPr>
              <w:keepNext/>
              <w:keepLines/>
              <w:pBdr>
                <w:top w:val="single" w:sz="4" w:space="1" w:color="auto"/>
                <w:left w:val="single" w:sz="4" w:space="4" w:color="auto"/>
                <w:bottom w:val="single" w:sz="4" w:space="1" w:color="auto"/>
                <w:right w:val="single" w:sz="4" w:space="4" w:color="auto"/>
              </w:pBdr>
              <w:spacing w:after="0"/>
              <w:outlineLvl w:val="1"/>
              <w:rPr>
                <w:rFonts w:ascii="Arial" w:eastAsia="Times New Roman" w:hAnsi="Arial" w:cs="Arial"/>
                <w:bCs/>
                <w:sz w:val="24"/>
                <w:szCs w:val="24"/>
              </w:rPr>
            </w:pPr>
            <w:r>
              <w:rPr>
                <w:rFonts w:ascii="Arial" w:eastAsia="Times New Roman" w:hAnsi="Arial" w:cs="Arial"/>
                <w:bCs/>
                <w:sz w:val="24"/>
                <w:szCs w:val="24"/>
              </w:rPr>
              <w:t>Metro Strategy</w:t>
            </w:r>
          </w:p>
        </w:tc>
        <w:tc>
          <w:tcPr>
            <w:tcW w:w="4508" w:type="dxa"/>
            <w:vMerge/>
            <w:tcBorders>
              <w:left w:val="single" w:sz="4" w:space="0" w:color="auto"/>
            </w:tcBorders>
            <w:shd w:val="clear" w:color="auto" w:fill="auto"/>
          </w:tcPr>
          <w:p w14:paraId="428DFEC2" w14:textId="77777777" w:rsidR="0084027A" w:rsidRPr="00630B4D" w:rsidRDefault="0084027A" w:rsidP="00630B4D">
            <w:pPr>
              <w:keepNext/>
              <w:keepLines/>
              <w:pBdr>
                <w:top w:val="single" w:sz="4" w:space="1" w:color="auto"/>
                <w:left w:val="single" w:sz="4" w:space="4" w:color="auto"/>
                <w:bottom w:val="single" w:sz="4" w:space="1" w:color="auto"/>
                <w:right w:val="single" w:sz="4" w:space="4" w:color="auto"/>
              </w:pBdr>
              <w:spacing w:after="0"/>
              <w:outlineLvl w:val="1"/>
              <w:rPr>
                <w:rFonts w:ascii="Arial" w:eastAsia="Times New Roman" w:hAnsi="Arial" w:cs="Arial"/>
                <w:bCs/>
                <w:color w:val="44546A"/>
                <w:sz w:val="24"/>
                <w:szCs w:val="24"/>
                <w:u w:val="single"/>
              </w:rPr>
            </w:pPr>
          </w:p>
        </w:tc>
      </w:tr>
      <w:tr w:rsidR="0084027A" w:rsidRPr="00630B4D" w14:paraId="63C78680" w14:textId="77777777" w:rsidTr="0084027A">
        <w:trPr>
          <w:trHeight w:val="344"/>
        </w:trPr>
        <w:tc>
          <w:tcPr>
            <w:tcW w:w="4508" w:type="dxa"/>
            <w:tcBorders>
              <w:top w:val="single" w:sz="4" w:space="0" w:color="auto"/>
              <w:left w:val="single" w:sz="4" w:space="0" w:color="auto"/>
              <w:bottom w:val="single" w:sz="4" w:space="0" w:color="auto"/>
              <w:right w:val="single" w:sz="4" w:space="0" w:color="auto"/>
            </w:tcBorders>
            <w:shd w:val="clear" w:color="auto" w:fill="auto"/>
          </w:tcPr>
          <w:p w14:paraId="4BA8B03A" w14:textId="77777777" w:rsidR="0084027A" w:rsidRDefault="0084027A" w:rsidP="00630B4D">
            <w:pPr>
              <w:keepNext/>
              <w:keepLines/>
              <w:pBdr>
                <w:top w:val="single" w:sz="4" w:space="1" w:color="auto"/>
                <w:left w:val="single" w:sz="4" w:space="4" w:color="auto"/>
                <w:bottom w:val="single" w:sz="4" w:space="1" w:color="auto"/>
                <w:right w:val="single" w:sz="4" w:space="4" w:color="auto"/>
              </w:pBdr>
              <w:spacing w:after="0"/>
              <w:outlineLvl w:val="1"/>
              <w:rPr>
                <w:rFonts w:ascii="Arial" w:eastAsia="Times New Roman" w:hAnsi="Arial" w:cs="Arial"/>
                <w:bCs/>
                <w:sz w:val="24"/>
                <w:szCs w:val="24"/>
              </w:rPr>
            </w:pPr>
            <w:r w:rsidRPr="00630B4D">
              <w:rPr>
                <w:rFonts w:ascii="Arial" w:eastAsia="Times New Roman" w:hAnsi="Arial" w:cs="Arial"/>
                <w:bCs/>
                <w:sz w:val="24"/>
                <w:szCs w:val="24"/>
              </w:rPr>
              <w:t>Council Plan</w:t>
            </w:r>
          </w:p>
        </w:tc>
        <w:tc>
          <w:tcPr>
            <w:tcW w:w="4508" w:type="dxa"/>
            <w:vMerge/>
            <w:tcBorders>
              <w:left w:val="single" w:sz="4" w:space="0" w:color="auto"/>
            </w:tcBorders>
            <w:shd w:val="clear" w:color="auto" w:fill="auto"/>
          </w:tcPr>
          <w:p w14:paraId="217D6CE6" w14:textId="77777777" w:rsidR="0084027A" w:rsidRPr="00630B4D" w:rsidRDefault="0084027A" w:rsidP="00630B4D">
            <w:pPr>
              <w:keepNext/>
              <w:keepLines/>
              <w:pBdr>
                <w:top w:val="single" w:sz="4" w:space="1" w:color="auto"/>
                <w:left w:val="single" w:sz="4" w:space="4" w:color="auto"/>
                <w:bottom w:val="single" w:sz="4" w:space="1" w:color="auto"/>
                <w:right w:val="single" w:sz="4" w:space="4" w:color="auto"/>
              </w:pBdr>
              <w:spacing w:after="0"/>
              <w:outlineLvl w:val="1"/>
              <w:rPr>
                <w:rFonts w:ascii="Arial" w:eastAsia="Times New Roman" w:hAnsi="Arial" w:cs="Arial"/>
                <w:bCs/>
                <w:color w:val="44546A"/>
                <w:sz w:val="24"/>
                <w:szCs w:val="24"/>
                <w:u w:val="single"/>
              </w:rPr>
            </w:pPr>
          </w:p>
        </w:tc>
      </w:tr>
      <w:tr w:rsidR="0084027A" w:rsidRPr="00630B4D" w14:paraId="465C13FE" w14:textId="77777777" w:rsidTr="0084027A">
        <w:trPr>
          <w:trHeight w:val="344"/>
        </w:trPr>
        <w:tc>
          <w:tcPr>
            <w:tcW w:w="4508" w:type="dxa"/>
            <w:tcBorders>
              <w:top w:val="single" w:sz="4" w:space="0" w:color="auto"/>
              <w:left w:val="single" w:sz="4" w:space="0" w:color="auto"/>
              <w:bottom w:val="single" w:sz="4" w:space="0" w:color="auto"/>
              <w:right w:val="single" w:sz="4" w:space="0" w:color="auto"/>
            </w:tcBorders>
            <w:shd w:val="clear" w:color="auto" w:fill="auto"/>
          </w:tcPr>
          <w:p w14:paraId="787FB942" w14:textId="77777777" w:rsidR="0084027A" w:rsidRPr="00F001BB" w:rsidRDefault="0084027A" w:rsidP="00630B4D">
            <w:pPr>
              <w:keepNext/>
              <w:keepLines/>
              <w:pBdr>
                <w:top w:val="single" w:sz="4" w:space="1" w:color="auto"/>
                <w:left w:val="single" w:sz="4" w:space="4" w:color="auto"/>
                <w:bottom w:val="single" w:sz="4" w:space="1" w:color="auto"/>
                <w:right w:val="single" w:sz="4" w:space="4" w:color="auto"/>
              </w:pBdr>
              <w:spacing w:after="0"/>
              <w:outlineLvl w:val="1"/>
              <w:rPr>
                <w:rFonts w:ascii="Arial" w:eastAsia="Times New Roman" w:hAnsi="Arial" w:cs="Arial"/>
                <w:bCs/>
                <w:sz w:val="24"/>
                <w:szCs w:val="24"/>
              </w:rPr>
            </w:pPr>
            <w:r w:rsidRPr="00F001BB">
              <w:rPr>
                <w:rFonts w:ascii="Arial" w:eastAsia="Times New Roman" w:hAnsi="Arial" w:cs="Arial"/>
                <w:sz w:val="24"/>
                <w:szCs w:val="24"/>
                <w:lang w:eastAsia="en-GB"/>
              </w:rPr>
              <w:t>Nottingham Plan to 2020</w:t>
            </w:r>
          </w:p>
        </w:tc>
        <w:tc>
          <w:tcPr>
            <w:tcW w:w="4508" w:type="dxa"/>
            <w:vMerge/>
            <w:tcBorders>
              <w:left w:val="single" w:sz="4" w:space="0" w:color="auto"/>
            </w:tcBorders>
            <w:shd w:val="clear" w:color="auto" w:fill="auto"/>
          </w:tcPr>
          <w:p w14:paraId="56F3143C" w14:textId="77777777" w:rsidR="0084027A" w:rsidRPr="00630B4D" w:rsidRDefault="0084027A" w:rsidP="00630B4D">
            <w:pPr>
              <w:keepNext/>
              <w:keepLines/>
              <w:pBdr>
                <w:top w:val="single" w:sz="4" w:space="1" w:color="auto"/>
                <w:left w:val="single" w:sz="4" w:space="4" w:color="auto"/>
                <w:bottom w:val="single" w:sz="4" w:space="1" w:color="auto"/>
                <w:right w:val="single" w:sz="4" w:space="4" w:color="auto"/>
              </w:pBdr>
              <w:spacing w:after="0"/>
              <w:outlineLvl w:val="1"/>
              <w:rPr>
                <w:rFonts w:ascii="Arial" w:eastAsia="Times New Roman" w:hAnsi="Arial" w:cs="Arial"/>
                <w:bCs/>
                <w:color w:val="44546A"/>
                <w:sz w:val="24"/>
                <w:szCs w:val="24"/>
                <w:u w:val="single"/>
              </w:rPr>
            </w:pPr>
          </w:p>
        </w:tc>
      </w:tr>
      <w:tr w:rsidR="0084027A" w:rsidRPr="00630B4D" w14:paraId="4682291A" w14:textId="77777777" w:rsidTr="0084027A">
        <w:trPr>
          <w:trHeight w:val="344"/>
        </w:trPr>
        <w:tc>
          <w:tcPr>
            <w:tcW w:w="4508" w:type="dxa"/>
            <w:tcBorders>
              <w:top w:val="single" w:sz="4" w:space="0" w:color="auto"/>
              <w:left w:val="single" w:sz="4" w:space="0" w:color="auto"/>
              <w:bottom w:val="single" w:sz="4" w:space="0" w:color="auto"/>
              <w:right w:val="single" w:sz="4" w:space="0" w:color="auto"/>
            </w:tcBorders>
            <w:shd w:val="clear" w:color="auto" w:fill="auto"/>
          </w:tcPr>
          <w:p w14:paraId="5577DB14" w14:textId="77777777" w:rsidR="0084027A" w:rsidRPr="00630B4D" w:rsidRDefault="0084027A" w:rsidP="00B641A0">
            <w:pPr>
              <w:spacing w:after="0" w:line="240" w:lineRule="auto"/>
              <w:rPr>
                <w:rFonts w:ascii="Times New Roman" w:eastAsia="Times New Roman" w:hAnsi="Times New Roman" w:cs="Times New Roman"/>
                <w:sz w:val="24"/>
                <w:szCs w:val="24"/>
                <w:lang w:eastAsia="en-GB"/>
              </w:rPr>
            </w:pPr>
            <w:r w:rsidRPr="00630B4D">
              <w:rPr>
                <w:rFonts w:ascii="Arial" w:eastAsia="Times New Roman" w:hAnsi="Arial" w:cs="Arial"/>
                <w:bCs/>
                <w:sz w:val="24"/>
                <w:szCs w:val="24"/>
              </w:rPr>
              <w:t>Business plans</w:t>
            </w:r>
            <w:r w:rsidR="00630501">
              <w:rPr>
                <w:rFonts w:ascii="Arial" w:eastAsia="Times New Roman" w:hAnsi="Arial" w:cs="Arial"/>
                <w:bCs/>
                <w:sz w:val="24"/>
                <w:szCs w:val="24"/>
              </w:rPr>
              <w:t xml:space="preserve"> / Service </w:t>
            </w:r>
            <w:r w:rsidR="00B641A0">
              <w:rPr>
                <w:rFonts w:ascii="Arial" w:eastAsia="Times New Roman" w:hAnsi="Arial" w:cs="Arial"/>
                <w:bCs/>
                <w:sz w:val="24"/>
                <w:szCs w:val="24"/>
              </w:rPr>
              <w:t>p</w:t>
            </w:r>
            <w:r w:rsidR="00630501">
              <w:rPr>
                <w:rFonts w:ascii="Arial" w:eastAsia="Times New Roman" w:hAnsi="Arial" w:cs="Arial"/>
                <w:bCs/>
                <w:sz w:val="24"/>
                <w:szCs w:val="24"/>
              </w:rPr>
              <w:t>lans</w:t>
            </w:r>
          </w:p>
        </w:tc>
        <w:tc>
          <w:tcPr>
            <w:tcW w:w="4508" w:type="dxa"/>
            <w:vMerge/>
            <w:tcBorders>
              <w:left w:val="single" w:sz="4" w:space="0" w:color="auto"/>
            </w:tcBorders>
            <w:shd w:val="clear" w:color="auto" w:fill="auto"/>
          </w:tcPr>
          <w:p w14:paraId="721C6601" w14:textId="77777777" w:rsidR="0084027A" w:rsidRPr="00630B4D" w:rsidRDefault="0084027A" w:rsidP="00630B4D">
            <w:pPr>
              <w:keepNext/>
              <w:keepLines/>
              <w:pBdr>
                <w:top w:val="single" w:sz="4" w:space="1" w:color="auto"/>
                <w:left w:val="single" w:sz="4" w:space="4" w:color="auto"/>
                <w:bottom w:val="single" w:sz="4" w:space="1" w:color="auto"/>
                <w:right w:val="single" w:sz="4" w:space="4" w:color="auto"/>
              </w:pBdr>
              <w:spacing w:after="0"/>
              <w:outlineLvl w:val="1"/>
              <w:rPr>
                <w:rFonts w:ascii="Arial" w:eastAsia="Times New Roman" w:hAnsi="Arial" w:cs="Arial"/>
                <w:bCs/>
                <w:color w:val="44546A"/>
                <w:sz w:val="24"/>
                <w:szCs w:val="24"/>
                <w:u w:val="single"/>
              </w:rPr>
            </w:pPr>
          </w:p>
        </w:tc>
      </w:tr>
      <w:tr w:rsidR="0084027A" w:rsidRPr="00630B4D" w14:paraId="733D6F30" w14:textId="77777777" w:rsidTr="0084027A">
        <w:trPr>
          <w:trHeight w:val="344"/>
        </w:trPr>
        <w:tc>
          <w:tcPr>
            <w:tcW w:w="4508" w:type="dxa"/>
            <w:tcBorders>
              <w:top w:val="single" w:sz="4" w:space="0" w:color="auto"/>
              <w:left w:val="single" w:sz="4" w:space="0" w:color="auto"/>
              <w:bottom w:val="single" w:sz="4" w:space="0" w:color="auto"/>
              <w:right w:val="single" w:sz="4" w:space="0" w:color="auto"/>
            </w:tcBorders>
            <w:shd w:val="clear" w:color="auto" w:fill="auto"/>
          </w:tcPr>
          <w:p w14:paraId="0A6FA44A" w14:textId="77777777" w:rsidR="0084027A" w:rsidRPr="00630B4D" w:rsidRDefault="0084027A" w:rsidP="00630B4D">
            <w:pPr>
              <w:keepNext/>
              <w:keepLines/>
              <w:pBdr>
                <w:top w:val="single" w:sz="4" w:space="1" w:color="auto"/>
                <w:left w:val="single" w:sz="4" w:space="4" w:color="auto"/>
                <w:bottom w:val="single" w:sz="4" w:space="1" w:color="auto"/>
                <w:right w:val="single" w:sz="4" w:space="4" w:color="auto"/>
              </w:pBdr>
              <w:spacing w:after="0"/>
              <w:outlineLvl w:val="1"/>
              <w:rPr>
                <w:rFonts w:ascii="Arial" w:eastAsia="Times New Roman" w:hAnsi="Arial" w:cs="Arial"/>
                <w:bCs/>
                <w:color w:val="44546A"/>
                <w:sz w:val="24"/>
                <w:szCs w:val="24"/>
                <w:u w:val="single"/>
              </w:rPr>
            </w:pPr>
            <w:r w:rsidRPr="00630B4D">
              <w:rPr>
                <w:rFonts w:ascii="Arial" w:eastAsia="Times New Roman" w:hAnsi="Arial" w:cs="Arial"/>
                <w:bCs/>
                <w:sz w:val="24"/>
                <w:szCs w:val="24"/>
              </w:rPr>
              <w:t>Decision-making protocols &amp; records</w:t>
            </w:r>
          </w:p>
        </w:tc>
        <w:tc>
          <w:tcPr>
            <w:tcW w:w="4508" w:type="dxa"/>
            <w:vMerge/>
            <w:tcBorders>
              <w:left w:val="single" w:sz="4" w:space="0" w:color="auto"/>
            </w:tcBorders>
            <w:shd w:val="clear" w:color="auto" w:fill="auto"/>
          </w:tcPr>
          <w:p w14:paraId="77FE5630" w14:textId="77777777" w:rsidR="0084027A" w:rsidRPr="00630B4D" w:rsidRDefault="0084027A" w:rsidP="00630B4D">
            <w:pPr>
              <w:keepNext/>
              <w:keepLines/>
              <w:pBdr>
                <w:top w:val="single" w:sz="4" w:space="1" w:color="auto"/>
                <w:left w:val="single" w:sz="4" w:space="4" w:color="auto"/>
                <w:bottom w:val="single" w:sz="4" w:space="1" w:color="auto"/>
                <w:right w:val="single" w:sz="4" w:space="4" w:color="auto"/>
              </w:pBdr>
              <w:spacing w:after="0"/>
              <w:outlineLvl w:val="1"/>
              <w:rPr>
                <w:rFonts w:ascii="Arial" w:eastAsia="Times New Roman" w:hAnsi="Arial" w:cs="Arial"/>
                <w:bCs/>
                <w:color w:val="44546A"/>
                <w:sz w:val="24"/>
                <w:szCs w:val="24"/>
                <w:u w:val="single"/>
              </w:rPr>
            </w:pPr>
          </w:p>
        </w:tc>
      </w:tr>
      <w:tr w:rsidR="0084027A" w:rsidRPr="00630B4D" w14:paraId="1635AD3E" w14:textId="77777777" w:rsidTr="003509C1">
        <w:tc>
          <w:tcPr>
            <w:tcW w:w="9016" w:type="dxa"/>
            <w:gridSpan w:val="2"/>
            <w:shd w:val="clear" w:color="auto" w:fill="auto"/>
          </w:tcPr>
          <w:p w14:paraId="16DF791B" w14:textId="77777777" w:rsidR="0084027A" w:rsidRPr="00630B4D" w:rsidRDefault="007F38FD" w:rsidP="00630B4D">
            <w:pPr>
              <w:keepNext/>
              <w:keepLines/>
              <w:pBdr>
                <w:top w:val="single" w:sz="4" w:space="1" w:color="auto"/>
                <w:left w:val="single" w:sz="4" w:space="4" w:color="auto"/>
                <w:bottom w:val="single" w:sz="4" w:space="1" w:color="auto"/>
                <w:right w:val="single" w:sz="4" w:space="4" w:color="auto"/>
              </w:pBdr>
              <w:spacing w:after="0"/>
              <w:outlineLvl w:val="1"/>
              <w:rPr>
                <w:rFonts w:ascii="Arial" w:eastAsia="Times New Roman" w:hAnsi="Arial" w:cs="Arial"/>
                <w:bCs/>
                <w:color w:val="44546A"/>
                <w:sz w:val="24"/>
                <w:szCs w:val="24"/>
                <w:u w:val="single"/>
              </w:rPr>
            </w:pPr>
            <w:r w:rsidRPr="00630B4D">
              <w:rPr>
                <w:rFonts w:ascii="Arial" w:eastAsia="Times New Roman" w:hAnsi="Arial" w:cs="Arial"/>
                <w:bCs/>
                <w:color w:val="44546A"/>
                <w:sz w:val="24"/>
                <w:szCs w:val="24"/>
                <w:u w:val="single"/>
              </w:rPr>
              <w:t>D. Interventions</w:t>
            </w:r>
          </w:p>
        </w:tc>
      </w:tr>
      <w:tr w:rsidR="0084027A" w:rsidRPr="00630B4D" w14:paraId="083855F8" w14:textId="77777777" w:rsidTr="003509C1">
        <w:tc>
          <w:tcPr>
            <w:tcW w:w="4508" w:type="dxa"/>
            <w:shd w:val="clear" w:color="auto" w:fill="auto"/>
          </w:tcPr>
          <w:p w14:paraId="2443F25A" w14:textId="77777777" w:rsidR="0084027A" w:rsidRPr="00630B4D" w:rsidRDefault="007F38FD" w:rsidP="00630B4D">
            <w:pPr>
              <w:keepNext/>
              <w:keepLines/>
              <w:pBdr>
                <w:top w:val="single" w:sz="4" w:space="1" w:color="auto"/>
                <w:left w:val="single" w:sz="4" w:space="4" w:color="auto"/>
                <w:bottom w:val="single" w:sz="4" w:space="1" w:color="auto"/>
                <w:right w:val="single" w:sz="4" w:space="4" w:color="auto"/>
              </w:pBdr>
              <w:spacing w:after="0"/>
              <w:outlineLvl w:val="1"/>
              <w:rPr>
                <w:rFonts w:ascii="Arial" w:eastAsia="Times New Roman" w:hAnsi="Arial" w:cs="Arial"/>
                <w:bCs/>
                <w:sz w:val="24"/>
                <w:szCs w:val="24"/>
              </w:rPr>
            </w:pPr>
            <w:r w:rsidRPr="00630B4D">
              <w:rPr>
                <w:rFonts w:ascii="Arial" w:eastAsia="Times New Roman" w:hAnsi="Arial" w:cs="Arial"/>
                <w:bCs/>
                <w:sz w:val="24"/>
                <w:szCs w:val="24"/>
              </w:rPr>
              <w:t>Performance Management Framework</w:t>
            </w:r>
          </w:p>
        </w:tc>
        <w:tc>
          <w:tcPr>
            <w:tcW w:w="4508" w:type="dxa"/>
            <w:shd w:val="clear" w:color="auto" w:fill="auto"/>
          </w:tcPr>
          <w:p w14:paraId="5DB51D77" w14:textId="77777777" w:rsidR="0084027A" w:rsidRPr="00630B4D" w:rsidRDefault="0084027A" w:rsidP="00630B4D">
            <w:pPr>
              <w:keepNext/>
              <w:keepLines/>
              <w:pBdr>
                <w:top w:val="single" w:sz="4" w:space="1" w:color="auto"/>
                <w:left w:val="single" w:sz="4" w:space="4" w:color="auto"/>
                <w:bottom w:val="single" w:sz="4" w:space="1" w:color="auto"/>
                <w:right w:val="single" w:sz="4" w:space="4" w:color="auto"/>
              </w:pBdr>
              <w:spacing w:after="0"/>
              <w:outlineLvl w:val="1"/>
              <w:rPr>
                <w:rFonts w:ascii="Arial" w:eastAsia="Times New Roman" w:hAnsi="Arial" w:cs="Arial"/>
                <w:bCs/>
                <w:sz w:val="24"/>
                <w:szCs w:val="24"/>
              </w:rPr>
            </w:pPr>
            <w:r w:rsidRPr="00630B4D">
              <w:rPr>
                <w:rFonts w:ascii="Arial" w:eastAsia="Times New Roman" w:hAnsi="Arial" w:cs="Arial"/>
                <w:bCs/>
                <w:sz w:val="24"/>
                <w:szCs w:val="24"/>
              </w:rPr>
              <w:t>Budget Monitoring</w:t>
            </w:r>
          </w:p>
        </w:tc>
      </w:tr>
      <w:tr w:rsidR="007F38FD" w:rsidRPr="00630B4D" w14:paraId="1DDB64DC" w14:textId="77777777" w:rsidTr="003509C1">
        <w:tc>
          <w:tcPr>
            <w:tcW w:w="4508" w:type="dxa"/>
            <w:shd w:val="clear" w:color="auto" w:fill="auto"/>
          </w:tcPr>
          <w:p w14:paraId="7446C89B" w14:textId="77777777" w:rsidR="007F38FD" w:rsidRPr="00630B4D" w:rsidRDefault="007F38FD" w:rsidP="00630B4D">
            <w:pPr>
              <w:keepNext/>
              <w:keepLines/>
              <w:pBdr>
                <w:top w:val="single" w:sz="4" w:space="1" w:color="auto"/>
                <w:left w:val="single" w:sz="4" w:space="4" w:color="auto"/>
                <w:bottom w:val="single" w:sz="4" w:space="1" w:color="auto"/>
                <w:right w:val="single" w:sz="4" w:space="4" w:color="auto"/>
              </w:pBdr>
              <w:spacing w:after="0"/>
              <w:outlineLvl w:val="1"/>
              <w:rPr>
                <w:rFonts w:ascii="Arial" w:eastAsia="Times New Roman" w:hAnsi="Arial" w:cs="Arial"/>
                <w:bCs/>
                <w:sz w:val="24"/>
                <w:szCs w:val="24"/>
              </w:rPr>
            </w:pPr>
            <w:r w:rsidRPr="00630B4D">
              <w:rPr>
                <w:rFonts w:ascii="Arial" w:eastAsia="Times New Roman" w:hAnsi="Arial" w:cs="Arial"/>
                <w:bCs/>
                <w:sz w:val="24"/>
                <w:szCs w:val="24"/>
              </w:rPr>
              <w:t>Early Interventions</w:t>
            </w:r>
          </w:p>
        </w:tc>
        <w:tc>
          <w:tcPr>
            <w:tcW w:w="4508" w:type="dxa"/>
            <w:shd w:val="clear" w:color="auto" w:fill="auto"/>
          </w:tcPr>
          <w:p w14:paraId="5A8AE761" w14:textId="77777777" w:rsidR="007F38FD" w:rsidRPr="00630B4D" w:rsidRDefault="00B55F36" w:rsidP="00630B4D">
            <w:pPr>
              <w:keepNext/>
              <w:keepLines/>
              <w:pBdr>
                <w:top w:val="single" w:sz="4" w:space="1" w:color="auto"/>
                <w:left w:val="single" w:sz="4" w:space="4" w:color="auto"/>
                <w:bottom w:val="single" w:sz="4" w:space="1" w:color="auto"/>
                <w:right w:val="single" w:sz="4" w:space="4" w:color="auto"/>
              </w:pBdr>
              <w:spacing w:after="0"/>
              <w:outlineLvl w:val="1"/>
              <w:rPr>
                <w:rFonts w:ascii="Arial" w:eastAsia="Times New Roman" w:hAnsi="Arial" w:cs="Arial"/>
                <w:bCs/>
                <w:sz w:val="24"/>
                <w:szCs w:val="24"/>
              </w:rPr>
            </w:pPr>
            <w:r>
              <w:rPr>
                <w:rFonts w:ascii="Arial" w:eastAsia="Times New Roman" w:hAnsi="Arial" w:cs="Arial"/>
                <w:bCs/>
                <w:sz w:val="24"/>
                <w:szCs w:val="24"/>
              </w:rPr>
              <w:t>Responding to the Report in the Public Interest and implementing the Council’s Action Plan</w:t>
            </w:r>
          </w:p>
        </w:tc>
      </w:tr>
      <w:tr w:rsidR="007F38FD" w:rsidRPr="00630B4D" w14:paraId="48335D57" w14:textId="77777777" w:rsidTr="003509C1">
        <w:tc>
          <w:tcPr>
            <w:tcW w:w="9016" w:type="dxa"/>
            <w:gridSpan w:val="2"/>
            <w:shd w:val="clear" w:color="auto" w:fill="auto"/>
          </w:tcPr>
          <w:p w14:paraId="04B8FFA0" w14:textId="77777777" w:rsidR="007F38FD" w:rsidRPr="00630B4D" w:rsidRDefault="007F38FD" w:rsidP="003509C1">
            <w:pPr>
              <w:keepNext/>
              <w:keepLines/>
              <w:pBdr>
                <w:top w:val="single" w:sz="4" w:space="1" w:color="auto"/>
                <w:left w:val="single" w:sz="4" w:space="4" w:color="auto"/>
                <w:bottom w:val="single" w:sz="4" w:space="1" w:color="auto"/>
                <w:right w:val="single" w:sz="4" w:space="4" w:color="auto"/>
              </w:pBdr>
              <w:spacing w:after="0"/>
              <w:outlineLvl w:val="1"/>
              <w:rPr>
                <w:rFonts w:ascii="Arial" w:eastAsia="Times New Roman" w:hAnsi="Arial" w:cs="Arial"/>
                <w:bCs/>
                <w:color w:val="44546A"/>
                <w:sz w:val="24"/>
                <w:szCs w:val="24"/>
                <w:u w:val="single"/>
              </w:rPr>
            </w:pPr>
            <w:r w:rsidRPr="00630B4D">
              <w:rPr>
                <w:rFonts w:ascii="Arial" w:eastAsia="Times New Roman" w:hAnsi="Arial" w:cs="Arial"/>
                <w:bCs/>
                <w:color w:val="44546A"/>
                <w:sz w:val="24"/>
                <w:szCs w:val="24"/>
                <w:u w:val="single"/>
              </w:rPr>
              <w:t>E. Capacity and Capability</w:t>
            </w:r>
          </w:p>
        </w:tc>
      </w:tr>
      <w:tr w:rsidR="0084027A" w:rsidRPr="00630B4D" w14:paraId="2DC16128" w14:textId="77777777" w:rsidTr="003509C1">
        <w:tc>
          <w:tcPr>
            <w:tcW w:w="4508" w:type="dxa"/>
            <w:shd w:val="clear" w:color="auto" w:fill="auto"/>
          </w:tcPr>
          <w:p w14:paraId="75909FA1" w14:textId="77777777" w:rsidR="0084027A" w:rsidRPr="00630B4D" w:rsidRDefault="007F38FD" w:rsidP="00630B4D">
            <w:pPr>
              <w:keepNext/>
              <w:keepLines/>
              <w:pBdr>
                <w:top w:val="single" w:sz="4" w:space="1" w:color="auto"/>
                <w:left w:val="single" w:sz="4" w:space="4" w:color="auto"/>
                <w:bottom w:val="single" w:sz="4" w:space="1" w:color="auto"/>
                <w:right w:val="single" w:sz="4" w:space="4" w:color="auto"/>
              </w:pBdr>
              <w:spacing w:after="0"/>
              <w:outlineLvl w:val="1"/>
              <w:rPr>
                <w:rFonts w:ascii="Arial" w:eastAsia="Times New Roman" w:hAnsi="Arial" w:cs="Arial"/>
                <w:bCs/>
                <w:sz w:val="24"/>
                <w:szCs w:val="24"/>
              </w:rPr>
            </w:pPr>
            <w:r w:rsidRPr="00630B4D">
              <w:rPr>
                <w:rFonts w:ascii="Arial" w:eastAsia="Times New Roman" w:hAnsi="Arial" w:cs="Arial"/>
                <w:bCs/>
                <w:sz w:val="24"/>
                <w:szCs w:val="24"/>
              </w:rPr>
              <w:t>Member Induction &amp; Training</w:t>
            </w:r>
          </w:p>
        </w:tc>
        <w:tc>
          <w:tcPr>
            <w:tcW w:w="4508" w:type="dxa"/>
            <w:shd w:val="clear" w:color="auto" w:fill="auto"/>
          </w:tcPr>
          <w:p w14:paraId="4848D933" w14:textId="77777777" w:rsidR="0084027A" w:rsidRPr="00630B4D" w:rsidRDefault="0084027A" w:rsidP="00630B4D">
            <w:pPr>
              <w:keepNext/>
              <w:keepLines/>
              <w:pBdr>
                <w:top w:val="single" w:sz="4" w:space="1" w:color="auto"/>
                <w:left w:val="single" w:sz="4" w:space="4" w:color="auto"/>
                <w:bottom w:val="single" w:sz="4" w:space="1" w:color="auto"/>
                <w:right w:val="single" w:sz="4" w:space="4" w:color="auto"/>
              </w:pBdr>
              <w:spacing w:after="0"/>
              <w:outlineLvl w:val="1"/>
              <w:rPr>
                <w:rFonts w:ascii="Arial" w:eastAsia="Times New Roman" w:hAnsi="Arial" w:cs="Arial"/>
                <w:bCs/>
                <w:sz w:val="24"/>
                <w:szCs w:val="24"/>
              </w:rPr>
            </w:pPr>
            <w:r w:rsidRPr="00630B4D">
              <w:rPr>
                <w:rFonts w:ascii="Arial" w:eastAsia="Times New Roman" w:hAnsi="Arial" w:cs="Arial"/>
                <w:bCs/>
                <w:sz w:val="24"/>
                <w:szCs w:val="24"/>
              </w:rPr>
              <w:t>Officer Induction</w:t>
            </w:r>
          </w:p>
        </w:tc>
      </w:tr>
      <w:tr w:rsidR="007F38FD" w:rsidRPr="00630B4D" w14:paraId="4168F1D2" w14:textId="77777777" w:rsidTr="003509C1">
        <w:tc>
          <w:tcPr>
            <w:tcW w:w="4508" w:type="dxa"/>
            <w:shd w:val="clear" w:color="auto" w:fill="auto"/>
          </w:tcPr>
          <w:p w14:paraId="6EB8F706" w14:textId="77777777" w:rsidR="007F38FD" w:rsidRPr="00630B4D" w:rsidRDefault="007F38FD" w:rsidP="007F38FD">
            <w:pPr>
              <w:keepNext/>
              <w:keepLines/>
              <w:pBdr>
                <w:top w:val="single" w:sz="4" w:space="1" w:color="auto"/>
                <w:left w:val="single" w:sz="4" w:space="4" w:color="auto"/>
                <w:bottom w:val="single" w:sz="4" w:space="1" w:color="auto"/>
                <w:right w:val="single" w:sz="4" w:space="4" w:color="auto"/>
              </w:pBdr>
              <w:spacing w:after="0"/>
              <w:outlineLvl w:val="1"/>
              <w:rPr>
                <w:rFonts w:ascii="Arial" w:eastAsia="Times New Roman" w:hAnsi="Arial" w:cs="Arial"/>
                <w:bCs/>
                <w:sz w:val="24"/>
                <w:szCs w:val="24"/>
              </w:rPr>
            </w:pPr>
            <w:r w:rsidRPr="00630B4D">
              <w:rPr>
                <w:rFonts w:ascii="Arial" w:eastAsia="Times New Roman" w:hAnsi="Arial" w:cs="Arial"/>
                <w:bCs/>
                <w:sz w:val="24"/>
                <w:szCs w:val="24"/>
              </w:rPr>
              <w:t>Performance Appraisal</w:t>
            </w:r>
          </w:p>
        </w:tc>
        <w:tc>
          <w:tcPr>
            <w:tcW w:w="4508" w:type="dxa"/>
            <w:shd w:val="clear" w:color="auto" w:fill="auto"/>
          </w:tcPr>
          <w:p w14:paraId="48E9838F" w14:textId="77777777" w:rsidR="007F38FD" w:rsidRPr="00630B4D" w:rsidRDefault="007F38FD" w:rsidP="007F38FD">
            <w:pPr>
              <w:keepNext/>
              <w:keepLines/>
              <w:pBdr>
                <w:top w:val="single" w:sz="4" w:space="1" w:color="auto"/>
                <w:left w:val="single" w:sz="4" w:space="4" w:color="auto"/>
                <w:bottom w:val="single" w:sz="4" w:space="1" w:color="auto"/>
                <w:right w:val="single" w:sz="4" w:space="4" w:color="auto"/>
              </w:pBdr>
              <w:spacing w:after="0"/>
              <w:outlineLvl w:val="1"/>
              <w:rPr>
                <w:rFonts w:ascii="Arial" w:eastAsia="Times New Roman" w:hAnsi="Arial" w:cs="Arial"/>
                <w:bCs/>
                <w:sz w:val="24"/>
                <w:szCs w:val="24"/>
              </w:rPr>
            </w:pPr>
            <w:r w:rsidRPr="00630B4D">
              <w:rPr>
                <w:rFonts w:ascii="Arial" w:eastAsia="Times New Roman" w:hAnsi="Arial" w:cs="Arial"/>
                <w:bCs/>
                <w:sz w:val="24"/>
                <w:szCs w:val="24"/>
              </w:rPr>
              <w:t>Learning Zone</w:t>
            </w:r>
          </w:p>
        </w:tc>
      </w:tr>
      <w:tr w:rsidR="007F38FD" w:rsidRPr="00630B4D" w14:paraId="697CF91F" w14:textId="77777777" w:rsidTr="003509C1">
        <w:tc>
          <w:tcPr>
            <w:tcW w:w="4508" w:type="dxa"/>
            <w:shd w:val="clear" w:color="auto" w:fill="auto"/>
          </w:tcPr>
          <w:p w14:paraId="7211DC34" w14:textId="77777777" w:rsidR="007F38FD" w:rsidRPr="00630B4D" w:rsidRDefault="007F38FD" w:rsidP="007F38FD">
            <w:pPr>
              <w:keepNext/>
              <w:keepLines/>
              <w:pBdr>
                <w:top w:val="single" w:sz="4" w:space="1" w:color="auto"/>
                <w:left w:val="single" w:sz="4" w:space="4" w:color="auto"/>
                <w:bottom w:val="single" w:sz="4" w:space="1" w:color="auto"/>
                <w:right w:val="single" w:sz="4" w:space="4" w:color="auto"/>
              </w:pBdr>
              <w:spacing w:after="0"/>
              <w:outlineLvl w:val="1"/>
              <w:rPr>
                <w:rFonts w:ascii="Arial" w:eastAsia="Times New Roman" w:hAnsi="Arial" w:cs="Arial"/>
                <w:bCs/>
                <w:sz w:val="24"/>
                <w:szCs w:val="24"/>
              </w:rPr>
            </w:pPr>
            <w:r w:rsidRPr="00630B4D">
              <w:rPr>
                <w:rFonts w:ascii="Arial" w:eastAsia="Times New Roman" w:hAnsi="Arial" w:cs="Arial"/>
                <w:bCs/>
                <w:sz w:val="24"/>
                <w:szCs w:val="24"/>
              </w:rPr>
              <w:t>Peer Review</w:t>
            </w:r>
          </w:p>
        </w:tc>
        <w:tc>
          <w:tcPr>
            <w:tcW w:w="4508" w:type="dxa"/>
            <w:shd w:val="clear" w:color="auto" w:fill="auto"/>
          </w:tcPr>
          <w:p w14:paraId="3239ABB4" w14:textId="77777777" w:rsidR="007F38FD" w:rsidRPr="00630B4D" w:rsidRDefault="007F38FD" w:rsidP="007F38FD">
            <w:pPr>
              <w:keepNext/>
              <w:keepLines/>
              <w:pBdr>
                <w:top w:val="single" w:sz="4" w:space="1" w:color="auto"/>
                <w:left w:val="single" w:sz="4" w:space="4" w:color="auto"/>
                <w:bottom w:val="single" w:sz="4" w:space="1" w:color="auto"/>
                <w:right w:val="single" w:sz="4" w:space="4" w:color="auto"/>
              </w:pBdr>
              <w:spacing w:after="0"/>
              <w:outlineLvl w:val="1"/>
              <w:rPr>
                <w:rFonts w:ascii="Arial" w:eastAsia="Times New Roman" w:hAnsi="Arial" w:cs="Arial"/>
                <w:bCs/>
                <w:sz w:val="24"/>
                <w:szCs w:val="24"/>
                <w:u w:val="single"/>
              </w:rPr>
            </w:pPr>
          </w:p>
        </w:tc>
      </w:tr>
      <w:tr w:rsidR="007F38FD" w:rsidRPr="00630B4D" w14:paraId="6A175A23" w14:textId="77777777" w:rsidTr="003509C1">
        <w:tc>
          <w:tcPr>
            <w:tcW w:w="9016" w:type="dxa"/>
            <w:gridSpan w:val="2"/>
            <w:shd w:val="clear" w:color="auto" w:fill="auto"/>
          </w:tcPr>
          <w:p w14:paraId="7A6E0734" w14:textId="77777777" w:rsidR="007F38FD" w:rsidRPr="00630B4D" w:rsidRDefault="00F001BB" w:rsidP="003509C1">
            <w:pPr>
              <w:keepNext/>
              <w:keepLines/>
              <w:pBdr>
                <w:top w:val="single" w:sz="4" w:space="1" w:color="auto"/>
                <w:left w:val="single" w:sz="4" w:space="4" w:color="auto"/>
                <w:bottom w:val="single" w:sz="4" w:space="1" w:color="auto"/>
                <w:right w:val="single" w:sz="4" w:space="4" w:color="auto"/>
              </w:pBdr>
              <w:spacing w:after="0"/>
              <w:outlineLvl w:val="1"/>
              <w:rPr>
                <w:rFonts w:ascii="Arial" w:eastAsia="Times New Roman" w:hAnsi="Arial" w:cs="Arial"/>
                <w:bCs/>
                <w:color w:val="44546A"/>
                <w:sz w:val="24"/>
                <w:szCs w:val="24"/>
                <w:u w:val="single"/>
              </w:rPr>
            </w:pPr>
            <w:r w:rsidRPr="00630B4D">
              <w:rPr>
                <w:rFonts w:ascii="Arial" w:eastAsia="Times New Roman" w:hAnsi="Arial" w:cs="Arial"/>
                <w:bCs/>
                <w:color w:val="44546A"/>
                <w:sz w:val="24"/>
                <w:szCs w:val="24"/>
                <w:u w:val="single"/>
              </w:rPr>
              <w:t>F. Risks and Performance</w:t>
            </w:r>
          </w:p>
        </w:tc>
      </w:tr>
      <w:tr w:rsidR="007F38FD" w:rsidRPr="00630B4D" w14:paraId="5A0BFEE8" w14:textId="77777777" w:rsidTr="003509C1">
        <w:tc>
          <w:tcPr>
            <w:tcW w:w="4508" w:type="dxa"/>
            <w:shd w:val="clear" w:color="auto" w:fill="auto"/>
          </w:tcPr>
          <w:p w14:paraId="1CE9E17C" w14:textId="77777777" w:rsidR="007F38FD" w:rsidRPr="00630B4D" w:rsidRDefault="007F38FD" w:rsidP="007F38FD">
            <w:pPr>
              <w:keepNext/>
              <w:keepLines/>
              <w:pBdr>
                <w:top w:val="single" w:sz="4" w:space="1" w:color="auto"/>
                <w:left w:val="single" w:sz="4" w:space="4" w:color="auto"/>
                <w:bottom w:val="single" w:sz="4" w:space="1" w:color="auto"/>
                <w:right w:val="single" w:sz="4" w:space="4" w:color="auto"/>
              </w:pBdr>
              <w:spacing w:after="0"/>
              <w:outlineLvl w:val="1"/>
              <w:rPr>
                <w:rFonts w:ascii="Arial" w:eastAsia="Times New Roman" w:hAnsi="Arial" w:cs="Arial"/>
                <w:bCs/>
                <w:sz w:val="24"/>
                <w:szCs w:val="24"/>
              </w:rPr>
            </w:pPr>
            <w:r w:rsidRPr="00630B4D">
              <w:rPr>
                <w:rFonts w:ascii="Arial" w:eastAsia="Times New Roman" w:hAnsi="Arial" w:cs="Arial"/>
                <w:bCs/>
                <w:sz w:val="24"/>
                <w:szCs w:val="24"/>
              </w:rPr>
              <w:t>Risk Management Framework</w:t>
            </w:r>
          </w:p>
        </w:tc>
        <w:tc>
          <w:tcPr>
            <w:tcW w:w="4508" w:type="dxa"/>
            <w:shd w:val="clear" w:color="auto" w:fill="auto"/>
          </w:tcPr>
          <w:p w14:paraId="537C13AF" w14:textId="77777777" w:rsidR="007F38FD" w:rsidRPr="00630B4D" w:rsidRDefault="007F38FD" w:rsidP="007F38FD">
            <w:pPr>
              <w:keepNext/>
              <w:keepLines/>
              <w:pBdr>
                <w:top w:val="single" w:sz="4" w:space="1" w:color="auto"/>
                <w:left w:val="single" w:sz="4" w:space="4" w:color="auto"/>
                <w:bottom w:val="single" w:sz="4" w:space="1" w:color="auto"/>
                <w:right w:val="single" w:sz="4" w:space="4" w:color="auto"/>
              </w:pBdr>
              <w:spacing w:after="0"/>
              <w:outlineLvl w:val="1"/>
              <w:rPr>
                <w:rFonts w:ascii="Arial" w:eastAsia="Times New Roman" w:hAnsi="Arial" w:cs="Arial"/>
                <w:bCs/>
                <w:sz w:val="24"/>
                <w:szCs w:val="24"/>
              </w:rPr>
            </w:pPr>
            <w:r w:rsidRPr="00630B4D">
              <w:rPr>
                <w:rFonts w:ascii="Arial" w:eastAsia="Times New Roman" w:hAnsi="Arial" w:cs="Arial"/>
                <w:bCs/>
                <w:sz w:val="24"/>
                <w:szCs w:val="24"/>
              </w:rPr>
              <w:t>Medium Term Financial Plan</w:t>
            </w:r>
          </w:p>
        </w:tc>
      </w:tr>
      <w:tr w:rsidR="007F38FD" w:rsidRPr="00630B4D" w14:paraId="174CBBD7" w14:textId="77777777" w:rsidTr="003509C1">
        <w:tc>
          <w:tcPr>
            <w:tcW w:w="4508" w:type="dxa"/>
            <w:shd w:val="clear" w:color="auto" w:fill="auto"/>
          </w:tcPr>
          <w:p w14:paraId="193EFE6C" w14:textId="77777777" w:rsidR="007F38FD" w:rsidRPr="00630B4D" w:rsidRDefault="007F38FD" w:rsidP="007F38FD">
            <w:pPr>
              <w:keepNext/>
              <w:keepLines/>
              <w:pBdr>
                <w:top w:val="single" w:sz="4" w:space="1" w:color="auto"/>
                <w:left w:val="single" w:sz="4" w:space="4" w:color="auto"/>
                <w:bottom w:val="single" w:sz="4" w:space="1" w:color="auto"/>
                <w:right w:val="single" w:sz="4" w:space="4" w:color="auto"/>
              </w:pBdr>
              <w:spacing w:after="0"/>
              <w:outlineLvl w:val="1"/>
              <w:rPr>
                <w:rFonts w:ascii="Arial" w:eastAsia="Times New Roman" w:hAnsi="Arial" w:cs="Arial"/>
                <w:bCs/>
                <w:sz w:val="24"/>
                <w:szCs w:val="24"/>
              </w:rPr>
            </w:pPr>
            <w:r w:rsidRPr="00630B4D">
              <w:rPr>
                <w:rFonts w:ascii="Arial" w:eastAsia="Times New Roman" w:hAnsi="Arial" w:cs="Arial"/>
                <w:bCs/>
                <w:sz w:val="24"/>
                <w:szCs w:val="24"/>
              </w:rPr>
              <w:t>Financial Regulations</w:t>
            </w:r>
          </w:p>
        </w:tc>
        <w:tc>
          <w:tcPr>
            <w:tcW w:w="4508" w:type="dxa"/>
            <w:shd w:val="clear" w:color="auto" w:fill="auto"/>
          </w:tcPr>
          <w:p w14:paraId="20B33D8B" w14:textId="77777777" w:rsidR="007F38FD" w:rsidRPr="00630B4D" w:rsidRDefault="00B641A0" w:rsidP="007F38FD">
            <w:pPr>
              <w:keepNext/>
              <w:keepLines/>
              <w:pBdr>
                <w:top w:val="single" w:sz="4" w:space="1" w:color="auto"/>
                <w:left w:val="single" w:sz="4" w:space="4" w:color="auto"/>
                <w:bottom w:val="single" w:sz="4" w:space="1" w:color="auto"/>
                <w:right w:val="single" w:sz="4" w:space="4" w:color="auto"/>
              </w:pBdr>
              <w:spacing w:after="0"/>
              <w:outlineLvl w:val="1"/>
              <w:rPr>
                <w:rFonts w:ascii="Arial" w:eastAsia="Times New Roman" w:hAnsi="Arial" w:cs="Arial"/>
                <w:bCs/>
                <w:sz w:val="24"/>
                <w:szCs w:val="24"/>
              </w:rPr>
            </w:pPr>
            <w:r>
              <w:rPr>
                <w:rFonts w:ascii="Arial" w:eastAsia="Times New Roman" w:hAnsi="Arial" w:cs="Arial"/>
                <w:bCs/>
                <w:sz w:val="24"/>
                <w:szCs w:val="24"/>
              </w:rPr>
              <w:t>Counterfraud T</w:t>
            </w:r>
            <w:r w:rsidR="007F38FD" w:rsidRPr="00630B4D">
              <w:rPr>
                <w:rFonts w:ascii="Arial" w:eastAsia="Times New Roman" w:hAnsi="Arial" w:cs="Arial"/>
                <w:bCs/>
                <w:sz w:val="24"/>
                <w:szCs w:val="24"/>
              </w:rPr>
              <w:t>eam</w:t>
            </w:r>
          </w:p>
        </w:tc>
      </w:tr>
      <w:tr w:rsidR="007F38FD" w:rsidRPr="00630B4D" w14:paraId="1C5C4F87" w14:textId="77777777" w:rsidTr="003509C1">
        <w:tc>
          <w:tcPr>
            <w:tcW w:w="9016" w:type="dxa"/>
            <w:gridSpan w:val="2"/>
            <w:shd w:val="clear" w:color="auto" w:fill="auto"/>
          </w:tcPr>
          <w:p w14:paraId="75CEDF60" w14:textId="77777777" w:rsidR="007F38FD" w:rsidRPr="00630B4D" w:rsidRDefault="007F38FD" w:rsidP="007F38FD">
            <w:pPr>
              <w:keepNext/>
              <w:keepLines/>
              <w:pBdr>
                <w:top w:val="single" w:sz="4" w:space="1" w:color="auto"/>
                <w:left w:val="single" w:sz="4" w:space="4" w:color="auto"/>
                <w:bottom w:val="single" w:sz="4" w:space="1" w:color="auto"/>
                <w:right w:val="single" w:sz="4" w:space="4" w:color="auto"/>
              </w:pBdr>
              <w:spacing w:after="0"/>
              <w:outlineLvl w:val="1"/>
              <w:rPr>
                <w:rFonts w:ascii="Arial" w:eastAsia="Times New Roman" w:hAnsi="Arial" w:cs="Arial"/>
                <w:bCs/>
                <w:color w:val="44546A"/>
                <w:sz w:val="24"/>
                <w:szCs w:val="24"/>
                <w:u w:val="single"/>
              </w:rPr>
            </w:pPr>
            <w:r w:rsidRPr="00630B4D">
              <w:rPr>
                <w:rFonts w:ascii="Arial" w:eastAsia="Times New Roman" w:hAnsi="Arial" w:cs="Arial"/>
                <w:bCs/>
                <w:color w:val="44546A"/>
                <w:sz w:val="24"/>
                <w:szCs w:val="24"/>
                <w:u w:val="single"/>
              </w:rPr>
              <w:t>G. Effective Accountability</w:t>
            </w:r>
          </w:p>
        </w:tc>
      </w:tr>
      <w:tr w:rsidR="007F38FD" w:rsidRPr="00630B4D" w14:paraId="220960BE" w14:textId="77777777" w:rsidTr="003509C1">
        <w:tc>
          <w:tcPr>
            <w:tcW w:w="4508" w:type="dxa"/>
            <w:shd w:val="clear" w:color="auto" w:fill="auto"/>
          </w:tcPr>
          <w:p w14:paraId="1C63A604" w14:textId="77777777" w:rsidR="007F38FD" w:rsidRPr="00630B4D" w:rsidRDefault="007F38FD" w:rsidP="007F38FD">
            <w:pPr>
              <w:keepNext/>
              <w:keepLines/>
              <w:pBdr>
                <w:top w:val="single" w:sz="4" w:space="1" w:color="auto"/>
                <w:left w:val="single" w:sz="4" w:space="4" w:color="auto"/>
                <w:bottom w:val="single" w:sz="4" w:space="1" w:color="auto"/>
                <w:right w:val="single" w:sz="4" w:space="4" w:color="auto"/>
              </w:pBdr>
              <w:spacing w:after="0"/>
              <w:outlineLvl w:val="1"/>
              <w:rPr>
                <w:rFonts w:ascii="Arial" w:eastAsia="Times New Roman" w:hAnsi="Arial" w:cs="Arial"/>
                <w:bCs/>
                <w:sz w:val="24"/>
                <w:szCs w:val="24"/>
              </w:rPr>
            </w:pPr>
            <w:r w:rsidRPr="00630B4D">
              <w:rPr>
                <w:rFonts w:ascii="Arial" w:eastAsia="Times New Roman" w:hAnsi="Arial" w:cs="Arial"/>
                <w:bCs/>
                <w:sz w:val="24"/>
                <w:szCs w:val="24"/>
              </w:rPr>
              <w:t>Annual Financial Statements</w:t>
            </w:r>
          </w:p>
        </w:tc>
        <w:tc>
          <w:tcPr>
            <w:tcW w:w="4508" w:type="dxa"/>
            <w:shd w:val="clear" w:color="auto" w:fill="auto"/>
          </w:tcPr>
          <w:p w14:paraId="35E4B53B" w14:textId="77777777" w:rsidR="007F38FD" w:rsidRPr="00630B4D" w:rsidRDefault="007F38FD" w:rsidP="007F38FD">
            <w:pPr>
              <w:keepNext/>
              <w:keepLines/>
              <w:pBdr>
                <w:top w:val="single" w:sz="4" w:space="1" w:color="auto"/>
                <w:left w:val="single" w:sz="4" w:space="4" w:color="auto"/>
                <w:bottom w:val="single" w:sz="4" w:space="1" w:color="auto"/>
                <w:right w:val="single" w:sz="4" w:space="4" w:color="auto"/>
              </w:pBdr>
              <w:spacing w:after="0"/>
              <w:outlineLvl w:val="1"/>
              <w:rPr>
                <w:rFonts w:ascii="Arial" w:eastAsia="Times New Roman" w:hAnsi="Arial" w:cs="Arial"/>
                <w:bCs/>
                <w:sz w:val="24"/>
                <w:szCs w:val="24"/>
              </w:rPr>
            </w:pPr>
            <w:r w:rsidRPr="00630B4D">
              <w:rPr>
                <w:rFonts w:ascii="Arial" w:eastAsia="Times New Roman" w:hAnsi="Arial" w:cs="Arial"/>
                <w:bCs/>
                <w:sz w:val="24"/>
                <w:szCs w:val="24"/>
              </w:rPr>
              <w:t>Partnership Governance Framework</w:t>
            </w:r>
          </w:p>
        </w:tc>
      </w:tr>
      <w:tr w:rsidR="007F38FD" w:rsidRPr="00630B4D" w14:paraId="5593D785" w14:textId="77777777" w:rsidTr="003509C1">
        <w:tc>
          <w:tcPr>
            <w:tcW w:w="4508" w:type="dxa"/>
            <w:shd w:val="clear" w:color="auto" w:fill="auto"/>
          </w:tcPr>
          <w:p w14:paraId="5CD1175D" w14:textId="77777777" w:rsidR="007F38FD" w:rsidRPr="00630B4D" w:rsidRDefault="007F38FD" w:rsidP="007F38FD">
            <w:pPr>
              <w:keepNext/>
              <w:keepLines/>
              <w:pBdr>
                <w:top w:val="single" w:sz="4" w:space="1" w:color="auto"/>
                <w:left w:val="single" w:sz="4" w:space="4" w:color="auto"/>
                <w:bottom w:val="single" w:sz="4" w:space="1" w:color="auto"/>
                <w:right w:val="single" w:sz="4" w:space="4" w:color="auto"/>
              </w:pBdr>
              <w:spacing w:after="0"/>
              <w:outlineLvl w:val="1"/>
              <w:rPr>
                <w:rFonts w:ascii="Arial" w:eastAsia="Times New Roman" w:hAnsi="Arial" w:cs="Arial"/>
                <w:bCs/>
                <w:sz w:val="24"/>
                <w:szCs w:val="24"/>
              </w:rPr>
            </w:pPr>
            <w:r w:rsidRPr="00630B4D">
              <w:rPr>
                <w:rFonts w:ascii="Arial" w:eastAsia="Times New Roman" w:hAnsi="Arial" w:cs="Arial"/>
                <w:bCs/>
                <w:sz w:val="24"/>
                <w:szCs w:val="24"/>
              </w:rPr>
              <w:t>Nottingham Plan Annual Report</w:t>
            </w:r>
          </w:p>
        </w:tc>
        <w:tc>
          <w:tcPr>
            <w:tcW w:w="4508" w:type="dxa"/>
            <w:shd w:val="clear" w:color="auto" w:fill="auto"/>
          </w:tcPr>
          <w:p w14:paraId="5C7A296B" w14:textId="77777777" w:rsidR="007F38FD" w:rsidRPr="00630B4D" w:rsidRDefault="007F38FD" w:rsidP="007F38FD">
            <w:pPr>
              <w:keepNext/>
              <w:keepLines/>
              <w:pBdr>
                <w:top w:val="single" w:sz="4" w:space="1" w:color="auto"/>
                <w:left w:val="single" w:sz="4" w:space="4" w:color="auto"/>
                <w:bottom w:val="single" w:sz="4" w:space="1" w:color="auto"/>
                <w:right w:val="single" w:sz="4" w:space="4" w:color="auto"/>
              </w:pBdr>
              <w:spacing w:after="0"/>
              <w:outlineLvl w:val="1"/>
              <w:rPr>
                <w:rFonts w:ascii="Arial" w:eastAsia="Times New Roman" w:hAnsi="Arial" w:cs="Arial"/>
                <w:bCs/>
                <w:sz w:val="24"/>
                <w:szCs w:val="24"/>
              </w:rPr>
            </w:pPr>
            <w:r w:rsidRPr="00630B4D">
              <w:rPr>
                <w:rFonts w:ascii="Arial" w:eastAsia="Times New Roman" w:hAnsi="Arial" w:cs="Arial"/>
                <w:bCs/>
                <w:sz w:val="24"/>
                <w:szCs w:val="24"/>
              </w:rPr>
              <w:t>External Audit and Inspection</w:t>
            </w:r>
          </w:p>
        </w:tc>
      </w:tr>
    </w:tbl>
    <w:p w14:paraId="23BFE781" w14:textId="77777777" w:rsidR="00630B4D" w:rsidRPr="00630B4D" w:rsidRDefault="00630B4D" w:rsidP="00630B4D">
      <w:pPr>
        <w:spacing w:after="0" w:line="240" w:lineRule="auto"/>
        <w:rPr>
          <w:rFonts w:ascii="Times New Roman" w:eastAsia="Times New Roman" w:hAnsi="Times New Roman" w:cs="Times New Roman"/>
          <w:sz w:val="24"/>
          <w:szCs w:val="24"/>
          <w:lang w:eastAsia="en-GB"/>
        </w:rPr>
      </w:pPr>
    </w:p>
    <w:p w14:paraId="1420FFB5" w14:textId="77777777" w:rsidR="00630B4D" w:rsidRPr="00630B4D" w:rsidRDefault="00630B4D" w:rsidP="00630B4D">
      <w:pPr>
        <w:keepNext/>
        <w:keepLines/>
        <w:spacing w:before="200" w:after="0"/>
        <w:outlineLvl w:val="1"/>
        <w:rPr>
          <w:rFonts w:ascii="Cambria" w:eastAsia="Times New Roman" w:hAnsi="Cambria" w:cs="Times New Roman"/>
          <w:b/>
          <w:bCs/>
          <w:color w:val="4F81BD"/>
          <w:sz w:val="26"/>
          <w:szCs w:val="26"/>
        </w:rPr>
      </w:pPr>
      <w:r w:rsidRPr="00630B4D">
        <w:rPr>
          <w:rFonts w:ascii="Cambria" w:eastAsia="Times New Roman" w:hAnsi="Cambria" w:cs="Times New Roman"/>
          <w:b/>
          <w:bCs/>
          <w:color w:val="4F81BD"/>
          <w:sz w:val="26"/>
          <w:szCs w:val="26"/>
        </w:rPr>
        <w:lastRenderedPageBreak/>
        <w:t>A. Behaving with integrity, demonstrating strong commitment to ethical values, and respecting the rule of law</w:t>
      </w:r>
    </w:p>
    <w:p w14:paraId="50FE6CF0" w14:textId="77777777" w:rsidR="00630B4D" w:rsidRPr="00630B4D" w:rsidRDefault="00630B4D" w:rsidP="0038335F">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630B4D">
        <w:rPr>
          <w:rFonts w:ascii="Arial" w:eastAsia="Times New Roman" w:hAnsi="Arial" w:cs="Arial"/>
          <w:sz w:val="24"/>
          <w:szCs w:val="24"/>
          <w:lang w:eastAsia="en-GB"/>
        </w:rPr>
        <w:t>The Council’s Code of Conduct and Standards Committee arrangements were reviewed to reflect national requirements in the light of national provisions. In advance of the local elections in May 2015</w:t>
      </w:r>
      <w:r w:rsidR="00B641A0">
        <w:rPr>
          <w:rFonts w:ascii="Arial" w:eastAsia="Times New Roman" w:hAnsi="Arial" w:cs="Arial"/>
          <w:sz w:val="24"/>
          <w:szCs w:val="24"/>
          <w:lang w:eastAsia="en-GB"/>
        </w:rPr>
        <w:t>,</w:t>
      </w:r>
      <w:r w:rsidRPr="00630B4D">
        <w:rPr>
          <w:rFonts w:ascii="Arial" w:eastAsia="Times New Roman" w:hAnsi="Arial" w:cs="Arial"/>
          <w:sz w:val="24"/>
          <w:szCs w:val="24"/>
          <w:lang w:eastAsia="en-GB"/>
        </w:rPr>
        <w:t xml:space="preserve"> the Council agreed that its code of conduct should be amended to require all councillors to have a DBS check within one month of election and to maintain that check during their terms of office as a councillor</w:t>
      </w:r>
      <w:r w:rsidR="00B641A0">
        <w:rPr>
          <w:rFonts w:ascii="Arial" w:eastAsia="Times New Roman" w:hAnsi="Arial" w:cs="Arial"/>
          <w:sz w:val="24"/>
          <w:szCs w:val="24"/>
          <w:lang w:eastAsia="en-GB"/>
        </w:rPr>
        <w:t>,</w:t>
      </w:r>
      <w:r w:rsidRPr="00630B4D">
        <w:rPr>
          <w:rFonts w:ascii="Arial" w:eastAsia="Times New Roman" w:hAnsi="Arial" w:cs="Arial"/>
          <w:sz w:val="24"/>
          <w:szCs w:val="24"/>
          <w:lang w:eastAsia="en-GB"/>
        </w:rPr>
        <w:t xml:space="preserve"> or otherwise be in breach of the code and disbarred from all offices and appointments. In addition, attendance at safeguarding training has been made mandatory. These additional provisions in the Code are designed to strengthen the Code and public confidence in councillors. </w:t>
      </w:r>
    </w:p>
    <w:p w14:paraId="4BA61724" w14:textId="77777777" w:rsidR="00630B4D" w:rsidRPr="00E03A79" w:rsidRDefault="00630B4D" w:rsidP="007C67B8">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E03A79">
        <w:rPr>
          <w:rFonts w:ascii="Arial" w:eastAsia="Times New Roman" w:hAnsi="Arial" w:cs="Arial"/>
          <w:sz w:val="24"/>
          <w:szCs w:val="24"/>
          <w:lang w:eastAsia="en-GB"/>
        </w:rPr>
        <w:t xml:space="preserve">Councillors </w:t>
      </w:r>
      <w:r w:rsidR="001C2EB7" w:rsidRPr="00E03A79">
        <w:rPr>
          <w:rFonts w:ascii="Arial" w:eastAsia="Times New Roman" w:hAnsi="Arial" w:cs="Arial"/>
          <w:sz w:val="24"/>
          <w:szCs w:val="24"/>
          <w:lang w:eastAsia="en-GB"/>
        </w:rPr>
        <w:t>a</w:t>
      </w:r>
      <w:r w:rsidRPr="00E03A79">
        <w:rPr>
          <w:rFonts w:ascii="Arial" w:eastAsia="Times New Roman" w:hAnsi="Arial" w:cs="Arial"/>
          <w:sz w:val="24"/>
          <w:szCs w:val="24"/>
          <w:lang w:eastAsia="en-GB"/>
        </w:rPr>
        <w:t xml:space="preserve">re briefed in detail at induction by the Council’s Monitoring Officer about the Code of Conduct and what its provisions mean in practice. The Code of Conduct forms part of the Council’s Constitution and in addition there is a </w:t>
      </w:r>
      <w:r w:rsidR="00B641A0" w:rsidRPr="00E03A79">
        <w:rPr>
          <w:rFonts w:ascii="Arial" w:eastAsia="Times New Roman" w:hAnsi="Arial" w:cs="Arial"/>
          <w:sz w:val="24"/>
          <w:szCs w:val="24"/>
          <w:lang w:eastAsia="en-GB"/>
        </w:rPr>
        <w:t>Councillor/Officer Protocol</w:t>
      </w:r>
      <w:r w:rsidR="00283B6B" w:rsidRPr="00E03A79">
        <w:rPr>
          <w:rFonts w:ascii="Arial" w:eastAsia="Times New Roman" w:hAnsi="Arial" w:cs="Arial"/>
          <w:sz w:val="24"/>
          <w:szCs w:val="24"/>
          <w:lang w:eastAsia="en-GB"/>
        </w:rPr>
        <w:t>,</w:t>
      </w:r>
      <w:r w:rsidRPr="00E03A79">
        <w:rPr>
          <w:rFonts w:ascii="Arial" w:eastAsia="Times New Roman" w:hAnsi="Arial" w:cs="Arial"/>
          <w:sz w:val="24"/>
          <w:szCs w:val="24"/>
          <w:lang w:eastAsia="en-GB"/>
        </w:rPr>
        <w:t xml:space="preserve"> which is included in the Constitution</w:t>
      </w:r>
      <w:r w:rsidR="00283B6B" w:rsidRPr="00E03A79">
        <w:rPr>
          <w:rFonts w:ascii="Arial" w:eastAsia="Times New Roman" w:hAnsi="Arial" w:cs="Arial"/>
          <w:sz w:val="24"/>
          <w:szCs w:val="24"/>
          <w:lang w:eastAsia="en-GB"/>
        </w:rPr>
        <w:t>,</w:t>
      </w:r>
      <w:r w:rsidRPr="00E03A79">
        <w:rPr>
          <w:rFonts w:ascii="Arial" w:eastAsia="Times New Roman" w:hAnsi="Arial" w:cs="Arial"/>
          <w:sz w:val="24"/>
          <w:szCs w:val="24"/>
          <w:lang w:eastAsia="en-GB"/>
        </w:rPr>
        <w:t xml:space="preserve"> to which all colleagues and councillors are alerted and have access</w:t>
      </w:r>
      <w:r w:rsidR="00283B6B" w:rsidRPr="00E03A79">
        <w:rPr>
          <w:rFonts w:ascii="Arial" w:eastAsia="Times New Roman" w:hAnsi="Arial" w:cs="Arial"/>
          <w:sz w:val="24"/>
          <w:szCs w:val="24"/>
          <w:lang w:eastAsia="en-GB"/>
        </w:rPr>
        <w:t>.</w:t>
      </w:r>
      <w:r w:rsidRPr="00E03A79">
        <w:rPr>
          <w:rFonts w:ascii="Arial" w:eastAsia="Times New Roman" w:hAnsi="Arial" w:cs="Arial"/>
          <w:sz w:val="24"/>
          <w:szCs w:val="24"/>
          <w:lang w:eastAsia="en-GB"/>
        </w:rPr>
        <w:t xml:space="preserve"> </w:t>
      </w:r>
      <w:r w:rsidR="00283B6B" w:rsidRPr="00E03A79">
        <w:rPr>
          <w:rFonts w:ascii="Arial" w:eastAsia="Times New Roman" w:hAnsi="Arial" w:cs="Arial"/>
          <w:sz w:val="24"/>
          <w:szCs w:val="24"/>
          <w:lang w:eastAsia="en-GB"/>
        </w:rPr>
        <w:t xml:space="preserve">This Protocol </w:t>
      </w:r>
      <w:r w:rsidRPr="00E03A79">
        <w:rPr>
          <w:rFonts w:ascii="Arial" w:eastAsia="Times New Roman" w:hAnsi="Arial" w:cs="Arial"/>
          <w:sz w:val="24"/>
          <w:szCs w:val="24"/>
          <w:lang w:eastAsia="en-GB"/>
        </w:rPr>
        <w:t>defines how councillors and officers should work together appropriately and the standards of personal behaviour and conduct expected.  There is no formal code of conduct performance management system for councillors – but</w:t>
      </w:r>
      <w:r w:rsidR="002076F5" w:rsidRPr="00E03A79">
        <w:rPr>
          <w:rFonts w:ascii="Arial" w:eastAsia="Times New Roman" w:hAnsi="Arial" w:cs="Arial"/>
          <w:sz w:val="24"/>
          <w:szCs w:val="24"/>
          <w:lang w:eastAsia="en-GB"/>
        </w:rPr>
        <w:t>, where appropriate,</w:t>
      </w:r>
      <w:r w:rsidRPr="00E03A79">
        <w:rPr>
          <w:rFonts w:ascii="Arial" w:eastAsia="Times New Roman" w:hAnsi="Arial" w:cs="Arial"/>
          <w:sz w:val="24"/>
          <w:szCs w:val="24"/>
          <w:lang w:eastAsia="en-GB"/>
        </w:rPr>
        <w:t xml:space="preserve"> early, and initially</w:t>
      </w:r>
      <w:r w:rsidR="002076F5" w:rsidRPr="00E03A79">
        <w:rPr>
          <w:rFonts w:ascii="Arial" w:eastAsia="Times New Roman" w:hAnsi="Arial" w:cs="Arial"/>
          <w:sz w:val="24"/>
          <w:szCs w:val="24"/>
          <w:lang w:eastAsia="en-GB"/>
        </w:rPr>
        <w:t xml:space="preserve"> </w:t>
      </w:r>
      <w:r w:rsidRPr="00E03A79">
        <w:rPr>
          <w:rFonts w:ascii="Arial" w:eastAsia="Times New Roman" w:hAnsi="Arial" w:cs="Arial"/>
          <w:sz w:val="24"/>
          <w:szCs w:val="24"/>
          <w:lang w:eastAsia="en-GB"/>
        </w:rPr>
        <w:t>informal referral and discussion of any issues/ complaints either from colleagues or from citizens by the Monitoring Officer, to the relevant group whip or the individual councillor concerned</w:t>
      </w:r>
      <w:r w:rsidR="002076F5" w:rsidRPr="00E03A79">
        <w:rPr>
          <w:rFonts w:ascii="Arial" w:eastAsia="Times New Roman" w:hAnsi="Arial" w:cs="Arial"/>
          <w:sz w:val="24"/>
          <w:szCs w:val="24"/>
          <w:lang w:eastAsia="en-GB"/>
        </w:rPr>
        <w:t>,</w:t>
      </w:r>
      <w:r w:rsidRPr="00E03A79">
        <w:rPr>
          <w:rFonts w:ascii="Arial" w:eastAsia="Times New Roman" w:hAnsi="Arial" w:cs="Arial"/>
          <w:sz w:val="24"/>
          <w:szCs w:val="24"/>
          <w:lang w:eastAsia="en-GB"/>
        </w:rPr>
        <w:t xml:space="preserve"> is effective and adequate in most instances. More serious matters would be investigated formally if required and referred to the Monitoring Officer in the first instance and then to the Standards Committee if appropriate.</w:t>
      </w:r>
      <w:r w:rsidR="00BA4A7F" w:rsidRPr="00E03A79">
        <w:rPr>
          <w:rFonts w:ascii="Arial" w:eastAsia="Times New Roman" w:hAnsi="Arial" w:cs="Arial"/>
          <w:sz w:val="24"/>
          <w:szCs w:val="24"/>
          <w:lang w:eastAsia="en-GB"/>
        </w:rPr>
        <w:t xml:space="preserve"> </w:t>
      </w:r>
      <w:r w:rsidR="003271FA" w:rsidRPr="00E03A79">
        <w:rPr>
          <w:rFonts w:ascii="Arial" w:eastAsia="Times New Roman" w:hAnsi="Arial" w:cs="Arial"/>
          <w:sz w:val="24"/>
          <w:szCs w:val="24"/>
          <w:lang w:eastAsia="en-GB"/>
        </w:rPr>
        <w:t>In July 2020</w:t>
      </w:r>
      <w:r w:rsidR="00BA4A7F" w:rsidRPr="007C67B8">
        <w:rPr>
          <w:rFonts w:ascii="Arial" w:eastAsia="Times New Roman" w:hAnsi="Arial" w:cs="Arial"/>
          <w:sz w:val="24"/>
          <w:szCs w:val="24"/>
          <w:lang w:eastAsia="en-GB"/>
        </w:rPr>
        <w:t xml:space="preserve"> </w:t>
      </w:r>
      <w:r w:rsidR="003271FA" w:rsidRPr="007C67B8">
        <w:rPr>
          <w:rFonts w:ascii="Arial" w:eastAsia="Times New Roman" w:hAnsi="Arial" w:cs="Arial"/>
          <w:sz w:val="24"/>
          <w:szCs w:val="24"/>
          <w:lang w:eastAsia="en-GB"/>
        </w:rPr>
        <w:t>the Committee on Standards in Public Life</w:t>
      </w:r>
      <w:r w:rsidR="00BA4A7F" w:rsidRPr="007C67B8">
        <w:rPr>
          <w:rFonts w:ascii="Arial" w:eastAsia="Times New Roman" w:hAnsi="Arial" w:cs="Arial"/>
          <w:sz w:val="24"/>
          <w:szCs w:val="24"/>
          <w:lang w:eastAsia="en-GB"/>
        </w:rPr>
        <w:t xml:space="preserve"> </w:t>
      </w:r>
      <w:r w:rsidR="00E03A79" w:rsidRPr="007C67B8">
        <w:rPr>
          <w:rFonts w:ascii="Arial" w:eastAsia="Times New Roman" w:hAnsi="Arial" w:cs="Arial"/>
          <w:sz w:val="24"/>
          <w:szCs w:val="24"/>
          <w:lang w:eastAsia="en-GB"/>
        </w:rPr>
        <w:t>announced an autumn review of progress against recommendations it made to all Councils in January 2019 (</w:t>
      </w:r>
      <w:r w:rsidR="00E03A79" w:rsidRPr="00E03A79">
        <w:rPr>
          <w:rFonts w:ascii="Arial" w:eastAsia="Times New Roman" w:hAnsi="Arial" w:cs="Arial"/>
          <w:sz w:val="24"/>
          <w:szCs w:val="24"/>
          <w:lang w:eastAsia="en-GB"/>
        </w:rPr>
        <w:t>Local Government Ethical Standards</w:t>
      </w:r>
      <w:r w:rsidR="00E03A79">
        <w:rPr>
          <w:rFonts w:ascii="Arial" w:eastAsia="Times New Roman" w:hAnsi="Arial" w:cs="Arial"/>
          <w:sz w:val="24"/>
          <w:szCs w:val="24"/>
          <w:lang w:eastAsia="en-GB"/>
        </w:rPr>
        <w:t xml:space="preserve">: </w:t>
      </w:r>
      <w:r w:rsidR="00E03A79" w:rsidRPr="00E03A79">
        <w:rPr>
          <w:rFonts w:ascii="Arial" w:eastAsia="Times New Roman" w:hAnsi="Arial" w:cs="Arial"/>
          <w:sz w:val="24"/>
          <w:szCs w:val="24"/>
          <w:lang w:eastAsia="en-GB"/>
        </w:rPr>
        <w:t>A Review by the Committee on Standards in Public Life</w:t>
      </w:r>
      <w:r w:rsidR="00E03A79" w:rsidRPr="007C67B8">
        <w:rPr>
          <w:rFonts w:ascii="Arial" w:eastAsia="Times New Roman" w:hAnsi="Arial" w:cs="Arial"/>
          <w:sz w:val="24"/>
          <w:szCs w:val="24"/>
          <w:lang w:eastAsia="en-GB"/>
        </w:rPr>
        <w:t>)</w:t>
      </w:r>
      <w:r w:rsidR="00BA4A7F" w:rsidRPr="007C67B8">
        <w:rPr>
          <w:rFonts w:ascii="Arial" w:eastAsia="Times New Roman" w:hAnsi="Arial" w:cs="Arial"/>
          <w:sz w:val="24"/>
          <w:szCs w:val="24"/>
          <w:lang w:eastAsia="en-GB"/>
        </w:rPr>
        <w:t xml:space="preserve">. As part of implementing good practice contained in </w:t>
      </w:r>
      <w:r w:rsidR="00E03A79" w:rsidRPr="007C67B8">
        <w:rPr>
          <w:rFonts w:ascii="Arial" w:eastAsia="Times New Roman" w:hAnsi="Arial" w:cs="Arial"/>
          <w:sz w:val="24"/>
          <w:szCs w:val="24"/>
          <w:lang w:eastAsia="en-GB"/>
        </w:rPr>
        <w:t>this January 2019 report</w:t>
      </w:r>
      <w:r w:rsidR="00BA4A7F" w:rsidRPr="007C67B8">
        <w:rPr>
          <w:rFonts w:ascii="Arial" w:eastAsia="Times New Roman" w:hAnsi="Arial" w:cs="Arial"/>
          <w:sz w:val="24"/>
          <w:szCs w:val="24"/>
          <w:lang w:eastAsia="en-GB"/>
        </w:rPr>
        <w:t xml:space="preserve"> a governance review is to be undertaken which amongst other matters will clarify the roles of officers and members.</w:t>
      </w:r>
    </w:p>
    <w:p w14:paraId="3DD2A5C2" w14:textId="77777777" w:rsidR="00F247A4" w:rsidRPr="009C64F9" w:rsidRDefault="00F247A4" w:rsidP="009C64F9">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9C64F9">
        <w:rPr>
          <w:rFonts w:ascii="Arial" w:eastAsia="Times New Roman" w:hAnsi="Arial" w:cs="Arial"/>
          <w:sz w:val="24"/>
          <w:szCs w:val="24"/>
          <w:lang w:eastAsia="en-GB"/>
        </w:rPr>
        <w:t xml:space="preserve">Nottingham City Council aims to ensure that personal information is treated lawfully and correctly. The lawful and correct treatment of personal information is extremely important in maintaining the confidence of those with whom the Council deals and in achieving its objectives. </w:t>
      </w:r>
      <w:r w:rsidR="00F46F49">
        <w:rPr>
          <w:rFonts w:ascii="Arial" w:eastAsia="Times New Roman" w:hAnsi="Arial" w:cs="Arial"/>
          <w:sz w:val="24"/>
          <w:szCs w:val="24"/>
          <w:lang w:eastAsia="en-GB"/>
        </w:rPr>
        <w:t>The Council has systems in place to monitor and maintain compliance with</w:t>
      </w:r>
      <w:r w:rsidRPr="009C64F9">
        <w:rPr>
          <w:rFonts w:ascii="Arial" w:eastAsia="Times New Roman" w:hAnsi="Arial" w:cs="Arial"/>
          <w:sz w:val="24"/>
          <w:szCs w:val="24"/>
          <w:lang w:eastAsia="en-GB"/>
        </w:rPr>
        <w:t xml:space="preserve"> the General Data Protection Regulation and Data Protection Act 2018.</w:t>
      </w:r>
      <w:r w:rsidR="001C2EB7" w:rsidRPr="009C64F9">
        <w:rPr>
          <w:rFonts w:ascii="Arial" w:eastAsia="Times New Roman" w:hAnsi="Arial" w:cs="Arial"/>
          <w:sz w:val="24"/>
          <w:szCs w:val="24"/>
          <w:lang w:eastAsia="en-GB"/>
        </w:rPr>
        <w:t xml:space="preserve"> </w:t>
      </w:r>
      <w:r w:rsidR="009C64F9" w:rsidRPr="00FC31C5">
        <w:rPr>
          <w:rFonts w:ascii="Arial" w:eastAsia="Times New Roman" w:hAnsi="Arial" w:cs="Arial"/>
          <w:sz w:val="24"/>
          <w:szCs w:val="24"/>
          <w:lang w:eastAsia="en-GB"/>
        </w:rPr>
        <w:t>This include</w:t>
      </w:r>
      <w:r w:rsidR="00F46F49">
        <w:rPr>
          <w:rFonts w:ascii="Arial" w:eastAsia="Times New Roman" w:hAnsi="Arial" w:cs="Arial"/>
          <w:sz w:val="24"/>
          <w:szCs w:val="24"/>
          <w:lang w:eastAsia="en-GB"/>
        </w:rPr>
        <w:t>s</w:t>
      </w:r>
      <w:r w:rsidR="001C2EB7" w:rsidRPr="00FC31C5">
        <w:rPr>
          <w:rFonts w:ascii="Arial" w:eastAsia="Times New Roman" w:hAnsi="Arial" w:cs="Arial"/>
          <w:sz w:val="24"/>
          <w:szCs w:val="24"/>
          <w:lang w:eastAsia="en-GB"/>
        </w:rPr>
        <w:t xml:space="preserve"> </w:t>
      </w:r>
      <w:r w:rsidR="00F46F49">
        <w:rPr>
          <w:rFonts w:ascii="Arial" w:eastAsia="Times New Roman" w:hAnsi="Arial" w:cs="Arial"/>
          <w:sz w:val="24"/>
          <w:szCs w:val="24"/>
          <w:lang w:eastAsia="en-GB"/>
        </w:rPr>
        <w:t xml:space="preserve">an </w:t>
      </w:r>
      <w:r w:rsidR="001C2EB7" w:rsidRPr="00FC31C5">
        <w:rPr>
          <w:rFonts w:ascii="Arial" w:eastAsia="Times New Roman" w:hAnsi="Arial" w:cs="Arial"/>
          <w:sz w:val="24"/>
          <w:szCs w:val="24"/>
          <w:lang w:eastAsia="en-GB"/>
        </w:rPr>
        <w:t>appoint</w:t>
      </w:r>
      <w:r w:rsidR="00F46F49">
        <w:rPr>
          <w:rFonts w:ascii="Arial" w:eastAsia="Times New Roman" w:hAnsi="Arial" w:cs="Arial"/>
          <w:sz w:val="24"/>
          <w:szCs w:val="24"/>
          <w:lang w:eastAsia="en-GB"/>
        </w:rPr>
        <w:t xml:space="preserve">ed </w:t>
      </w:r>
      <w:r w:rsidR="001C2EB7" w:rsidRPr="00FC31C5">
        <w:rPr>
          <w:rFonts w:ascii="Arial" w:eastAsia="Times New Roman" w:hAnsi="Arial" w:cs="Arial"/>
          <w:sz w:val="24"/>
          <w:szCs w:val="24"/>
          <w:lang w:eastAsia="en-GB"/>
        </w:rPr>
        <w:t>Data Protection Officer</w:t>
      </w:r>
      <w:r w:rsidR="00F46F49">
        <w:rPr>
          <w:rFonts w:ascii="Arial" w:eastAsia="Times New Roman" w:hAnsi="Arial" w:cs="Arial"/>
          <w:sz w:val="24"/>
          <w:szCs w:val="24"/>
          <w:lang w:eastAsia="en-GB"/>
        </w:rPr>
        <w:t xml:space="preserve"> and updated</w:t>
      </w:r>
      <w:r w:rsidR="009C64F9" w:rsidRPr="00FC31C5">
        <w:rPr>
          <w:rFonts w:ascii="Arial" w:eastAsia="Times New Roman" w:hAnsi="Arial" w:cs="Arial"/>
          <w:sz w:val="24"/>
          <w:szCs w:val="24"/>
          <w:lang w:eastAsia="en-GB"/>
        </w:rPr>
        <w:t xml:space="preserve"> privacy notice, policies and guidance per</w:t>
      </w:r>
      <w:r w:rsidR="002076F5">
        <w:rPr>
          <w:rFonts w:ascii="Arial" w:eastAsia="Times New Roman" w:hAnsi="Arial" w:cs="Arial"/>
          <w:sz w:val="24"/>
          <w:szCs w:val="24"/>
          <w:lang w:eastAsia="en-GB"/>
        </w:rPr>
        <w:t>taining to data protection for t</w:t>
      </w:r>
      <w:r w:rsidR="009C64F9" w:rsidRPr="00FC31C5">
        <w:rPr>
          <w:rFonts w:ascii="Arial" w:eastAsia="Times New Roman" w:hAnsi="Arial" w:cs="Arial"/>
          <w:sz w:val="24"/>
          <w:szCs w:val="24"/>
          <w:lang w:eastAsia="en-GB"/>
        </w:rPr>
        <w:t>he City Council.</w:t>
      </w:r>
    </w:p>
    <w:p w14:paraId="552DC99C" w14:textId="77777777" w:rsidR="00630B4D" w:rsidRPr="000D6BB7" w:rsidRDefault="00630B4D" w:rsidP="0038335F">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630B4D">
        <w:rPr>
          <w:rFonts w:ascii="Arial" w:eastAsia="Times New Roman" w:hAnsi="Arial" w:cs="Arial"/>
          <w:sz w:val="24"/>
          <w:szCs w:val="24"/>
          <w:lang w:eastAsia="en-GB"/>
        </w:rPr>
        <w:t>As Head of Paid Service, the Chief Executive is ultimately responsible and accountable to the Council for all aspects of operational management.</w:t>
      </w:r>
      <w:r w:rsidR="008C1553">
        <w:rPr>
          <w:rFonts w:ascii="Arial" w:eastAsia="Times New Roman" w:hAnsi="Arial" w:cs="Arial"/>
          <w:sz w:val="24"/>
          <w:szCs w:val="24"/>
          <w:lang w:eastAsia="en-GB"/>
        </w:rPr>
        <w:t xml:space="preserve"> </w:t>
      </w:r>
      <w:r w:rsidR="008C1553" w:rsidRPr="000D6BB7">
        <w:rPr>
          <w:rFonts w:ascii="Arial" w:eastAsia="Times New Roman" w:hAnsi="Arial" w:cs="Arial"/>
          <w:sz w:val="24"/>
          <w:szCs w:val="24"/>
          <w:lang w:eastAsia="en-GB"/>
        </w:rPr>
        <w:t xml:space="preserve">The Council’s Chief Executive left </w:t>
      </w:r>
      <w:r w:rsidR="006869EB" w:rsidRPr="000D6BB7">
        <w:rPr>
          <w:rFonts w:ascii="Arial" w:eastAsia="Times New Roman" w:hAnsi="Arial" w:cs="Arial"/>
          <w:sz w:val="24"/>
          <w:szCs w:val="24"/>
          <w:lang w:eastAsia="en-GB"/>
        </w:rPr>
        <w:t>at the end of</w:t>
      </w:r>
      <w:r w:rsidR="008C1553" w:rsidRPr="000D6BB7">
        <w:rPr>
          <w:rFonts w:ascii="Arial" w:eastAsia="Times New Roman" w:hAnsi="Arial" w:cs="Arial"/>
          <w:sz w:val="24"/>
          <w:szCs w:val="24"/>
          <w:lang w:eastAsia="en-GB"/>
        </w:rPr>
        <w:t xml:space="preserve"> </w:t>
      </w:r>
      <w:r w:rsidR="006869EB" w:rsidRPr="000D6BB7">
        <w:rPr>
          <w:rFonts w:ascii="Arial" w:eastAsia="Times New Roman" w:hAnsi="Arial" w:cs="Arial"/>
          <w:sz w:val="24"/>
          <w:szCs w:val="24"/>
          <w:lang w:eastAsia="en-GB"/>
        </w:rPr>
        <w:t>April</w:t>
      </w:r>
      <w:r w:rsidR="008C1553" w:rsidRPr="000D6BB7">
        <w:rPr>
          <w:rFonts w:ascii="Arial" w:eastAsia="Times New Roman" w:hAnsi="Arial" w:cs="Arial"/>
          <w:sz w:val="24"/>
          <w:szCs w:val="24"/>
          <w:lang w:eastAsia="en-GB"/>
        </w:rPr>
        <w:t xml:space="preserve"> 2020 and was replaced by an Interim Chief Executive. She quickly assimilated the key issues faced by the council and started to make the changes required. A new Chief Executive will take up his role in September 2020. </w:t>
      </w:r>
    </w:p>
    <w:p w14:paraId="36497900" w14:textId="05194769" w:rsidR="00044213" w:rsidRDefault="00630B4D" w:rsidP="0038335F">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630B4D">
        <w:rPr>
          <w:rFonts w:ascii="Arial" w:eastAsia="Times New Roman" w:hAnsi="Arial" w:cs="Arial"/>
          <w:sz w:val="24"/>
          <w:szCs w:val="24"/>
          <w:lang w:eastAsia="en-GB"/>
        </w:rPr>
        <w:t>The Council’s establishment incorporates all posts required by statute.</w:t>
      </w:r>
      <w:r w:rsidR="00044213">
        <w:rPr>
          <w:rFonts w:ascii="Arial" w:eastAsia="Times New Roman" w:hAnsi="Arial" w:cs="Arial"/>
          <w:sz w:val="24"/>
          <w:szCs w:val="24"/>
          <w:lang w:eastAsia="en-GB"/>
        </w:rPr>
        <w:t xml:space="preserve"> These include:</w:t>
      </w:r>
    </w:p>
    <w:p w14:paraId="6752CF82" w14:textId="180826BA" w:rsidR="00044213" w:rsidRDefault="00044213" w:rsidP="00044213">
      <w:pPr>
        <w:pStyle w:val="ListParagraph"/>
        <w:numPr>
          <w:ilvl w:val="0"/>
          <w:numId w:val="42"/>
        </w:numPr>
        <w:autoSpaceDE w:val="0"/>
        <w:autoSpaceDN w:val="0"/>
        <w:adjustRightInd w:val="0"/>
        <w:spacing w:after="12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lastRenderedPageBreak/>
        <w:t>Head of Paid Service</w:t>
      </w:r>
    </w:p>
    <w:p w14:paraId="0BC26F23" w14:textId="6CBFA6C1" w:rsidR="00044213" w:rsidRDefault="00044213" w:rsidP="00044213">
      <w:pPr>
        <w:pStyle w:val="ListParagraph"/>
        <w:numPr>
          <w:ilvl w:val="0"/>
          <w:numId w:val="42"/>
        </w:numPr>
        <w:autoSpaceDE w:val="0"/>
        <w:autoSpaceDN w:val="0"/>
        <w:adjustRightInd w:val="0"/>
        <w:spacing w:after="12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Section 151 Officer</w:t>
      </w:r>
    </w:p>
    <w:p w14:paraId="0F6D1B73" w14:textId="06BF13DF" w:rsidR="00044213" w:rsidRDefault="00044213" w:rsidP="00044213">
      <w:pPr>
        <w:pStyle w:val="ListParagraph"/>
        <w:numPr>
          <w:ilvl w:val="0"/>
          <w:numId w:val="42"/>
        </w:numPr>
        <w:autoSpaceDE w:val="0"/>
        <w:autoSpaceDN w:val="0"/>
        <w:adjustRightInd w:val="0"/>
        <w:spacing w:after="12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Monitoring Officer</w:t>
      </w:r>
    </w:p>
    <w:p w14:paraId="6B6A06C3" w14:textId="6E288305" w:rsidR="00044213" w:rsidRDefault="00044213" w:rsidP="00044213">
      <w:pPr>
        <w:pStyle w:val="ListParagraph"/>
        <w:numPr>
          <w:ilvl w:val="0"/>
          <w:numId w:val="42"/>
        </w:numPr>
        <w:autoSpaceDE w:val="0"/>
        <w:autoSpaceDN w:val="0"/>
        <w:adjustRightInd w:val="0"/>
        <w:spacing w:after="12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Director of Adult Social Services</w:t>
      </w:r>
    </w:p>
    <w:p w14:paraId="233741AB" w14:textId="0F981536" w:rsidR="00044213" w:rsidRDefault="00044213" w:rsidP="00044213">
      <w:pPr>
        <w:pStyle w:val="ListParagraph"/>
        <w:numPr>
          <w:ilvl w:val="0"/>
          <w:numId w:val="42"/>
        </w:numPr>
        <w:autoSpaceDE w:val="0"/>
        <w:autoSpaceDN w:val="0"/>
        <w:adjustRightInd w:val="0"/>
        <w:spacing w:after="12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Director of Children’s Services</w:t>
      </w:r>
    </w:p>
    <w:p w14:paraId="589C401C" w14:textId="7740740D" w:rsidR="00630B4D" w:rsidRPr="00044213" w:rsidRDefault="00044213" w:rsidP="00044213">
      <w:pPr>
        <w:pStyle w:val="ListParagraph"/>
        <w:numPr>
          <w:ilvl w:val="0"/>
          <w:numId w:val="42"/>
        </w:numPr>
        <w:autoSpaceDE w:val="0"/>
        <w:autoSpaceDN w:val="0"/>
        <w:adjustRightInd w:val="0"/>
        <w:spacing w:after="12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Director of Public Health</w:t>
      </w:r>
    </w:p>
    <w:p w14:paraId="2D2B1FD3" w14:textId="77777777" w:rsidR="00A20DFB" w:rsidRDefault="00A20DFB" w:rsidP="006C0206">
      <w:pPr>
        <w:numPr>
          <w:ilvl w:val="1"/>
          <w:numId w:val="1"/>
        </w:numPr>
        <w:autoSpaceDE w:val="0"/>
        <w:autoSpaceDN w:val="0"/>
        <w:adjustRightInd w:val="0"/>
        <w:spacing w:before="120" w:after="120" w:line="240" w:lineRule="auto"/>
        <w:ind w:left="567" w:hanging="567"/>
        <w:jc w:val="both"/>
        <w:rPr>
          <w:rFonts w:ascii="Arial" w:eastAsia="Times New Roman" w:hAnsi="Arial" w:cs="Arial"/>
          <w:sz w:val="24"/>
          <w:szCs w:val="24"/>
          <w:lang w:eastAsia="en-GB"/>
        </w:rPr>
      </w:pPr>
      <w:r w:rsidRPr="00630B4D">
        <w:rPr>
          <w:rFonts w:ascii="Arial" w:eastAsia="Times New Roman" w:hAnsi="Arial" w:cs="Arial"/>
          <w:sz w:val="24"/>
          <w:szCs w:val="24"/>
          <w:lang w:eastAsia="en-GB"/>
        </w:rPr>
        <w:t xml:space="preserve">The Constitution and its appendices define the delegated roles and responsibilities of key post holders, the Leader and executive councillors and decision-making bodies of the Council in detail. </w:t>
      </w:r>
      <w:r w:rsidRPr="006C0206">
        <w:rPr>
          <w:rFonts w:ascii="Arial" w:eastAsia="Times New Roman" w:hAnsi="Arial" w:cs="Arial"/>
          <w:sz w:val="24"/>
          <w:szCs w:val="24"/>
          <w:lang w:eastAsia="en-GB"/>
        </w:rPr>
        <w:t>NCC has adopted the 'Strong Leader and Cabinet</w:t>
      </w:r>
      <w:r w:rsidR="00C32877">
        <w:rPr>
          <w:rFonts w:ascii="Arial" w:eastAsia="Times New Roman" w:hAnsi="Arial" w:cs="Arial"/>
          <w:sz w:val="24"/>
          <w:szCs w:val="24"/>
          <w:lang w:eastAsia="en-GB"/>
        </w:rPr>
        <w:t>’</w:t>
      </w:r>
      <w:r w:rsidRPr="006C0206">
        <w:rPr>
          <w:rFonts w:ascii="Arial" w:eastAsia="Times New Roman" w:hAnsi="Arial" w:cs="Arial"/>
          <w:sz w:val="24"/>
          <w:szCs w:val="24"/>
          <w:lang w:eastAsia="en-GB"/>
        </w:rPr>
        <w:t xml:space="preserve"> model of </w:t>
      </w:r>
      <w:r w:rsidR="00C32877">
        <w:rPr>
          <w:rFonts w:ascii="Arial" w:eastAsia="Times New Roman" w:hAnsi="Arial" w:cs="Arial"/>
          <w:sz w:val="24"/>
          <w:szCs w:val="24"/>
          <w:lang w:eastAsia="en-GB"/>
        </w:rPr>
        <w:t>e</w:t>
      </w:r>
      <w:r w:rsidRPr="006C0206">
        <w:rPr>
          <w:rFonts w:ascii="Arial" w:eastAsia="Times New Roman" w:hAnsi="Arial" w:cs="Arial"/>
          <w:sz w:val="24"/>
          <w:szCs w:val="24"/>
          <w:lang w:eastAsia="en-GB"/>
        </w:rPr>
        <w:t xml:space="preserve">xecutive </w:t>
      </w:r>
      <w:r w:rsidR="00C32877">
        <w:rPr>
          <w:rFonts w:ascii="Arial" w:eastAsia="Times New Roman" w:hAnsi="Arial" w:cs="Arial"/>
          <w:sz w:val="24"/>
          <w:szCs w:val="24"/>
          <w:lang w:eastAsia="en-GB"/>
        </w:rPr>
        <w:t>g</w:t>
      </w:r>
      <w:r w:rsidRPr="006C0206">
        <w:rPr>
          <w:rFonts w:ascii="Arial" w:eastAsia="Times New Roman" w:hAnsi="Arial" w:cs="Arial"/>
          <w:sz w:val="24"/>
          <w:szCs w:val="24"/>
          <w:lang w:eastAsia="en-GB"/>
        </w:rPr>
        <w:t>overnance as set out in the provisions of the Local Government Act 2000 (as amended), and this is reflected throughout the constitution.</w:t>
      </w:r>
      <w:r w:rsidRPr="00E96544">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The Leader approves and reports </w:t>
      </w:r>
      <w:r w:rsidR="00C32877">
        <w:rPr>
          <w:rFonts w:ascii="Arial" w:eastAsia="Times New Roman" w:hAnsi="Arial" w:cs="Arial"/>
          <w:sz w:val="24"/>
          <w:szCs w:val="24"/>
          <w:lang w:eastAsia="en-GB"/>
        </w:rPr>
        <w:t>c</w:t>
      </w:r>
      <w:r w:rsidRPr="00630B4D">
        <w:rPr>
          <w:rFonts w:ascii="Arial" w:eastAsia="Times New Roman" w:hAnsi="Arial" w:cs="Arial"/>
          <w:sz w:val="24"/>
          <w:szCs w:val="24"/>
          <w:lang w:eastAsia="en-GB"/>
        </w:rPr>
        <w:t xml:space="preserve">hanges to the Constitution including those to financial reporting </w:t>
      </w:r>
      <w:r>
        <w:rPr>
          <w:rFonts w:ascii="Arial" w:eastAsia="Times New Roman" w:hAnsi="Arial" w:cs="Arial"/>
          <w:sz w:val="24"/>
          <w:szCs w:val="24"/>
          <w:lang w:eastAsia="en-GB"/>
        </w:rPr>
        <w:t xml:space="preserve">for approval </w:t>
      </w:r>
      <w:r w:rsidRPr="00DB7B4A">
        <w:rPr>
          <w:rFonts w:ascii="Arial" w:eastAsia="Times New Roman" w:hAnsi="Arial" w:cs="Arial"/>
          <w:sz w:val="24"/>
          <w:szCs w:val="24"/>
          <w:lang w:eastAsia="en-GB"/>
        </w:rPr>
        <w:t xml:space="preserve">at a meeting of </w:t>
      </w:r>
      <w:r w:rsidR="00C32877">
        <w:rPr>
          <w:rFonts w:ascii="Arial" w:eastAsia="Times New Roman" w:hAnsi="Arial" w:cs="Arial"/>
          <w:sz w:val="24"/>
          <w:szCs w:val="24"/>
          <w:lang w:eastAsia="en-GB"/>
        </w:rPr>
        <w:t>f</w:t>
      </w:r>
      <w:r w:rsidRPr="00DB7B4A">
        <w:rPr>
          <w:rFonts w:ascii="Arial" w:eastAsia="Times New Roman" w:hAnsi="Arial" w:cs="Arial"/>
          <w:sz w:val="24"/>
          <w:szCs w:val="24"/>
          <w:lang w:eastAsia="en-GB"/>
        </w:rPr>
        <w:t>ull Council</w:t>
      </w:r>
      <w:r w:rsidRPr="00630B4D">
        <w:rPr>
          <w:rFonts w:ascii="Arial" w:eastAsia="Times New Roman" w:hAnsi="Arial" w:cs="Arial"/>
          <w:sz w:val="24"/>
          <w:szCs w:val="24"/>
          <w:lang w:eastAsia="en-GB"/>
        </w:rPr>
        <w:t>.</w:t>
      </w:r>
      <w:r>
        <w:rPr>
          <w:rFonts w:ascii="Arial" w:eastAsia="Times New Roman" w:hAnsi="Arial" w:cs="Arial"/>
          <w:sz w:val="24"/>
          <w:szCs w:val="24"/>
          <w:lang w:eastAsia="en-GB"/>
        </w:rPr>
        <w:t xml:space="preserve"> The Monitoring Officer may make changes to the constitution to comply with the law.</w:t>
      </w:r>
    </w:p>
    <w:p w14:paraId="6A70B040" w14:textId="77777777" w:rsidR="002A59BB" w:rsidRPr="00FC31C5" w:rsidRDefault="00283B6B" w:rsidP="006C0206">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Pr>
          <w:rFonts w:ascii="Arial" w:eastAsia="Times New Roman" w:hAnsi="Arial" w:cs="Arial"/>
          <w:sz w:val="24"/>
          <w:szCs w:val="24"/>
          <w:lang w:eastAsia="en-GB"/>
        </w:rPr>
        <w:t>The Council’s</w:t>
      </w:r>
      <w:r w:rsidR="002A59BB" w:rsidRPr="00FC31C5">
        <w:rPr>
          <w:rFonts w:ascii="Arial" w:eastAsia="Times New Roman" w:hAnsi="Arial" w:cs="Arial"/>
          <w:sz w:val="24"/>
          <w:szCs w:val="24"/>
          <w:lang w:eastAsia="en-GB"/>
        </w:rPr>
        <w:t xml:space="preserve"> Leader decided to step down as a councillor at the 2019 elections, and a new Leader was elected at the full Council meeting on 20</w:t>
      </w:r>
      <w:r w:rsidR="002A59BB" w:rsidRPr="006C0206">
        <w:rPr>
          <w:rFonts w:ascii="Arial" w:eastAsia="Times New Roman" w:hAnsi="Arial" w:cs="Arial"/>
          <w:sz w:val="24"/>
          <w:szCs w:val="24"/>
          <w:lang w:eastAsia="en-GB"/>
        </w:rPr>
        <w:t>th</w:t>
      </w:r>
      <w:r w:rsidR="002A59BB" w:rsidRPr="00FC31C5">
        <w:rPr>
          <w:rFonts w:ascii="Arial" w:eastAsia="Times New Roman" w:hAnsi="Arial" w:cs="Arial"/>
          <w:sz w:val="24"/>
          <w:szCs w:val="24"/>
          <w:lang w:eastAsia="en-GB"/>
        </w:rPr>
        <w:t xml:space="preserve"> May 2019. </w:t>
      </w:r>
    </w:p>
    <w:p w14:paraId="002675D9" w14:textId="77777777" w:rsidR="00630B4D" w:rsidRPr="00630B4D" w:rsidRDefault="00630B4D" w:rsidP="0038335F">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630B4D">
        <w:rPr>
          <w:rFonts w:ascii="Arial" w:eastAsia="Times New Roman" w:hAnsi="Arial" w:cs="Arial"/>
          <w:sz w:val="24"/>
          <w:szCs w:val="24"/>
          <w:lang w:eastAsia="en-GB"/>
        </w:rPr>
        <w:t>The Council has set out budget and policy frameworks, which define how budget and policy decisions are made. These include setting each year’s budget.</w:t>
      </w:r>
    </w:p>
    <w:p w14:paraId="5E83BD34" w14:textId="77777777" w:rsidR="00630B4D" w:rsidRPr="00630B4D" w:rsidRDefault="00630B4D" w:rsidP="0038335F">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630B4D">
        <w:rPr>
          <w:rFonts w:ascii="Arial" w:eastAsia="Times New Roman" w:hAnsi="Arial" w:cs="Arial"/>
          <w:sz w:val="24"/>
          <w:szCs w:val="24"/>
          <w:lang w:eastAsia="en-GB"/>
        </w:rPr>
        <w:t xml:space="preserve">In order to ensure that the Council acts in the public interest at all times the </w:t>
      </w:r>
      <w:r w:rsidR="008C1553">
        <w:rPr>
          <w:rFonts w:ascii="Arial" w:eastAsia="Times New Roman" w:hAnsi="Arial" w:cs="Arial"/>
          <w:sz w:val="24"/>
          <w:szCs w:val="24"/>
          <w:lang w:eastAsia="en-GB"/>
        </w:rPr>
        <w:t xml:space="preserve">former </w:t>
      </w:r>
      <w:r w:rsidRPr="00630B4D">
        <w:rPr>
          <w:rFonts w:ascii="Arial" w:eastAsia="Times New Roman" w:hAnsi="Arial" w:cs="Arial"/>
          <w:sz w:val="24"/>
          <w:szCs w:val="24"/>
          <w:lang w:eastAsia="en-GB"/>
        </w:rPr>
        <w:t>Chief Executive communicated expectations within a message map as part of the Council’s Good to Great journey as follows</w:t>
      </w:r>
    </w:p>
    <w:p w14:paraId="7EFE56A5" w14:textId="77777777" w:rsidR="00630B4D" w:rsidRPr="00630B4D" w:rsidRDefault="00630B4D" w:rsidP="00630B4D">
      <w:pPr>
        <w:keepNext/>
        <w:spacing w:after="0" w:line="240" w:lineRule="auto"/>
        <w:jc w:val="both"/>
        <w:rPr>
          <w:rFonts w:ascii="Arial" w:eastAsia="Times New Roman" w:hAnsi="Arial" w:cs="Arial"/>
          <w:color w:val="44546A"/>
          <w:sz w:val="24"/>
          <w:szCs w:val="24"/>
          <w:lang w:eastAsia="en-GB"/>
        </w:rPr>
      </w:pPr>
      <w:r w:rsidRPr="00630B4D">
        <w:rPr>
          <w:rFonts w:ascii="Arial" w:eastAsia="Times New Roman" w:hAnsi="Arial" w:cs="Arial"/>
          <w:color w:val="44546A"/>
          <w:sz w:val="24"/>
          <w:szCs w:val="24"/>
          <w:lang w:eastAsia="en-GB"/>
        </w:rPr>
        <w:lastRenderedPageBreak/>
        <w:t>Message Map</w:t>
      </w:r>
    </w:p>
    <w:p w14:paraId="7E4EEF99" w14:textId="77777777" w:rsidR="00630B4D" w:rsidRPr="00630B4D" w:rsidRDefault="00630B4D" w:rsidP="00630B4D">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color w:val="008000"/>
          <w:sz w:val="24"/>
          <w:szCs w:val="24"/>
          <w:lang w:eastAsia="en-GB"/>
        </w:rPr>
        <w:drawing>
          <wp:inline distT="0" distB="0" distL="0" distR="0" wp14:anchorId="76E67197" wp14:editId="01A09449">
            <wp:extent cx="5734050" cy="520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0" cy="5200650"/>
                    </a:xfrm>
                    <a:prstGeom prst="rect">
                      <a:avLst/>
                    </a:prstGeom>
                    <a:noFill/>
                    <a:ln>
                      <a:noFill/>
                    </a:ln>
                  </pic:spPr>
                </pic:pic>
              </a:graphicData>
            </a:graphic>
          </wp:inline>
        </w:drawing>
      </w:r>
    </w:p>
    <w:p w14:paraId="354AC3EF" w14:textId="77777777" w:rsidR="00630B4D" w:rsidRPr="00630B4D" w:rsidRDefault="00630B4D" w:rsidP="00630B4D">
      <w:pPr>
        <w:keepNext/>
        <w:keepLines/>
        <w:spacing w:before="200" w:after="0"/>
        <w:outlineLvl w:val="1"/>
        <w:rPr>
          <w:rFonts w:ascii="Cambria" w:eastAsia="Times New Roman" w:hAnsi="Cambria" w:cs="Times New Roman"/>
          <w:b/>
          <w:bCs/>
          <w:color w:val="4F81BD"/>
          <w:sz w:val="26"/>
          <w:szCs w:val="26"/>
        </w:rPr>
      </w:pPr>
      <w:r w:rsidRPr="00630B4D">
        <w:rPr>
          <w:rFonts w:ascii="Cambria" w:eastAsia="Times New Roman" w:hAnsi="Cambria" w:cs="Times New Roman"/>
          <w:b/>
          <w:bCs/>
          <w:color w:val="4F81BD"/>
          <w:sz w:val="26"/>
          <w:szCs w:val="26"/>
        </w:rPr>
        <w:t>B. Ensuring openness and comprehensive stakeholder engagement</w:t>
      </w:r>
    </w:p>
    <w:p w14:paraId="104B6B56" w14:textId="77777777" w:rsidR="00630B4D" w:rsidRPr="00630B4D" w:rsidRDefault="00630B4D" w:rsidP="0038335F">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630B4D">
        <w:rPr>
          <w:rFonts w:ascii="Arial" w:eastAsia="Times New Roman" w:hAnsi="Arial" w:cs="Arial"/>
          <w:sz w:val="24"/>
          <w:szCs w:val="24"/>
          <w:lang w:eastAsia="en-GB"/>
        </w:rPr>
        <w:t>The Council has a Research, Engagement and Consultation team that leads on corporate engagement</w:t>
      </w:r>
      <w:r w:rsidR="00C32877">
        <w:rPr>
          <w:rFonts w:ascii="Arial" w:eastAsia="Times New Roman" w:hAnsi="Arial" w:cs="Arial"/>
          <w:sz w:val="24"/>
          <w:szCs w:val="24"/>
          <w:lang w:eastAsia="en-GB"/>
        </w:rPr>
        <w:t>,</w:t>
      </w:r>
      <w:r w:rsidRPr="00630B4D">
        <w:rPr>
          <w:rFonts w:ascii="Arial" w:eastAsia="Times New Roman" w:hAnsi="Arial" w:cs="Arial"/>
          <w:sz w:val="24"/>
          <w:szCs w:val="24"/>
          <w:lang w:eastAsia="en-GB"/>
        </w:rPr>
        <w:t xml:space="preserve"> for example the annual Citizens Survey</w:t>
      </w:r>
      <w:r w:rsidR="003C54B3">
        <w:rPr>
          <w:rFonts w:ascii="Arial" w:eastAsia="Times New Roman" w:hAnsi="Arial" w:cs="Arial"/>
          <w:sz w:val="24"/>
          <w:szCs w:val="24"/>
          <w:lang w:eastAsia="en-GB"/>
        </w:rPr>
        <w:t xml:space="preserve">. </w:t>
      </w:r>
      <w:r w:rsidRPr="00630B4D">
        <w:rPr>
          <w:rFonts w:ascii="Arial" w:eastAsia="Times New Roman" w:hAnsi="Arial" w:cs="Arial"/>
          <w:sz w:val="24"/>
          <w:szCs w:val="24"/>
          <w:lang w:eastAsia="en-GB"/>
        </w:rPr>
        <w:t xml:space="preserve">They also provide detailed advice and guidance on all aspects of research, engagement and consultation for colleagues across the authority. </w:t>
      </w:r>
      <w:r w:rsidR="00E84A0A">
        <w:rPr>
          <w:rFonts w:ascii="Arial" w:eastAsia="Times New Roman" w:hAnsi="Arial" w:cs="Arial"/>
          <w:sz w:val="24"/>
          <w:szCs w:val="24"/>
          <w:lang w:eastAsia="en-GB"/>
        </w:rPr>
        <w:t>The team aims to analyse and publish r</w:t>
      </w:r>
      <w:r w:rsidRPr="00630B4D">
        <w:rPr>
          <w:rFonts w:ascii="Arial" w:eastAsia="Times New Roman" w:hAnsi="Arial" w:cs="Arial"/>
          <w:sz w:val="24"/>
          <w:szCs w:val="24"/>
          <w:lang w:eastAsia="en-GB"/>
        </w:rPr>
        <w:t>esults from internal and external consultations.</w:t>
      </w:r>
    </w:p>
    <w:p w14:paraId="38618EF8" w14:textId="77777777" w:rsidR="0092443F" w:rsidRPr="00630B4D" w:rsidRDefault="0092443F" w:rsidP="0092443F">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The </w:t>
      </w:r>
      <w:r w:rsidRPr="002C783E">
        <w:rPr>
          <w:rFonts w:ascii="Arial" w:eastAsia="Times New Roman" w:hAnsi="Arial" w:cs="Arial"/>
          <w:sz w:val="24"/>
          <w:szCs w:val="24"/>
          <w:lang w:eastAsia="en-GB"/>
        </w:rPr>
        <w:t>Engage Nottingham Hub</w:t>
      </w:r>
      <w:r>
        <w:rPr>
          <w:rFonts w:ascii="Arial" w:eastAsia="Times New Roman" w:hAnsi="Arial" w:cs="Arial"/>
          <w:sz w:val="24"/>
          <w:szCs w:val="24"/>
          <w:lang w:eastAsia="en-GB"/>
        </w:rPr>
        <w:t xml:space="preserve"> brings together</w:t>
      </w:r>
      <w:r w:rsidRPr="002C783E">
        <w:t xml:space="preserve"> </w:t>
      </w:r>
      <w:r w:rsidRPr="002C783E">
        <w:rPr>
          <w:rFonts w:ascii="Arial" w:eastAsia="Times New Roman" w:hAnsi="Arial" w:cs="Arial"/>
          <w:sz w:val="24"/>
          <w:szCs w:val="24"/>
          <w:lang w:eastAsia="en-GB"/>
        </w:rPr>
        <w:t>consultation activity undertaken by Nottingham City Council and its partners</w:t>
      </w:r>
      <w:r w:rsidR="00C32877">
        <w:rPr>
          <w:rFonts w:ascii="Arial" w:eastAsia="Times New Roman" w:hAnsi="Arial" w:cs="Arial"/>
          <w:sz w:val="24"/>
          <w:szCs w:val="24"/>
          <w:lang w:eastAsia="en-GB"/>
        </w:rPr>
        <w:t>,</w:t>
      </w:r>
      <w:r w:rsidRPr="002C783E">
        <w:rPr>
          <w:rFonts w:ascii="Arial" w:eastAsia="Times New Roman" w:hAnsi="Arial" w:cs="Arial"/>
          <w:sz w:val="24"/>
          <w:szCs w:val="24"/>
          <w:lang w:eastAsia="en-GB"/>
        </w:rPr>
        <w:t xml:space="preserve"> and provides </w:t>
      </w:r>
      <w:r>
        <w:rPr>
          <w:rFonts w:ascii="Arial" w:eastAsia="Times New Roman" w:hAnsi="Arial" w:cs="Arial"/>
          <w:sz w:val="24"/>
          <w:szCs w:val="24"/>
          <w:lang w:eastAsia="en-GB"/>
        </w:rPr>
        <w:t>stakeholders with an</w:t>
      </w:r>
      <w:r w:rsidRPr="002C783E">
        <w:rPr>
          <w:rFonts w:ascii="Arial" w:eastAsia="Times New Roman" w:hAnsi="Arial" w:cs="Arial"/>
          <w:sz w:val="24"/>
          <w:szCs w:val="24"/>
          <w:lang w:eastAsia="en-GB"/>
        </w:rPr>
        <w:t xml:space="preserve"> opportunity to have </w:t>
      </w:r>
      <w:r>
        <w:rPr>
          <w:rFonts w:ascii="Arial" w:eastAsia="Times New Roman" w:hAnsi="Arial" w:cs="Arial"/>
          <w:sz w:val="24"/>
          <w:szCs w:val="24"/>
          <w:lang w:eastAsia="en-GB"/>
        </w:rPr>
        <w:t>their</w:t>
      </w:r>
      <w:r w:rsidRPr="002C783E">
        <w:rPr>
          <w:rFonts w:ascii="Arial" w:eastAsia="Times New Roman" w:hAnsi="Arial" w:cs="Arial"/>
          <w:sz w:val="24"/>
          <w:szCs w:val="24"/>
          <w:lang w:eastAsia="en-GB"/>
        </w:rPr>
        <w:t xml:space="preserve"> say on the issues </w:t>
      </w:r>
      <w:r>
        <w:rPr>
          <w:rFonts w:ascii="Arial" w:eastAsia="Times New Roman" w:hAnsi="Arial" w:cs="Arial"/>
          <w:sz w:val="24"/>
          <w:szCs w:val="24"/>
          <w:lang w:eastAsia="en-GB"/>
        </w:rPr>
        <w:t xml:space="preserve">they consider </w:t>
      </w:r>
      <w:r w:rsidRPr="002C783E">
        <w:rPr>
          <w:rFonts w:ascii="Arial" w:eastAsia="Times New Roman" w:hAnsi="Arial" w:cs="Arial"/>
          <w:sz w:val="24"/>
          <w:szCs w:val="24"/>
          <w:lang w:eastAsia="en-GB"/>
        </w:rPr>
        <w:t>important</w:t>
      </w:r>
      <w:r>
        <w:rPr>
          <w:rFonts w:ascii="Arial" w:eastAsia="Times New Roman" w:hAnsi="Arial" w:cs="Arial"/>
          <w:sz w:val="24"/>
          <w:szCs w:val="24"/>
          <w:lang w:eastAsia="en-GB"/>
        </w:rPr>
        <w:t>, including the Citizens’ Panel, Have Your Say, and Consultations</w:t>
      </w:r>
      <w:r w:rsidRPr="002C783E">
        <w:rPr>
          <w:rFonts w:ascii="Arial" w:eastAsia="Times New Roman" w:hAnsi="Arial" w:cs="Arial"/>
          <w:sz w:val="24"/>
          <w:szCs w:val="24"/>
          <w:lang w:eastAsia="en-GB"/>
        </w:rPr>
        <w:t xml:space="preserve">. </w:t>
      </w:r>
      <w:r>
        <w:rPr>
          <w:rFonts w:ascii="Arial" w:eastAsia="Times New Roman" w:hAnsi="Arial" w:cs="Arial"/>
          <w:sz w:val="24"/>
          <w:szCs w:val="24"/>
          <w:lang w:eastAsia="en-GB"/>
        </w:rPr>
        <w:t>The</w:t>
      </w:r>
      <w:r w:rsidRPr="002C783E">
        <w:rPr>
          <w:rFonts w:ascii="Arial" w:eastAsia="Times New Roman" w:hAnsi="Arial" w:cs="Arial"/>
          <w:sz w:val="24"/>
          <w:szCs w:val="24"/>
          <w:lang w:eastAsia="en-GB"/>
        </w:rPr>
        <w:t xml:space="preserve"> hub contains information about individual consultations</w:t>
      </w:r>
      <w:r>
        <w:rPr>
          <w:rFonts w:ascii="Arial" w:eastAsia="Times New Roman" w:hAnsi="Arial" w:cs="Arial"/>
          <w:sz w:val="24"/>
          <w:szCs w:val="24"/>
          <w:lang w:eastAsia="en-GB"/>
        </w:rPr>
        <w:t xml:space="preserve"> and it</w:t>
      </w:r>
      <w:r w:rsidRPr="002C783E">
        <w:rPr>
          <w:rFonts w:ascii="Arial" w:eastAsia="Times New Roman" w:hAnsi="Arial" w:cs="Arial"/>
          <w:sz w:val="24"/>
          <w:szCs w:val="24"/>
          <w:lang w:eastAsia="en-GB"/>
        </w:rPr>
        <w:t xml:space="preserve"> highlights the key findings which have come out of consultation activities</w:t>
      </w:r>
    </w:p>
    <w:p w14:paraId="11B699F0" w14:textId="77777777" w:rsidR="00E84A0A" w:rsidRPr="00CF6161" w:rsidRDefault="0032028E" w:rsidP="006C0206">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CF6161">
        <w:rPr>
          <w:rFonts w:ascii="Arial" w:eastAsia="Times New Roman" w:hAnsi="Arial" w:cs="Arial"/>
          <w:sz w:val="24"/>
          <w:szCs w:val="24"/>
          <w:lang w:eastAsia="en-GB"/>
        </w:rPr>
        <w:t>The Neighbourhood Management concept has been developed in Nottingham since 2007. Locality working is based on the key tenets that the local level is the most effective level at which to engage citizens and service users</w:t>
      </w:r>
      <w:r w:rsidR="00C32877">
        <w:rPr>
          <w:rFonts w:ascii="Arial" w:eastAsia="Times New Roman" w:hAnsi="Arial" w:cs="Arial"/>
          <w:sz w:val="24"/>
          <w:szCs w:val="24"/>
          <w:lang w:eastAsia="en-GB"/>
        </w:rPr>
        <w:t>,</w:t>
      </w:r>
      <w:r w:rsidRPr="00CF6161">
        <w:rPr>
          <w:rFonts w:ascii="Arial" w:eastAsia="Times New Roman" w:hAnsi="Arial" w:cs="Arial"/>
          <w:sz w:val="24"/>
          <w:szCs w:val="24"/>
          <w:lang w:eastAsia="en-GB"/>
        </w:rPr>
        <w:t xml:space="preserve"> and fixing local problems, however small, has a profound effect on citizen’s quality of life. The city has </w:t>
      </w:r>
      <w:r w:rsidR="00CF6161" w:rsidRPr="00FC31C5">
        <w:rPr>
          <w:rFonts w:ascii="Arial" w:eastAsia="Times New Roman" w:hAnsi="Arial" w:cs="Arial"/>
          <w:sz w:val="24"/>
          <w:szCs w:val="24"/>
          <w:lang w:eastAsia="en-GB"/>
        </w:rPr>
        <w:t>19</w:t>
      </w:r>
      <w:r w:rsidRPr="00FC31C5">
        <w:rPr>
          <w:rFonts w:ascii="Arial" w:eastAsia="Times New Roman" w:hAnsi="Arial" w:cs="Arial"/>
          <w:sz w:val="24"/>
          <w:szCs w:val="24"/>
          <w:lang w:eastAsia="en-GB"/>
        </w:rPr>
        <w:t xml:space="preserve"> Neighbourhood Action Teams (NATs) (one in each ward</w:t>
      </w:r>
      <w:r w:rsidR="00CF6161" w:rsidRPr="00FC31C5">
        <w:rPr>
          <w:rFonts w:ascii="Arial" w:eastAsia="Times New Roman" w:hAnsi="Arial" w:cs="Arial"/>
          <w:sz w:val="24"/>
          <w:szCs w:val="24"/>
          <w:lang w:eastAsia="en-GB"/>
        </w:rPr>
        <w:t xml:space="preserve">, apart from the Castle ward which is covered by a separate City Centre Management </w:t>
      </w:r>
      <w:r w:rsidR="00CF6161" w:rsidRPr="00FC31C5">
        <w:rPr>
          <w:rFonts w:ascii="Arial" w:eastAsia="Times New Roman" w:hAnsi="Arial" w:cs="Arial"/>
          <w:sz w:val="24"/>
          <w:szCs w:val="24"/>
          <w:lang w:eastAsia="en-GB"/>
        </w:rPr>
        <w:lastRenderedPageBreak/>
        <w:t>Group</w:t>
      </w:r>
      <w:r w:rsidRPr="00FC31C5">
        <w:rPr>
          <w:rFonts w:ascii="Arial" w:eastAsia="Times New Roman" w:hAnsi="Arial" w:cs="Arial"/>
          <w:sz w:val="24"/>
          <w:szCs w:val="24"/>
          <w:lang w:eastAsia="en-GB"/>
        </w:rPr>
        <w:t>)</w:t>
      </w:r>
      <w:r w:rsidRPr="00CF6161">
        <w:rPr>
          <w:rFonts w:ascii="Arial" w:eastAsia="Times New Roman" w:hAnsi="Arial" w:cs="Arial"/>
          <w:sz w:val="24"/>
          <w:szCs w:val="24"/>
          <w:lang w:eastAsia="en-GB"/>
        </w:rPr>
        <w:t xml:space="preserve"> headed up by a Neighbourhood Development Officer working in partnership with key agencies. </w:t>
      </w:r>
      <w:r w:rsidR="0068718E" w:rsidRPr="00CF6161">
        <w:rPr>
          <w:rFonts w:ascii="Arial" w:eastAsia="Times New Roman" w:hAnsi="Arial" w:cs="Arial"/>
          <w:sz w:val="24"/>
          <w:szCs w:val="24"/>
          <w:lang w:eastAsia="en-GB"/>
        </w:rPr>
        <w:t xml:space="preserve">Each NAT is closely linked to its ward city councillors and the appropriate City Council area committee (which comprise of two-three neighbouring wards). </w:t>
      </w:r>
      <w:r w:rsidRPr="00CF6161">
        <w:rPr>
          <w:rFonts w:ascii="Arial" w:eastAsia="Times New Roman" w:hAnsi="Arial" w:cs="Arial"/>
          <w:sz w:val="24"/>
          <w:szCs w:val="24"/>
          <w:lang w:eastAsia="en-GB"/>
        </w:rPr>
        <w:t>The NAT model is based on early intervention</w:t>
      </w:r>
      <w:r w:rsidR="00C32877">
        <w:rPr>
          <w:rFonts w:ascii="Arial" w:eastAsia="Times New Roman" w:hAnsi="Arial" w:cs="Arial"/>
          <w:sz w:val="24"/>
          <w:szCs w:val="24"/>
          <w:lang w:eastAsia="en-GB"/>
        </w:rPr>
        <w:t>,</w:t>
      </w:r>
      <w:r w:rsidRPr="00CF6161">
        <w:rPr>
          <w:rFonts w:ascii="Arial" w:eastAsia="Times New Roman" w:hAnsi="Arial" w:cs="Arial"/>
          <w:sz w:val="24"/>
          <w:szCs w:val="24"/>
          <w:lang w:eastAsia="en-GB"/>
        </w:rPr>
        <w:t xml:space="preserve"> aiming to reduce citizens’ need to engage with costly Council or health services unnecessarily. They work with citizens to actively shape services and their neighbourhoods, supporting social cohesion. </w:t>
      </w:r>
    </w:p>
    <w:p w14:paraId="253C377F" w14:textId="77777777" w:rsidR="00DB7B4A" w:rsidRPr="00FC31C5" w:rsidRDefault="00DB7B4A" w:rsidP="00DB7B4A">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FC31C5">
        <w:rPr>
          <w:rFonts w:ascii="Arial" w:eastAsia="Times New Roman" w:hAnsi="Arial" w:cs="Arial"/>
          <w:sz w:val="24"/>
          <w:szCs w:val="24"/>
          <w:lang w:eastAsia="en-GB"/>
        </w:rPr>
        <w:t xml:space="preserve">Key </w:t>
      </w:r>
      <w:r w:rsidR="00C32877">
        <w:rPr>
          <w:rFonts w:ascii="Arial" w:eastAsia="Times New Roman" w:hAnsi="Arial" w:cs="Arial"/>
          <w:sz w:val="24"/>
          <w:szCs w:val="24"/>
          <w:lang w:eastAsia="en-GB"/>
        </w:rPr>
        <w:t>s</w:t>
      </w:r>
      <w:r w:rsidR="003509C1" w:rsidRPr="00FC31C5">
        <w:rPr>
          <w:rFonts w:ascii="Arial" w:eastAsia="Times New Roman" w:hAnsi="Arial" w:cs="Arial"/>
          <w:sz w:val="24"/>
          <w:szCs w:val="24"/>
          <w:lang w:eastAsia="en-GB"/>
        </w:rPr>
        <w:t>trategies are published on the Nottingham</w:t>
      </w:r>
      <w:r w:rsidRPr="00FC31C5">
        <w:rPr>
          <w:rFonts w:ascii="Arial" w:eastAsia="Times New Roman" w:hAnsi="Arial" w:cs="Arial"/>
          <w:sz w:val="24"/>
          <w:szCs w:val="24"/>
          <w:lang w:eastAsia="en-GB"/>
        </w:rPr>
        <w:t xml:space="preserve"> </w:t>
      </w:r>
      <w:r w:rsidR="003509C1" w:rsidRPr="00FC31C5">
        <w:rPr>
          <w:rFonts w:ascii="Arial" w:eastAsia="Times New Roman" w:hAnsi="Arial" w:cs="Arial"/>
          <w:sz w:val="24"/>
          <w:szCs w:val="24"/>
          <w:lang w:eastAsia="en-GB"/>
        </w:rPr>
        <w:t xml:space="preserve">Insight </w:t>
      </w:r>
      <w:r w:rsidRPr="00FC31C5">
        <w:rPr>
          <w:rFonts w:ascii="Arial" w:eastAsia="Times New Roman" w:hAnsi="Arial" w:cs="Arial"/>
          <w:sz w:val="24"/>
          <w:szCs w:val="24"/>
          <w:lang w:eastAsia="en-GB"/>
        </w:rPr>
        <w:t>website.</w:t>
      </w:r>
    </w:p>
    <w:p w14:paraId="1229DC87" w14:textId="77777777" w:rsidR="00DB7B4A" w:rsidRPr="00DB7B4A" w:rsidRDefault="00DB7B4A" w:rsidP="00DB7B4A">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DB7B4A">
        <w:rPr>
          <w:rFonts w:ascii="Arial" w:eastAsia="Times New Roman" w:hAnsi="Arial" w:cs="Arial"/>
          <w:sz w:val="24"/>
          <w:szCs w:val="24"/>
          <w:lang w:eastAsia="en-GB"/>
        </w:rPr>
        <w:t xml:space="preserve">The Chief Executive and Corporate Directors engage with all staff and specific groups through various channels including the council’s intranet, email newsletters, information screens and through managers. The Council also engages with its staff through the Colleague Opinion Survey, which is managed and reviewed by the </w:t>
      </w:r>
      <w:r w:rsidR="004023C6" w:rsidRPr="00FC31C5">
        <w:rPr>
          <w:rFonts w:ascii="Arial" w:eastAsia="Times New Roman" w:hAnsi="Arial" w:cs="Arial"/>
          <w:sz w:val="24"/>
          <w:szCs w:val="24"/>
          <w:lang w:eastAsia="en-GB"/>
        </w:rPr>
        <w:t>Development</w:t>
      </w:r>
      <w:r w:rsidRPr="00FC31C5">
        <w:rPr>
          <w:rFonts w:ascii="Arial" w:eastAsia="Times New Roman" w:hAnsi="Arial" w:cs="Arial"/>
          <w:sz w:val="24"/>
          <w:szCs w:val="24"/>
          <w:lang w:eastAsia="en-GB"/>
        </w:rPr>
        <w:t xml:space="preserve"> and Change</w:t>
      </w:r>
      <w:r w:rsidRPr="00DB7B4A">
        <w:rPr>
          <w:rFonts w:ascii="Arial" w:eastAsia="Times New Roman" w:hAnsi="Arial" w:cs="Arial"/>
          <w:sz w:val="24"/>
          <w:szCs w:val="24"/>
          <w:lang w:eastAsia="en-GB"/>
        </w:rPr>
        <w:t xml:space="preserve"> team. </w:t>
      </w:r>
    </w:p>
    <w:p w14:paraId="6AFDF544" w14:textId="77777777" w:rsidR="00DB7B4A" w:rsidRPr="00DB7B4A" w:rsidRDefault="00DB7B4A" w:rsidP="00DB7B4A">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DB7B4A">
        <w:rPr>
          <w:rFonts w:ascii="Arial" w:eastAsia="Times New Roman" w:hAnsi="Arial" w:cs="Arial"/>
          <w:sz w:val="24"/>
          <w:szCs w:val="24"/>
          <w:lang w:eastAsia="en-GB"/>
        </w:rPr>
        <w:t xml:space="preserve">Complaints can be made in various open and transparent ways including through the internet, councillors, the Director of the service or office responsible. Have Your Say is now managed through a dedicated Customer Relationship Management (CRM) system. Access to the Ombudsman is well publicised. </w:t>
      </w:r>
    </w:p>
    <w:p w14:paraId="2BB723D2" w14:textId="77777777" w:rsidR="00515309" w:rsidRDefault="004023C6" w:rsidP="00C000BA">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B73B59">
        <w:rPr>
          <w:rFonts w:ascii="Arial" w:eastAsia="Times New Roman" w:hAnsi="Arial" w:cs="Arial"/>
          <w:sz w:val="24"/>
          <w:szCs w:val="24"/>
          <w:lang w:eastAsia="en-GB"/>
        </w:rPr>
        <w:t xml:space="preserve">The Local Government Ombudsman (LGO) report presented to Audit Committee </w:t>
      </w:r>
      <w:r w:rsidR="006B4D62">
        <w:rPr>
          <w:rFonts w:ascii="Arial" w:eastAsia="Times New Roman" w:hAnsi="Arial" w:cs="Arial"/>
          <w:sz w:val="24"/>
          <w:szCs w:val="24"/>
          <w:lang w:eastAsia="en-GB"/>
        </w:rPr>
        <w:t xml:space="preserve">in 2019 </w:t>
      </w:r>
      <w:r w:rsidRPr="00B73B59">
        <w:rPr>
          <w:rFonts w:ascii="Arial" w:eastAsia="Times New Roman" w:hAnsi="Arial" w:cs="Arial"/>
          <w:sz w:val="24"/>
          <w:szCs w:val="24"/>
          <w:lang w:eastAsia="en-GB"/>
        </w:rPr>
        <w:t xml:space="preserve">identified a similar level of complaints referred to </w:t>
      </w:r>
      <w:r w:rsidR="00C32877" w:rsidRPr="00B73B59">
        <w:rPr>
          <w:rFonts w:ascii="Arial" w:eastAsia="Times New Roman" w:hAnsi="Arial" w:cs="Arial"/>
          <w:sz w:val="24"/>
          <w:szCs w:val="24"/>
          <w:lang w:eastAsia="en-GB"/>
        </w:rPr>
        <w:t>O</w:t>
      </w:r>
      <w:r w:rsidRPr="00B73B59">
        <w:rPr>
          <w:rFonts w:ascii="Arial" w:eastAsia="Times New Roman" w:hAnsi="Arial" w:cs="Arial"/>
          <w:sz w:val="24"/>
          <w:szCs w:val="24"/>
          <w:lang w:eastAsia="en-GB"/>
        </w:rPr>
        <w:t>mbudsman to the previous year. The most frequent areas for complaints reflect the national picture. The level of LGO upheld complaints was less than in the previous year</w:t>
      </w:r>
      <w:r w:rsidR="002143D2" w:rsidRPr="00B73B59">
        <w:rPr>
          <w:rFonts w:ascii="Arial" w:eastAsia="Times New Roman" w:hAnsi="Arial" w:cs="Arial"/>
          <w:sz w:val="24"/>
          <w:szCs w:val="24"/>
          <w:lang w:eastAsia="en-GB"/>
        </w:rPr>
        <w:t>,</w:t>
      </w:r>
      <w:r w:rsidRPr="00B73B59">
        <w:rPr>
          <w:rFonts w:ascii="Arial" w:eastAsia="Times New Roman" w:hAnsi="Arial" w:cs="Arial"/>
          <w:sz w:val="24"/>
          <w:szCs w:val="24"/>
          <w:lang w:eastAsia="en-GB"/>
        </w:rPr>
        <w:t xml:space="preserve"> and the upheld rate among the best performing authorities. </w:t>
      </w:r>
      <w:r w:rsidR="002143D2" w:rsidRPr="00B73B59">
        <w:rPr>
          <w:rFonts w:ascii="Arial" w:eastAsia="Times New Roman" w:hAnsi="Arial" w:cs="Arial"/>
          <w:sz w:val="24"/>
          <w:szCs w:val="24"/>
          <w:lang w:eastAsia="en-GB"/>
        </w:rPr>
        <w:t>The ra</w:t>
      </w:r>
      <w:r w:rsidRPr="00B73B59">
        <w:rPr>
          <w:rFonts w:ascii="Arial" w:eastAsia="Times New Roman" w:hAnsi="Arial" w:cs="Arial"/>
          <w:sz w:val="24"/>
          <w:szCs w:val="24"/>
          <w:lang w:eastAsia="en-GB"/>
        </w:rPr>
        <w:t xml:space="preserve">te </w:t>
      </w:r>
      <w:r w:rsidR="002143D2" w:rsidRPr="00B73B59">
        <w:rPr>
          <w:rFonts w:ascii="Arial" w:eastAsia="Times New Roman" w:hAnsi="Arial" w:cs="Arial"/>
          <w:sz w:val="24"/>
          <w:szCs w:val="24"/>
          <w:lang w:eastAsia="en-GB"/>
        </w:rPr>
        <w:t>at which</w:t>
      </w:r>
      <w:r w:rsidRPr="00B73B59">
        <w:rPr>
          <w:rFonts w:ascii="Arial" w:eastAsia="Times New Roman" w:hAnsi="Arial" w:cs="Arial"/>
          <w:sz w:val="24"/>
          <w:szCs w:val="24"/>
          <w:lang w:eastAsia="en-GB"/>
        </w:rPr>
        <w:t xml:space="preserve"> the Ombudsman upheld complaints was down from 48% </w:t>
      </w:r>
      <w:r w:rsidR="0087246F" w:rsidRPr="00B73B59">
        <w:rPr>
          <w:rFonts w:ascii="Arial" w:eastAsia="Times New Roman" w:hAnsi="Arial" w:cs="Arial"/>
          <w:sz w:val="24"/>
          <w:szCs w:val="24"/>
          <w:lang w:eastAsia="en-GB"/>
        </w:rPr>
        <w:t>in 2015-16 to 35% in 2016-17,</w:t>
      </w:r>
      <w:r w:rsidRPr="00B73B59">
        <w:rPr>
          <w:rFonts w:ascii="Arial" w:eastAsia="Times New Roman" w:hAnsi="Arial" w:cs="Arial"/>
          <w:sz w:val="24"/>
          <w:szCs w:val="24"/>
          <w:lang w:eastAsia="en-GB"/>
        </w:rPr>
        <w:t xml:space="preserve"> 27% in 2017-18</w:t>
      </w:r>
      <w:r w:rsidR="0087246F" w:rsidRPr="00B73B59">
        <w:rPr>
          <w:rFonts w:ascii="Arial" w:eastAsia="Times New Roman" w:hAnsi="Arial" w:cs="Arial"/>
          <w:sz w:val="24"/>
          <w:szCs w:val="24"/>
          <w:lang w:eastAsia="en-GB"/>
        </w:rPr>
        <w:t xml:space="preserve"> and 69% in 2018-19</w:t>
      </w:r>
      <w:r w:rsidRPr="00B73B59">
        <w:rPr>
          <w:rFonts w:ascii="Arial" w:eastAsia="Times New Roman" w:hAnsi="Arial" w:cs="Arial"/>
          <w:sz w:val="24"/>
          <w:szCs w:val="24"/>
          <w:lang w:eastAsia="en-GB"/>
        </w:rPr>
        <w:t xml:space="preserve">. This </w:t>
      </w:r>
      <w:r w:rsidR="00B73B59">
        <w:rPr>
          <w:rFonts w:ascii="Arial" w:eastAsia="Times New Roman" w:hAnsi="Arial" w:cs="Arial"/>
          <w:sz w:val="24"/>
          <w:szCs w:val="24"/>
          <w:lang w:eastAsia="en-GB"/>
        </w:rPr>
        <w:t>compares to</w:t>
      </w:r>
      <w:r w:rsidRPr="00B73B59">
        <w:rPr>
          <w:rFonts w:ascii="Arial" w:eastAsia="Times New Roman" w:hAnsi="Arial" w:cs="Arial"/>
          <w:sz w:val="24"/>
          <w:szCs w:val="24"/>
          <w:lang w:eastAsia="en-GB"/>
        </w:rPr>
        <w:t xml:space="preserve"> the national rate of 5</w:t>
      </w:r>
      <w:r w:rsidR="00B73B59">
        <w:rPr>
          <w:rFonts w:ascii="Arial" w:eastAsia="Times New Roman" w:hAnsi="Arial" w:cs="Arial"/>
          <w:sz w:val="24"/>
          <w:szCs w:val="24"/>
          <w:lang w:eastAsia="en-GB"/>
        </w:rPr>
        <w:t>8</w:t>
      </w:r>
      <w:r w:rsidRPr="00B73B59">
        <w:rPr>
          <w:rFonts w:ascii="Arial" w:eastAsia="Times New Roman" w:hAnsi="Arial" w:cs="Arial"/>
          <w:sz w:val="24"/>
          <w:szCs w:val="24"/>
          <w:lang w:eastAsia="en-GB"/>
        </w:rPr>
        <w:t xml:space="preserve">% and </w:t>
      </w:r>
      <w:r w:rsidR="00C32877" w:rsidRPr="00B73B59">
        <w:rPr>
          <w:rFonts w:ascii="Arial" w:eastAsia="Times New Roman" w:hAnsi="Arial" w:cs="Arial"/>
          <w:sz w:val="24"/>
          <w:szCs w:val="24"/>
          <w:lang w:eastAsia="en-GB"/>
        </w:rPr>
        <w:t xml:space="preserve">the </w:t>
      </w:r>
      <w:r w:rsidR="00B73B59">
        <w:rPr>
          <w:rFonts w:ascii="Arial" w:eastAsia="Times New Roman" w:hAnsi="Arial" w:cs="Arial"/>
          <w:sz w:val="24"/>
          <w:szCs w:val="24"/>
          <w:lang w:eastAsia="en-GB"/>
        </w:rPr>
        <w:t xml:space="preserve">English </w:t>
      </w:r>
      <w:r w:rsidRPr="00B73B59">
        <w:rPr>
          <w:rFonts w:ascii="Arial" w:eastAsia="Times New Roman" w:hAnsi="Arial" w:cs="Arial"/>
          <w:sz w:val="24"/>
          <w:szCs w:val="24"/>
          <w:lang w:eastAsia="en-GB"/>
        </w:rPr>
        <w:t>Core Cities average rate of 6</w:t>
      </w:r>
      <w:r w:rsidR="00B73B59">
        <w:rPr>
          <w:rFonts w:ascii="Arial" w:eastAsia="Times New Roman" w:hAnsi="Arial" w:cs="Arial"/>
          <w:sz w:val="24"/>
          <w:szCs w:val="24"/>
          <w:lang w:eastAsia="en-GB"/>
        </w:rPr>
        <w:t>6</w:t>
      </w:r>
      <w:r w:rsidRPr="00B73B59">
        <w:rPr>
          <w:rFonts w:ascii="Arial" w:eastAsia="Times New Roman" w:hAnsi="Arial" w:cs="Arial"/>
          <w:sz w:val="24"/>
          <w:szCs w:val="24"/>
          <w:lang w:eastAsia="en-GB"/>
        </w:rPr>
        <w:t xml:space="preserve">%. </w:t>
      </w:r>
    </w:p>
    <w:p w14:paraId="2BE5FB58" w14:textId="77777777" w:rsidR="002143D2" w:rsidRPr="00B73B59" w:rsidRDefault="006B4D62" w:rsidP="00C000BA">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Pr>
          <w:rFonts w:ascii="Arial" w:eastAsia="Times New Roman" w:hAnsi="Arial" w:cs="Arial"/>
          <w:sz w:val="24"/>
          <w:szCs w:val="24"/>
          <w:lang w:eastAsia="en-GB"/>
        </w:rPr>
        <w:t>The Council</w:t>
      </w:r>
      <w:r w:rsidR="0087246F" w:rsidRPr="00B73B59">
        <w:rPr>
          <w:rFonts w:ascii="Arial" w:eastAsia="Times New Roman" w:hAnsi="Arial" w:cs="Arial"/>
          <w:sz w:val="24"/>
          <w:szCs w:val="24"/>
          <w:lang w:eastAsia="en-GB"/>
        </w:rPr>
        <w:t xml:space="preserve"> recognise</w:t>
      </w:r>
      <w:r w:rsidR="00433ACE" w:rsidRPr="00B73B59">
        <w:rPr>
          <w:rFonts w:ascii="Arial" w:eastAsia="Times New Roman" w:hAnsi="Arial" w:cs="Arial"/>
          <w:sz w:val="24"/>
          <w:szCs w:val="24"/>
          <w:lang w:eastAsia="en-GB"/>
        </w:rPr>
        <w:t>s</w:t>
      </w:r>
      <w:r w:rsidR="0087246F" w:rsidRPr="00B73B59">
        <w:rPr>
          <w:rFonts w:ascii="Arial" w:eastAsia="Times New Roman" w:hAnsi="Arial" w:cs="Arial"/>
          <w:sz w:val="24"/>
          <w:szCs w:val="24"/>
          <w:lang w:eastAsia="en-GB"/>
        </w:rPr>
        <w:t xml:space="preserve"> that the 26 cases investigated </w:t>
      </w:r>
      <w:r w:rsidR="00433ACE" w:rsidRPr="00B73B59">
        <w:rPr>
          <w:rFonts w:ascii="Arial" w:eastAsia="Times New Roman" w:hAnsi="Arial" w:cs="Arial"/>
          <w:sz w:val="24"/>
          <w:szCs w:val="24"/>
          <w:lang w:eastAsia="en-GB"/>
        </w:rPr>
        <w:t xml:space="preserve">by the Ombudsman </w:t>
      </w:r>
      <w:r w:rsidR="0087246F" w:rsidRPr="00B73B59">
        <w:rPr>
          <w:rFonts w:ascii="Arial" w:eastAsia="Times New Roman" w:hAnsi="Arial" w:cs="Arial"/>
          <w:sz w:val="24"/>
          <w:szCs w:val="24"/>
          <w:lang w:eastAsia="en-GB"/>
        </w:rPr>
        <w:t xml:space="preserve">is a very small sample of all complaints dealt with by NCC </w:t>
      </w:r>
      <w:r w:rsidR="00433ACE" w:rsidRPr="00B73B59">
        <w:rPr>
          <w:rFonts w:ascii="Arial" w:eastAsia="Times New Roman" w:hAnsi="Arial" w:cs="Arial"/>
          <w:sz w:val="24"/>
          <w:szCs w:val="24"/>
          <w:lang w:eastAsia="en-GB"/>
        </w:rPr>
        <w:t xml:space="preserve">(3984 Have Your Say complaints and 510 Social Care complaints and 290 school admission appeals) </w:t>
      </w:r>
      <w:r w:rsidR="0087246F" w:rsidRPr="00B73B59">
        <w:rPr>
          <w:rFonts w:ascii="Arial" w:eastAsia="Times New Roman" w:hAnsi="Arial" w:cs="Arial"/>
          <w:sz w:val="24"/>
          <w:szCs w:val="24"/>
          <w:lang w:eastAsia="en-GB"/>
        </w:rPr>
        <w:t>and that statistically it may not be representative of our complaints process. However</w:t>
      </w:r>
      <w:r w:rsidR="00537F27">
        <w:rPr>
          <w:rFonts w:ascii="Arial" w:eastAsia="Times New Roman" w:hAnsi="Arial" w:cs="Arial"/>
          <w:sz w:val="24"/>
          <w:szCs w:val="24"/>
          <w:lang w:eastAsia="en-GB"/>
        </w:rPr>
        <w:t>,</w:t>
      </w:r>
      <w:r w:rsidR="0087246F" w:rsidRPr="00B73B59">
        <w:rPr>
          <w:rFonts w:ascii="Arial" w:eastAsia="Times New Roman" w:hAnsi="Arial" w:cs="Arial"/>
          <w:sz w:val="24"/>
          <w:szCs w:val="24"/>
          <w:lang w:eastAsia="en-GB"/>
        </w:rPr>
        <w:t xml:space="preserve"> we have attempted to identify any learning applicable</w:t>
      </w:r>
      <w:r w:rsidR="004023C6" w:rsidRPr="00B73B59">
        <w:rPr>
          <w:rFonts w:ascii="Arial" w:eastAsia="Times New Roman" w:hAnsi="Arial" w:cs="Arial"/>
          <w:sz w:val="24"/>
          <w:szCs w:val="24"/>
          <w:lang w:eastAsia="en-GB"/>
        </w:rPr>
        <w:t>.</w:t>
      </w:r>
      <w:r w:rsidR="00433ACE" w:rsidRPr="00B73B59">
        <w:rPr>
          <w:rFonts w:ascii="Arial" w:eastAsia="Times New Roman" w:hAnsi="Arial" w:cs="Arial"/>
          <w:sz w:val="24"/>
          <w:szCs w:val="24"/>
          <w:lang w:eastAsia="en-GB"/>
        </w:rPr>
        <w:t xml:space="preserve"> In particular</w:t>
      </w:r>
      <w:r w:rsidR="00537F27">
        <w:rPr>
          <w:rFonts w:ascii="Arial" w:eastAsia="Times New Roman" w:hAnsi="Arial" w:cs="Arial"/>
          <w:sz w:val="24"/>
          <w:szCs w:val="24"/>
          <w:lang w:eastAsia="en-GB"/>
        </w:rPr>
        <w:t>,</w:t>
      </w:r>
      <w:r w:rsidR="00433ACE" w:rsidRPr="00B73B59">
        <w:rPr>
          <w:rFonts w:ascii="Arial" w:eastAsia="Times New Roman" w:hAnsi="Arial" w:cs="Arial"/>
          <w:sz w:val="24"/>
          <w:szCs w:val="24"/>
          <w:lang w:eastAsia="en-GB"/>
        </w:rPr>
        <w:t xml:space="preserve"> </w:t>
      </w:r>
      <w:r w:rsidR="00B73B59" w:rsidRPr="00B73B59">
        <w:rPr>
          <w:rFonts w:ascii="Arial" w:eastAsia="Times New Roman" w:hAnsi="Arial" w:cs="Arial"/>
          <w:sz w:val="24"/>
          <w:szCs w:val="24"/>
          <w:lang w:eastAsia="en-GB"/>
        </w:rPr>
        <w:t>the majority of the complaints investigated by the ombudsman resulted from a new Transport Policy for adult social care, the Ombudsman recommended both a change to the policy and a review of a number of</w:t>
      </w:r>
      <w:r w:rsidR="00B73B59">
        <w:rPr>
          <w:rFonts w:ascii="Arial" w:eastAsia="Times New Roman" w:hAnsi="Arial" w:cs="Arial"/>
          <w:sz w:val="24"/>
          <w:szCs w:val="24"/>
          <w:lang w:eastAsia="en-GB"/>
        </w:rPr>
        <w:t xml:space="preserve"> </w:t>
      </w:r>
      <w:r w:rsidR="00B73B59" w:rsidRPr="00B73B59">
        <w:rPr>
          <w:rFonts w:ascii="Arial" w:eastAsia="Times New Roman" w:hAnsi="Arial" w:cs="Arial"/>
          <w:sz w:val="24"/>
          <w:szCs w:val="24"/>
          <w:lang w:eastAsia="en-GB"/>
        </w:rPr>
        <w:t>decisions</w:t>
      </w:r>
      <w:r w:rsidR="00B73B59">
        <w:rPr>
          <w:rFonts w:ascii="Arial" w:eastAsia="Times New Roman" w:hAnsi="Arial" w:cs="Arial"/>
          <w:sz w:val="24"/>
          <w:szCs w:val="24"/>
          <w:lang w:eastAsia="en-GB"/>
        </w:rPr>
        <w:t xml:space="preserve"> both of which have been completed.</w:t>
      </w:r>
    </w:p>
    <w:p w14:paraId="30E82075" w14:textId="77777777" w:rsidR="0045729C" w:rsidRDefault="00DB7B4A" w:rsidP="0045729C">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024F53">
        <w:rPr>
          <w:rFonts w:ascii="Arial" w:eastAsia="Times New Roman" w:hAnsi="Arial" w:cs="Arial"/>
          <w:sz w:val="24"/>
          <w:szCs w:val="24"/>
          <w:lang w:eastAsia="en-GB"/>
        </w:rPr>
        <w:t xml:space="preserve">The Council </w:t>
      </w:r>
      <w:r w:rsidR="006B4D62">
        <w:rPr>
          <w:rFonts w:ascii="Arial" w:eastAsia="Times New Roman" w:hAnsi="Arial" w:cs="Arial"/>
          <w:sz w:val="24"/>
          <w:szCs w:val="24"/>
          <w:lang w:eastAsia="en-GB"/>
        </w:rPr>
        <w:t xml:space="preserve">aims to meet the Information Commissioner’s Office targets for </w:t>
      </w:r>
      <w:r w:rsidRPr="00024F53">
        <w:rPr>
          <w:rFonts w:ascii="Arial" w:eastAsia="Times New Roman" w:hAnsi="Arial" w:cs="Arial"/>
          <w:sz w:val="24"/>
          <w:szCs w:val="24"/>
          <w:lang w:eastAsia="en-GB"/>
        </w:rPr>
        <w:t>performance in respect of Freedom of Information and Enviro</w:t>
      </w:r>
      <w:r w:rsidR="006B4D62">
        <w:rPr>
          <w:rFonts w:ascii="Arial" w:eastAsia="Times New Roman" w:hAnsi="Arial" w:cs="Arial"/>
          <w:sz w:val="24"/>
          <w:szCs w:val="24"/>
          <w:lang w:eastAsia="en-GB"/>
        </w:rPr>
        <w:t>nmental Information Regulations</w:t>
      </w:r>
      <w:r w:rsidRPr="00024F53">
        <w:rPr>
          <w:rFonts w:ascii="Arial" w:eastAsia="Times New Roman" w:hAnsi="Arial" w:cs="Arial"/>
          <w:sz w:val="24"/>
          <w:szCs w:val="24"/>
          <w:lang w:eastAsia="en-GB"/>
        </w:rPr>
        <w:t>.</w:t>
      </w:r>
      <w:r w:rsidR="0045729C" w:rsidRPr="00024F53">
        <w:rPr>
          <w:rFonts w:ascii="Arial" w:eastAsia="Times New Roman" w:hAnsi="Arial" w:cs="Arial"/>
          <w:sz w:val="24"/>
          <w:szCs w:val="24"/>
          <w:lang w:eastAsia="en-GB"/>
        </w:rPr>
        <w:t xml:space="preserve"> A searchable</w:t>
      </w:r>
      <w:r w:rsidR="0045729C">
        <w:rPr>
          <w:rFonts w:ascii="Arial" w:eastAsia="Times New Roman" w:hAnsi="Arial" w:cs="Arial"/>
          <w:sz w:val="24"/>
          <w:szCs w:val="24"/>
          <w:lang w:eastAsia="en-GB"/>
        </w:rPr>
        <w:t xml:space="preserve"> disclosure log of these requests is published on the Council’s website at</w:t>
      </w:r>
    </w:p>
    <w:p w14:paraId="5431F8E7" w14:textId="77777777" w:rsidR="00DB7B4A" w:rsidRDefault="0045729C" w:rsidP="0045729C">
      <w:pPr>
        <w:autoSpaceDE w:val="0"/>
        <w:autoSpaceDN w:val="0"/>
        <w:adjustRightInd w:val="0"/>
        <w:spacing w:after="120" w:line="240" w:lineRule="auto"/>
        <w:ind w:left="567"/>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 </w:t>
      </w:r>
      <w:hyperlink r:id="rId12" w:history="1">
        <w:r w:rsidRPr="00B85B35">
          <w:rPr>
            <w:rStyle w:val="Hyperlink"/>
            <w:rFonts w:ascii="Arial" w:eastAsia="Times New Roman" w:hAnsi="Arial" w:cs="Arial"/>
            <w:sz w:val="24"/>
            <w:szCs w:val="24"/>
            <w:lang w:eastAsia="en-GB"/>
          </w:rPr>
          <w:t>http://open.nottinghamcity.gov.uk/InformationGovernance/disclosurelog.aspx</w:t>
        </w:r>
      </w:hyperlink>
    </w:p>
    <w:p w14:paraId="1C268BF0" w14:textId="77777777" w:rsidR="00630B4D" w:rsidRPr="00630B4D" w:rsidRDefault="00630B4D" w:rsidP="00630B4D">
      <w:pPr>
        <w:keepNext/>
        <w:keepLines/>
        <w:spacing w:before="200" w:after="0"/>
        <w:outlineLvl w:val="1"/>
        <w:rPr>
          <w:rFonts w:ascii="Cambria" w:eastAsia="Times New Roman" w:hAnsi="Cambria" w:cs="Times New Roman"/>
          <w:b/>
          <w:bCs/>
          <w:color w:val="4F81BD"/>
          <w:sz w:val="26"/>
          <w:szCs w:val="26"/>
        </w:rPr>
      </w:pPr>
      <w:r w:rsidRPr="00630B4D">
        <w:rPr>
          <w:rFonts w:ascii="Cambria" w:eastAsia="Times New Roman" w:hAnsi="Cambria" w:cs="Times New Roman"/>
          <w:b/>
          <w:bCs/>
          <w:color w:val="4F81BD"/>
          <w:sz w:val="26"/>
          <w:szCs w:val="26"/>
        </w:rPr>
        <w:t>C. Defining outcomes in terms of sustainable economic, social, and environmental benefits</w:t>
      </w:r>
    </w:p>
    <w:p w14:paraId="0DD33DBF" w14:textId="77777777" w:rsidR="00DB7B4A" w:rsidRPr="00DB7B4A" w:rsidRDefault="00DB7B4A" w:rsidP="00517226">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DB7B4A">
        <w:rPr>
          <w:rFonts w:ascii="Arial" w:eastAsia="Times New Roman" w:hAnsi="Arial" w:cs="Arial"/>
          <w:sz w:val="24"/>
          <w:szCs w:val="24"/>
          <w:lang w:eastAsia="en-GB"/>
        </w:rPr>
        <w:t xml:space="preserve">The Council defines outcomes through a number of processes including agreeing a long-term vision, agreeing medium term and shorter term plans. </w:t>
      </w:r>
    </w:p>
    <w:p w14:paraId="7BF48DC4" w14:textId="77777777" w:rsidR="00DB7B4A" w:rsidRPr="00DB7B4A" w:rsidRDefault="00DB7B4A" w:rsidP="00517226">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DB7B4A">
        <w:rPr>
          <w:rFonts w:ascii="Arial" w:eastAsia="Times New Roman" w:hAnsi="Arial" w:cs="Arial"/>
          <w:sz w:val="24"/>
          <w:szCs w:val="24"/>
          <w:lang w:eastAsia="en-GB"/>
        </w:rPr>
        <w:lastRenderedPageBreak/>
        <w:t>The Council’s vision is wholly aligned with that of the City as set out in the 2030 vision and Nottingham Plan to 2020.  Accordingly, this vision is not subject to annual review</w:t>
      </w:r>
      <w:r w:rsidRPr="00FC31C5">
        <w:rPr>
          <w:rFonts w:ascii="Arial" w:eastAsia="Times New Roman" w:hAnsi="Arial" w:cs="Arial"/>
          <w:sz w:val="24"/>
          <w:szCs w:val="24"/>
          <w:lang w:eastAsia="en-GB"/>
        </w:rPr>
        <w:t>.</w:t>
      </w:r>
    </w:p>
    <w:p w14:paraId="6FEFA00C" w14:textId="77777777" w:rsidR="00DB7B4A" w:rsidRPr="00DB7B4A" w:rsidRDefault="00FA5A3C" w:rsidP="003D519D">
      <w:pPr>
        <w:numPr>
          <w:ilvl w:val="1"/>
          <w:numId w:val="1"/>
        </w:numPr>
        <w:autoSpaceDE w:val="0"/>
        <w:autoSpaceDN w:val="0"/>
        <w:adjustRightInd w:val="0"/>
        <w:spacing w:after="0" w:line="240" w:lineRule="auto"/>
        <w:ind w:left="567" w:hanging="567"/>
        <w:jc w:val="both"/>
        <w:rPr>
          <w:rFonts w:ascii="Arial" w:eastAsia="Times New Roman" w:hAnsi="Arial" w:cs="Arial"/>
          <w:sz w:val="24"/>
          <w:szCs w:val="24"/>
          <w:lang w:eastAsia="en-GB"/>
        </w:rPr>
      </w:pPr>
      <w:r>
        <w:rPr>
          <w:rFonts w:ascii="Arial" w:eastAsia="Times New Roman" w:hAnsi="Arial" w:cs="Arial"/>
          <w:sz w:val="24"/>
          <w:szCs w:val="24"/>
          <w:lang w:eastAsia="en-GB"/>
        </w:rPr>
        <w:t>Over the period 2015-2020 t</w:t>
      </w:r>
      <w:r w:rsidR="00DB7B4A" w:rsidRPr="00DB7B4A">
        <w:rPr>
          <w:rFonts w:ascii="Arial" w:eastAsia="Times New Roman" w:hAnsi="Arial" w:cs="Arial"/>
          <w:sz w:val="24"/>
          <w:szCs w:val="24"/>
          <w:lang w:eastAsia="en-GB"/>
        </w:rPr>
        <w:t xml:space="preserve">he Nottingham Plan to 2020 </w:t>
      </w:r>
      <w:r>
        <w:rPr>
          <w:rFonts w:ascii="Arial" w:eastAsia="Times New Roman" w:hAnsi="Arial" w:cs="Arial"/>
          <w:sz w:val="24"/>
          <w:szCs w:val="24"/>
          <w:lang w:eastAsia="en-GB"/>
        </w:rPr>
        <w:t xml:space="preserve">has </w:t>
      </w:r>
      <w:r w:rsidR="00DB7B4A" w:rsidRPr="00DB7B4A">
        <w:rPr>
          <w:rFonts w:ascii="Arial" w:eastAsia="Times New Roman" w:hAnsi="Arial" w:cs="Arial"/>
          <w:sz w:val="24"/>
          <w:szCs w:val="24"/>
          <w:lang w:eastAsia="en-GB"/>
        </w:rPr>
        <w:t>set the overall strategic direction and vision for the economic, social and environmental wellbeing of th</w:t>
      </w:r>
      <w:r w:rsidR="00A75668">
        <w:rPr>
          <w:rFonts w:ascii="Arial" w:eastAsia="Times New Roman" w:hAnsi="Arial" w:cs="Arial"/>
          <w:sz w:val="24"/>
          <w:szCs w:val="24"/>
          <w:lang w:eastAsia="en-GB"/>
        </w:rPr>
        <w:t>e City of Nottingham and focused</w:t>
      </w:r>
      <w:r w:rsidR="00DB7B4A" w:rsidRPr="00DB7B4A">
        <w:rPr>
          <w:rFonts w:ascii="Arial" w:eastAsia="Times New Roman" w:hAnsi="Arial" w:cs="Arial"/>
          <w:sz w:val="24"/>
          <w:szCs w:val="24"/>
          <w:lang w:eastAsia="en-GB"/>
        </w:rPr>
        <w:t xml:space="preserve"> on the following six themes (with three important cross-cutting aims of Aspiration, Green and Fairness):</w:t>
      </w:r>
    </w:p>
    <w:p w14:paraId="56DBD256" w14:textId="77777777" w:rsidR="00DB7B4A" w:rsidRPr="00DB7B4A" w:rsidRDefault="00DB7B4A" w:rsidP="00517226">
      <w:pPr>
        <w:numPr>
          <w:ilvl w:val="1"/>
          <w:numId w:val="8"/>
        </w:numPr>
        <w:autoSpaceDE w:val="0"/>
        <w:autoSpaceDN w:val="0"/>
        <w:adjustRightInd w:val="0"/>
        <w:spacing w:after="0" w:line="240" w:lineRule="auto"/>
        <w:ind w:left="788" w:hanging="431"/>
        <w:jc w:val="both"/>
        <w:rPr>
          <w:rFonts w:ascii="Arial" w:eastAsia="Times New Roman" w:hAnsi="Arial" w:cs="Arial"/>
          <w:sz w:val="24"/>
          <w:szCs w:val="24"/>
          <w:lang w:eastAsia="en-GB"/>
        </w:rPr>
      </w:pPr>
      <w:r w:rsidRPr="00DB7B4A">
        <w:rPr>
          <w:rFonts w:ascii="Arial" w:eastAsia="Times New Roman" w:hAnsi="Arial" w:cs="Arial"/>
          <w:sz w:val="24"/>
          <w:szCs w:val="24"/>
          <w:lang w:eastAsia="en-GB"/>
        </w:rPr>
        <w:t xml:space="preserve">World Class Nottingham </w:t>
      </w:r>
    </w:p>
    <w:p w14:paraId="4A210F53" w14:textId="77777777" w:rsidR="00DB7B4A" w:rsidRPr="00DB7B4A" w:rsidRDefault="00DB7B4A" w:rsidP="00517226">
      <w:pPr>
        <w:numPr>
          <w:ilvl w:val="1"/>
          <w:numId w:val="8"/>
        </w:numPr>
        <w:autoSpaceDE w:val="0"/>
        <w:autoSpaceDN w:val="0"/>
        <w:adjustRightInd w:val="0"/>
        <w:spacing w:after="0" w:line="240" w:lineRule="auto"/>
        <w:ind w:left="788" w:hanging="431"/>
        <w:jc w:val="both"/>
        <w:rPr>
          <w:rFonts w:ascii="Arial" w:eastAsia="Times New Roman" w:hAnsi="Arial" w:cs="Arial"/>
          <w:sz w:val="24"/>
          <w:szCs w:val="24"/>
          <w:lang w:eastAsia="en-GB"/>
        </w:rPr>
      </w:pPr>
      <w:r w:rsidRPr="00DB7B4A">
        <w:rPr>
          <w:rFonts w:ascii="Arial" w:eastAsia="Times New Roman" w:hAnsi="Arial" w:cs="Arial"/>
          <w:sz w:val="24"/>
          <w:szCs w:val="24"/>
          <w:lang w:eastAsia="en-GB"/>
        </w:rPr>
        <w:t xml:space="preserve">Neighbourhood Nottingham </w:t>
      </w:r>
    </w:p>
    <w:p w14:paraId="7155B412" w14:textId="77777777" w:rsidR="00DB7B4A" w:rsidRPr="00DB7B4A" w:rsidRDefault="00DB7B4A" w:rsidP="00517226">
      <w:pPr>
        <w:numPr>
          <w:ilvl w:val="1"/>
          <w:numId w:val="8"/>
        </w:numPr>
        <w:autoSpaceDE w:val="0"/>
        <w:autoSpaceDN w:val="0"/>
        <w:adjustRightInd w:val="0"/>
        <w:spacing w:after="0" w:line="240" w:lineRule="auto"/>
        <w:ind w:left="788" w:hanging="431"/>
        <w:jc w:val="both"/>
        <w:rPr>
          <w:rFonts w:ascii="Arial" w:eastAsia="Times New Roman" w:hAnsi="Arial" w:cs="Arial"/>
          <w:sz w:val="24"/>
          <w:szCs w:val="24"/>
          <w:lang w:eastAsia="en-GB"/>
        </w:rPr>
      </w:pPr>
      <w:r w:rsidRPr="00DB7B4A">
        <w:rPr>
          <w:rFonts w:ascii="Arial" w:eastAsia="Times New Roman" w:hAnsi="Arial" w:cs="Arial"/>
          <w:sz w:val="24"/>
          <w:szCs w:val="24"/>
          <w:lang w:eastAsia="en-GB"/>
        </w:rPr>
        <w:t xml:space="preserve">Family Nottingham </w:t>
      </w:r>
    </w:p>
    <w:p w14:paraId="7FEA1D55" w14:textId="77777777" w:rsidR="00DB7B4A" w:rsidRPr="00DB7B4A" w:rsidRDefault="00DB7B4A" w:rsidP="00517226">
      <w:pPr>
        <w:numPr>
          <w:ilvl w:val="1"/>
          <w:numId w:val="8"/>
        </w:numPr>
        <w:autoSpaceDE w:val="0"/>
        <w:autoSpaceDN w:val="0"/>
        <w:adjustRightInd w:val="0"/>
        <w:spacing w:after="0" w:line="240" w:lineRule="auto"/>
        <w:ind w:left="788" w:hanging="431"/>
        <w:jc w:val="both"/>
        <w:rPr>
          <w:rFonts w:ascii="Arial" w:eastAsia="Times New Roman" w:hAnsi="Arial" w:cs="Arial"/>
          <w:sz w:val="24"/>
          <w:szCs w:val="24"/>
          <w:lang w:eastAsia="en-GB"/>
        </w:rPr>
      </w:pPr>
      <w:r w:rsidRPr="00DB7B4A">
        <w:rPr>
          <w:rFonts w:ascii="Arial" w:eastAsia="Times New Roman" w:hAnsi="Arial" w:cs="Arial"/>
          <w:sz w:val="24"/>
          <w:szCs w:val="24"/>
          <w:lang w:eastAsia="en-GB"/>
        </w:rPr>
        <w:t xml:space="preserve">Working Nottingham </w:t>
      </w:r>
    </w:p>
    <w:p w14:paraId="53743D64" w14:textId="77777777" w:rsidR="00DB7B4A" w:rsidRPr="00DB7B4A" w:rsidRDefault="00DB7B4A" w:rsidP="00517226">
      <w:pPr>
        <w:numPr>
          <w:ilvl w:val="1"/>
          <w:numId w:val="8"/>
        </w:numPr>
        <w:autoSpaceDE w:val="0"/>
        <w:autoSpaceDN w:val="0"/>
        <w:adjustRightInd w:val="0"/>
        <w:spacing w:after="0" w:line="240" w:lineRule="auto"/>
        <w:ind w:left="788" w:hanging="431"/>
        <w:jc w:val="both"/>
        <w:rPr>
          <w:rFonts w:ascii="Arial" w:eastAsia="Times New Roman" w:hAnsi="Arial" w:cs="Arial"/>
          <w:sz w:val="24"/>
          <w:szCs w:val="24"/>
          <w:lang w:eastAsia="en-GB"/>
        </w:rPr>
      </w:pPr>
      <w:r w:rsidRPr="00DB7B4A">
        <w:rPr>
          <w:rFonts w:ascii="Arial" w:eastAsia="Times New Roman" w:hAnsi="Arial" w:cs="Arial"/>
          <w:sz w:val="24"/>
          <w:szCs w:val="24"/>
          <w:lang w:eastAsia="en-GB"/>
        </w:rPr>
        <w:t xml:space="preserve">Safer Nottingham </w:t>
      </w:r>
    </w:p>
    <w:p w14:paraId="2D63F461" w14:textId="77777777" w:rsidR="00DB7B4A" w:rsidRPr="00DB7B4A" w:rsidRDefault="00DB7B4A" w:rsidP="00517226">
      <w:pPr>
        <w:numPr>
          <w:ilvl w:val="1"/>
          <w:numId w:val="8"/>
        </w:numPr>
        <w:autoSpaceDE w:val="0"/>
        <w:autoSpaceDN w:val="0"/>
        <w:adjustRightInd w:val="0"/>
        <w:spacing w:after="120" w:line="240" w:lineRule="auto"/>
        <w:ind w:left="788" w:hanging="431"/>
        <w:jc w:val="both"/>
        <w:rPr>
          <w:rFonts w:ascii="Arial" w:eastAsia="Times New Roman" w:hAnsi="Arial" w:cs="Arial"/>
          <w:sz w:val="24"/>
          <w:szCs w:val="24"/>
          <w:lang w:eastAsia="en-GB"/>
        </w:rPr>
      </w:pPr>
      <w:r w:rsidRPr="00DB7B4A">
        <w:rPr>
          <w:rFonts w:ascii="Arial" w:eastAsia="Times New Roman" w:hAnsi="Arial" w:cs="Arial"/>
          <w:sz w:val="24"/>
          <w:szCs w:val="24"/>
          <w:lang w:eastAsia="en-GB"/>
        </w:rPr>
        <w:t>Healthy Nottingham</w:t>
      </w:r>
    </w:p>
    <w:p w14:paraId="6EA2F8EA" w14:textId="77777777" w:rsidR="00FA5A3C" w:rsidRPr="00FC31C5" w:rsidRDefault="00FA5A3C" w:rsidP="00517226">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FC31C5">
        <w:rPr>
          <w:rFonts w:ascii="Arial" w:eastAsia="Times New Roman" w:hAnsi="Arial" w:cs="Arial"/>
          <w:sz w:val="24"/>
          <w:szCs w:val="24"/>
          <w:lang w:eastAsia="en-GB"/>
        </w:rPr>
        <w:t xml:space="preserve">Following elections in 2019 new plans and vision </w:t>
      </w:r>
      <w:r w:rsidR="005E0C92">
        <w:rPr>
          <w:rFonts w:ascii="Arial" w:eastAsia="Times New Roman" w:hAnsi="Arial" w:cs="Arial"/>
          <w:sz w:val="24"/>
          <w:szCs w:val="24"/>
          <w:lang w:eastAsia="en-GB"/>
        </w:rPr>
        <w:t>were</w:t>
      </w:r>
      <w:r w:rsidRPr="00FC31C5">
        <w:rPr>
          <w:rFonts w:ascii="Arial" w:eastAsia="Times New Roman" w:hAnsi="Arial" w:cs="Arial"/>
          <w:sz w:val="24"/>
          <w:szCs w:val="24"/>
          <w:lang w:eastAsia="en-GB"/>
        </w:rPr>
        <w:t xml:space="preserve"> developed supported by a fresh framework of performance indicators for the Council Plan, Nottingham Plan, corporate health, strategy and operations, together with citizen survey data and selected statutory returns.</w:t>
      </w:r>
    </w:p>
    <w:p w14:paraId="7D341460" w14:textId="77777777" w:rsidR="00DB7B4A" w:rsidRPr="005A3555" w:rsidRDefault="005A3555" w:rsidP="005A3555">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Pr>
          <w:rFonts w:ascii="Arial" w:eastAsia="Times New Roman" w:hAnsi="Arial" w:cs="Arial"/>
          <w:sz w:val="24"/>
          <w:szCs w:val="24"/>
          <w:lang w:eastAsia="en-GB"/>
        </w:rPr>
        <w:t>On economic issues, the Council works in partnership with many other organisations across administrative boundaries.  This includes:  Nottingham Growth Board (comprising Nottingham’s major employers and business support organisations); Nottingham and Nottinghamshire Economic Prosperity Committee; Metro Delivery Board (primarily with Derby City Council); D2N2 Local Enterprise Partnership and the Midlands Engine.</w:t>
      </w:r>
    </w:p>
    <w:p w14:paraId="51FEB251" w14:textId="77777777" w:rsidR="00DB7B4A" w:rsidRPr="00DB7B4A" w:rsidRDefault="00DB7B4A" w:rsidP="003D519D">
      <w:pPr>
        <w:numPr>
          <w:ilvl w:val="1"/>
          <w:numId w:val="1"/>
        </w:numPr>
        <w:autoSpaceDE w:val="0"/>
        <w:autoSpaceDN w:val="0"/>
        <w:adjustRightInd w:val="0"/>
        <w:spacing w:after="0" w:line="240" w:lineRule="auto"/>
        <w:ind w:left="567" w:hanging="567"/>
        <w:jc w:val="both"/>
        <w:rPr>
          <w:rFonts w:ascii="Arial" w:eastAsia="Times New Roman" w:hAnsi="Arial" w:cs="Arial"/>
          <w:sz w:val="24"/>
          <w:szCs w:val="24"/>
          <w:lang w:eastAsia="en-GB"/>
        </w:rPr>
      </w:pPr>
      <w:r w:rsidRPr="00FC31C5">
        <w:rPr>
          <w:rFonts w:ascii="Arial" w:eastAsia="Times New Roman" w:hAnsi="Arial" w:cs="Arial"/>
          <w:sz w:val="24"/>
          <w:szCs w:val="24"/>
          <w:lang w:eastAsia="en-GB"/>
        </w:rPr>
        <w:t>The Council Plan</w:t>
      </w:r>
      <w:r w:rsidRPr="00DB7B4A">
        <w:rPr>
          <w:rFonts w:ascii="Arial" w:eastAsia="Times New Roman" w:hAnsi="Arial" w:cs="Arial"/>
          <w:sz w:val="24"/>
          <w:szCs w:val="24"/>
          <w:lang w:eastAsia="en-GB"/>
        </w:rPr>
        <w:t xml:space="preserve">, </w:t>
      </w:r>
      <w:r w:rsidR="00AC5167">
        <w:rPr>
          <w:rFonts w:ascii="Arial" w:eastAsia="Times New Roman" w:hAnsi="Arial" w:cs="Arial"/>
          <w:sz w:val="24"/>
          <w:szCs w:val="24"/>
          <w:lang w:eastAsia="en-GB"/>
        </w:rPr>
        <w:t>was approved by councillors</w:t>
      </w:r>
      <w:r w:rsidR="001907DD">
        <w:rPr>
          <w:rFonts w:ascii="Arial" w:eastAsia="Times New Roman" w:hAnsi="Arial" w:cs="Arial"/>
          <w:sz w:val="24"/>
          <w:szCs w:val="24"/>
          <w:lang w:eastAsia="en-GB"/>
        </w:rPr>
        <w:t xml:space="preserve"> on 11</w:t>
      </w:r>
      <w:r w:rsidR="001907DD" w:rsidRPr="001907DD">
        <w:rPr>
          <w:rFonts w:ascii="Arial" w:eastAsia="Times New Roman" w:hAnsi="Arial" w:cs="Arial"/>
          <w:sz w:val="24"/>
          <w:szCs w:val="24"/>
          <w:vertAlign w:val="superscript"/>
          <w:lang w:eastAsia="en-GB"/>
        </w:rPr>
        <w:t>th</w:t>
      </w:r>
      <w:r w:rsidR="001907DD">
        <w:rPr>
          <w:rFonts w:ascii="Arial" w:eastAsia="Times New Roman" w:hAnsi="Arial" w:cs="Arial"/>
          <w:sz w:val="24"/>
          <w:szCs w:val="24"/>
          <w:lang w:eastAsia="en-GB"/>
        </w:rPr>
        <w:t xml:space="preserve"> November 2019</w:t>
      </w:r>
      <w:r w:rsidR="00AC5167">
        <w:rPr>
          <w:rFonts w:ascii="Arial" w:eastAsia="Times New Roman" w:hAnsi="Arial" w:cs="Arial"/>
          <w:sz w:val="24"/>
          <w:szCs w:val="24"/>
          <w:lang w:eastAsia="en-GB"/>
        </w:rPr>
        <w:t>. It</w:t>
      </w:r>
      <w:r w:rsidR="00EB5EB1">
        <w:rPr>
          <w:rFonts w:ascii="Arial" w:eastAsia="Times New Roman" w:hAnsi="Arial" w:cs="Arial"/>
          <w:sz w:val="24"/>
          <w:szCs w:val="24"/>
          <w:lang w:eastAsia="en-GB"/>
        </w:rPr>
        <w:t xml:space="preserve"> set</w:t>
      </w:r>
      <w:r w:rsidRPr="00DB7B4A">
        <w:rPr>
          <w:rFonts w:ascii="Arial" w:eastAsia="Times New Roman" w:hAnsi="Arial" w:cs="Arial"/>
          <w:sz w:val="24"/>
          <w:szCs w:val="24"/>
          <w:lang w:eastAsia="en-GB"/>
        </w:rPr>
        <w:t xml:space="preserve"> out the Council's ambitions for the city over the </w:t>
      </w:r>
      <w:r w:rsidR="00AC5167">
        <w:rPr>
          <w:rFonts w:ascii="Arial" w:eastAsia="Times New Roman" w:hAnsi="Arial" w:cs="Arial"/>
          <w:sz w:val="24"/>
          <w:szCs w:val="24"/>
          <w:lang w:eastAsia="en-GB"/>
        </w:rPr>
        <w:t>4</w:t>
      </w:r>
      <w:r w:rsidRPr="00DB7B4A">
        <w:rPr>
          <w:rFonts w:ascii="Arial" w:eastAsia="Times New Roman" w:hAnsi="Arial" w:cs="Arial"/>
          <w:sz w:val="24"/>
          <w:szCs w:val="24"/>
          <w:lang w:eastAsia="en-GB"/>
        </w:rPr>
        <w:t xml:space="preserve"> years up to 20</w:t>
      </w:r>
      <w:r w:rsidR="001907DD">
        <w:rPr>
          <w:rFonts w:ascii="Arial" w:eastAsia="Times New Roman" w:hAnsi="Arial" w:cs="Arial"/>
          <w:sz w:val="24"/>
          <w:szCs w:val="24"/>
          <w:lang w:eastAsia="en-GB"/>
        </w:rPr>
        <w:t>23</w:t>
      </w:r>
      <w:r w:rsidRPr="00DB7B4A">
        <w:rPr>
          <w:rFonts w:ascii="Arial" w:eastAsia="Times New Roman" w:hAnsi="Arial" w:cs="Arial"/>
          <w:sz w:val="24"/>
          <w:szCs w:val="24"/>
          <w:lang w:eastAsia="en-GB"/>
        </w:rPr>
        <w:t>. This includes the following 5 key objectives for the Council to deliver:</w:t>
      </w:r>
    </w:p>
    <w:p w14:paraId="330BA89D" w14:textId="77777777" w:rsidR="001907DD" w:rsidRPr="00DB7B4A" w:rsidRDefault="001907DD" w:rsidP="001907DD">
      <w:pPr>
        <w:numPr>
          <w:ilvl w:val="1"/>
          <w:numId w:val="7"/>
        </w:numPr>
        <w:autoSpaceDE w:val="0"/>
        <w:autoSpaceDN w:val="0"/>
        <w:adjustRightInd w:val="0"/>
        <w:spacing w:after="0" w:line="240" w:lineRule="auto"/>
        <w:ind w:left="788" w:hanging="431"/>
        <w:jc w:val="both"/>
        <w:rPr>
          <w:rFonts w:ascii="Arial" w:eastAsia="Times New Roman" w:hAnsi="Arial" w:cs="Arial"/>
          <w:sz w:val="24"/>
          <w:szCs w:val="24"/>
          <w:lang w:eastAsia="en-GB"/>
        </w:rPr>
      </w:pPr>
      <w:r w:rsidRPr="00DB7B4A">
        <w:rPr>
          <w:rFonts w:ascii="Arial" w:eastAsia="Times New Roman" w:hAnsi="Arial" w:cs="Arial"/>
          <w:sz w:val="24"/>
          <w:szCs w:val="24"/>
          <w:lang w:eastAsia="en-GB"/>
        </w:rPr>
        <w:t xml:space="preserve">Build </w:t>
      </w:r>
      <w:r>
        <w:rPr>
          <w:rFonts w:ascii="Arial" w:eastAsia="Times New Roman" w:hAnsi="Arial" w:cs="Arial"/>
          <w:sz w:val="24"/>
          <w:szCs w:val="24"/>
          <w:lang w:eastAsia="en-GB"/>
        </w:rPr>
        <w:t>or buy 1</w:t>
      </w:r>
      <w:r w:rsidRPr="00DB7B4A">
        <w:rPr>
          <w:rFonts w:ascii="Arial" w:eastAsia="Times New Roman" w:hAnsi="Arial" w:cs="Arial"/>
          <w:sz w:val="24"/>
          <w:szCs w:val="24"/>
          <w:lang w:eastAsia="en-GB"/>
        </w:rPr>
        <w:t>,</w:t>
      </w:r>
      <w:r>
        <w:rPr>
          <w:rFonts w:ascii="Arial" w:eastAsia="Times New Roman" w:hAnsi="Arial" w:cs="Arial"/>
          <w:sz w:val="24"/>
          <w:szCs w:val="24"/>
          <w:lang w:eastAsia="en-GB"/>
        </w:rPr>
        <w:t>000 Council or social</w:t>
      </w:r>
      <w:r w:rsidRPr="00DB7B4A">
        <w:rPr>
          <w:rFonts w:ascii="Arial" w:eastAsia="Times New Roman" w:hAnsi="Arial" w:cs="Arial"/>
          <w:sz w:val="24"/>
          <w:szCs w:val="24"/>
          <w:lang w:eastAsia="en-GB"/>
        </w:rPr>
        <w:t xml:space="preserve"> homes </w:t>
      </w:r>
      <w:r>
        <w:rPr>
          <w:rFonts w:ascii="Arial" w:eastAsia="Times New Roman" w:hAnsi="Arial" w:cs="Arial"/>
          <w:sz w:val="24"/>
          <w:szCs w:val="24"/>
          <w:lang w:eastAsia="en-GB"/>
        </w:rPr>
        <w:t>for rent</w:t>
      </w:r>
    </w:p>
    <w:p w14:paraId="61506B0C" w14:textId="77777777" w:rsidR="00DB7B4A" w:rsidRPr="00DB7B4A" w:rsidRDefault="001907DD" w:rsidP="001907DD">
      <w:pPr>
        <w:numPr>
          <w:ilvl w:val="1"/>
          <w:numId w:val="7"/>
        </w:numPr>
        <w:autoSpaceDE w:val="0"/>
        <w:autoSpaceDN w:val="0"/>
        <w:adjustRightInd w:val="0"/>
        <w:spacing w:after="0" w:line="240" w:lineRule="auto"/>
        <w:jc w:val="both"/>
        <w:rPr>
          <w:rFonts w:ascii="Arial" w:eastAsia="Times New Roman" w:hAnsi="Arial" w:cs="Arial"/>
          <w:sz w:val="24"/>
          <w:szCs w:val="24"/>
          <w:lang w:eastAsia="en-GB"/>
        </w:rPr>
      </w:pPr>
      <w:r w:rsidRPr="001907DD">
        <w:rPr>
          <w:rFonts w:ascii="Arial" w:eastAsia="Times New Roman" w:hAnsi="Arial" w:cs="Arial"/>
          <w:sz w:val="24"/>
          <w:szCs w:val="24"/>
          <w:lang w:eastAsia="en-GB"/>
        </w:rPr>
        <w:t>Create 15,000 new jobs for Nottingham people</w:t>
      </w:r>
      <w:r w:rsidR="00DB7B4A" w:rsidRPr="00DB7B4A">
        <w:rPr>
          <w:rFonts w:ascii="Arial" w:eastAsia="Times New Roman" w:hAnsi="Arial" w:cs="Arial"/>
          <w:sz w:val="24"/>
          <w:szCs w:val="24"/>
          <w:lang w:eastAsia="en-GB"/>
        </w:rPr>
        <w:t xml:space="preserve"> </w:t>
      </w:r>
    </w:p>
    <w:p w14:paraId="6527874B" w14:textId="77777777" w:rsidR="00DB7B4A" w:rsidRPr="001907DD" w:rsidRDefault="001907DD" w:rsidP="001907DD">
      <w:pPr>
        <w:numPr>
          <w:ilvl w:val="1"/>
          <w:numId w:val="7"/>
        </w:numPr>
        <w:autoSpaceDE w:val="0"/>
        <w:autoSpaceDN w:val="0"/>
        <w:adjustRightInd w:val="0"/>
        <w:spacing w:after="0" w:line="240" w:lineRule="auto"/>
        <w:jc w:val="both"/>
        <w:rPr>
          <w:rFonts w:ascii="Arial" w:eastAsia="Times New Roman" w:hAnsi="Arial" w:cs="Arial"/>
          <w:sz w:val="24"/>
          <w:szCs w:val="24"/>
          <w:lang w:eastAsia="en-GB"/>
        </w:rPr>
      </w:pPr>
      <w:r w:rsidRPr="001907DD">
        <w:rPr>
          <w:rFonts w:ascii="Arial" w:eastAsia="Times New Roman" w:hAnsi="Arial" w:cs="Arial"/>
          <w:sz w:val="24"/>
          <w:szCs w:val="24"/>
          <w:lang w:eastAsia="en-GB"/>
        </w:rPr>
        <w:t>Build a new Central Library, making it the best children’s</w:t>
      </w:r>
      <w:r>
        <w:rPr>
          <w:rFonts w:ascii="Arial" w:eastAsia="Times New Roman" w:hAnsi="Arial" w:cs="Arial"/>
          <w:sz w:val="24"/>
          <w:szCs w:val="24"/>
          <w:lang w:eastAsia="en-GB"/>
        </w:rPr>
        <w:t xml:space="preserve"> </w:t>
      </w:r>
      <w:r w:rsidRPr="001907DD">
        <w:rPr>
          <w:rFonts w:ascii="Arial" w:eastAsia="Times New Roman" w:hAnsi="Arial" w:cs="Arial"/>
          <w:sz w:val="24"/>
          <w:szCs w:val="24"/>
          <w:lang w:eastAsia="en-GB"/>
        </w:rPr>
        <w:t>library in the UK</w:t>
      </w:r>
      <w:r w:rsidR="00DB7B4A" w:rsidRPr="001907DD">
        <w:rPr>
          <w:rFonts w:ascii="Arial" w:eastAsia="Times New Roman" w:hAnsi="Arial" w:cs="Arial"/>
          <w:sz w:val="24"/>
          <w:szCs w:val="24"/>
          <w:lang w:eastAsia="en-GB"/>
        </w:rPr>
        <w:t xml:space="preserve"> </w:t>
      </w:r>
    </w:p>
    <w:p w14:paraId="387E4394" w14:textId="77777777" w:rsidR="00DB7B4A" w:rsidRPr="00DB7B4A" w:rsidRDefault="001907DD" w:rsidP="001907DD">
      <w:pPr>
        <w:numPr>
          <w:ilvl w:val="1"/>
          <w:numId w:val="7"/>
        </w:numPr>
        <w:autoSpaceDE w:val="0"/>
        <w:autoSpaceDN w:val="0"/>
        <w:adjustRightInd w:val="0"/>
        <w:spacing w:after="0" w:line="240" w:lineRule="auto"/>
        <w:jc w:val="both"/>
        <w:rPr>
          <w:rFonts w:ascii="Arial" w:eastAsia="Times New Roman" w:hAnsi="Arial" w:cs="Arial"/>
          <w:sz w:val="24"/>
          <w:szCs w:val="24"/>
          <w:lang w:eastAsia="en-GB"/>
        </w:rPr>
      </w:pPr>
      <w:r w:rsidRPr="001907DD">
        <w:rPr>
          <w:rFonts w:ascii="Arial" w:eastAsia="Times New Roman" w:hAnsi="Arial" w:cs="Arial"/>
          <w:sz w:val="24"/>
          <w:szCs w:val="24"/>
          <w:lang w:eastAsia="en-GB"/>
        </w:rPr>
        <w:t>Cut crime, and reduce anti-social behaviour by a quarter</w:t>
      </w:r>
      <w:r w:rsidR="00DB7B4A" w:rsidRPr="00DB7B4A">
        <w:rPr>
          <w:rFonts w:ascii="Arial" w:eastAsia="Times New Roman" w:hAnsi="Arial" w:cs="Arial"/>
          <w:sz w:val="24"/>
          <w:szCs w:val="24"/>
          <w:lang w:eastAsia="en-GB"/>
        </w:rPr>
        <w:t xml:space="preserve"> </w:t>
      </w:r>
    </w:p>
    <w:p w14:paraId="5EF35DDB" w14:textId="77777777" w:rsidR="00DB7B4A" w:rsidRPr="001907DD" w:rsidRDefault="001907DD" w:rsidP="00C000BA">
      <w:pPr>
        <w:numPr>
          <w:ilvl w:val="1"/>
          <w:numId w:val="7"/>
        </w:numPr>
        <w:autoSpaceDE w:val="0"/>
        <w:autoSpaceDN w:val="0"/>
        <w:adjustRightInd w:val="0"/>
        <w:spacing w:after="120" w:line="240" w:lineRule="auto"/>
        <w:jc w:val="both"/>
        <w:rPr>
          <w:rFonts w:ascii="Arial" w:eastAsia="Times New Roman" w:hAnsi="Arial" w:cs="Arial"/>
          <w:sz w:val="24"/>
          <w:szCs w:val="24"/>
          <w:lang w:eastAsia="en-GB"/>
        </w:rPr>
      </w:pPr>
      <w:r w:rsidRPr="001907DD">
        <w:rPr>
          <w:rFonts w:ascii="Arial" w:eastAsia="Times New Roman" w:hAnsi="Arial" w:cs="Arial"/>
          <w:sz w:val="24"/>
          <w:szCs w:val="24"/>
          <w:lang w:eastAsia="en-GB"/>
        </w:rPr>
        <w:t>Ensure Nottingham is the cleanest big city in England and keep neighbourhoods</w:t>
      </w:r>
      <w:r>
        <w:rPr>
          <w:rFonts w:ascii="Arial" w:eastAsia="Times New Roman" w:hAnsi="Arial" w:cs="Arial"/>
          <w:sz w:val="24"/>
          <w:szCs w:val="24"/>
          <w:lang w:eastAsia="en-GB"/>
        </w:rPr>
        <w:t xml:space="preserve"> </w:t>
      </w:r>
      <w:r w:rsidRPr="001907DD">
        <w:rPr>
          <w:rFonts w:ascii="Arial" w:eastAsia="Times New Roman" w:hAnsi="Arial" w:cs="Arial"/>
          <w:sz w:val="24"/>
          <w:szCs w:val="24"/>
          <w:lang w:eastAsia="en-GB"/>
        </w:rPr>
        <w:t>as clean as the city centre</w:t>
      </w:r>
    </w:p>
    <w:p w14:paraId="39647346" w14:textId="77777777" w:rsidR="00DB7B4A" w:rsidRDefault="00DB7B4A" w:rsidP="00517226">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DB7B4A">
        <w:rPr>
          <w:rFonts w:ascii="Arial" w:eastAsia="Times New Roman" w:hAnsi="Arial" w:cs="Arial"/>
          <w:sz w:val="24"/>
          <w:szCs w:val="24"/>
          <w:lang w:eastAsia="en-GB"/>
        </w:rPr>
        <w:t xml:space="preserve">The Council Plan </w:t>
      </w:r>
      <w:r w:rsidR="00737170">
        <w:rPr>
          <w:rFonts w:ascii="Arial" w:eastAsia="Times New Roman" w:hAnsi="Arial" w:cs="Arial"/>
          <w:sz w:val="24"/>
          <w:szCs w:val="24"/>
          <w:lang w:eastAsia="en-GB"/>
        </w:rPr>
        <w:t>puts</w:t>
      </w:r>
      <w:r w:rsidRPr="00DB7B4A">
        <w:rPr>
          <w:rFonts w:ascii="Arial" w:eastAsia="Times New Roman" w:hAnsi="Arial" w:cs="Arial"/>
          <w:sz w:val="24"/>
          <w:szCs w:val="24"/>
          <w:lang w:eastAsia="en-GB"/>
        </w:rPr>
        <w:t xml:space="preserve"> continued emphasis on placing citizens at </w:t>
      </w:r>
      <w:r w:rsidR="00AC5167">
        <w:rPr>
          <w:rFonts w:ascii="Arial" w:eastAsia="Times New Roman" w:hAnsi="Arial" w:cs="Arial"/>
          <w:sz w:val="24"/>
          <w:szCs w:val="24"/>
          <w:lang w:eastAsia="en-GB"/>
        </w:rPr>
        <w:t xml:space="preserve">the </w:t>
      </w:r>
      <w:r w:rsidRPr="00DB7B4A">
        <w:rPr>
          <w:rFonts w:ascii="Arial" w:eastAsia="Times New Roman" w:hAnsi="Arial" w:cs="Arial"/>
          <w:sz w:val="24"/>
          <w:szCs w:val="24"/>
          <w:lang w:eastAsia="en-GB"/>
        </w:rPr>
        <w:t xml:space="preserve">heart of everything the Council does. It has clear priorities with associated performance measures supported by delivery plans containing the key milestones and measures for each Plan priority.  </w:t>
      </w:r>
      <w:r w:rsidR="001907DD">
        <w:rPr>
          <w:rFonts w:ascii="Arial" w:eastAsia="Times New Roman" w:hAnsi="Arial" w:cs="Arial"/>
          <w:sz w:val="24"/>
          <w:szCs w:val="24"/>
          <w:lang w:eastAsia="en-GB"/>
        </w:rPr>
        <w:t xml:space="preserve">It also incorporates a review of outcomes from the previous Council Plan. </w:t>
      </w:r>
      <w:r w:rsidR="00B55F36">
        <w:rPr>
          <w:rFonts w:ascii="Arial" w:eastAsia="Times New Roman" w:hAnsi="Arial" w:cs="Arial"/>
          <w:sz w:val="24"/>
          <w:szCs w:val="24"/>
          <w:lang w:eastAsia="en-GB"/>
        </w:rPr>
        <w:t>T</w:t>
      </w:r>
      <w:r w:rsidRPr="00DB7B4A">
        <w:rPr>
          <w:rFonts w:ascii="Arial" w:eastAsia="Times New Roman" w:hAnsi="Arial" w:cs="Arial"/>
          <w:sz w:val="24"/>
          <w:szCs w:val="24"/>
          <w:lang w:eastAsia="en-GB"/>
        </w:rPr>
        <w:t xml:space="preserve">he Corporate Leadership Team manages major changes, including all internal transformational projects and programmes, which together ensure that the Council is well placed to lead Nottingham and optimise what it does for and on behalf of its citizens. </w:t>
      </w:r>
    </w:p>
    <w:p w14:paraId="5DA720AA" w14:textId="77777777" w:rsidR="00D173C3" w:rsidRPr="00D173C3" w:rsidRDefault="00D173C3" w:rsidP="00D173C3">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D173C3">
        <w:rPr>
          <w:rFonts w:ascii="Arial" w:eastAsia="Times New Roman" w:hAnsi="Arial" w:cs="Arial"/>
          <w:sz w:val="24"/>
          <w:szCs w:val="24"/>
          <w:lang w:eastAsia="en-GB"/>
        </w:rPr>
        <w:t>A robust system of regular monitoring and reporting on performance against priorities and targets is in place, with Portfolio Holders will receive progress reports on performance throughout the lifetime of the Plan. The detailed performance of the Plan will be reviewed and updated. This will allow achievements, revised improvement targets and new activities to be incorporated and ensure that the annual budgeting</w:t>
      </w:r>
      <w:r>
        <w:rPr>
          <w:rFonts w:ascii="Arial" w:eastAsia="Times New Roman" w:hAnsi="Arial" w:cs="Arial"/>
          <w:sz w:val="24"/>
          <w:szCs w:val="24"/>
          <w:lang w:eastAsia="en-GB"/>
        </w:rPr>
        <w:t xml:space="preserve"> </w:t>
      </w:r>
      <w:r w:rsidRPr="00D173C3">
        <w:rPr>
          <w:rFonts w:ascii="Arial" w:eastAsia="Times New Roman" w:hAnsi="Arial" w:cs="Arial"/>
          <w:sz w:val="24"/>
          <w:szCs w:val="24"/>
          <w:lang w:eastAsia="en-GB"/>
        </w:rPr>
        <w:t>cycle.</w:t>
      </w:r>
    </w:p>
    <w:p w14:paraId="6F9D0A99" w14:textId="77777777" w:rsidR="00DB7B4A" w:rsidRPr="00DB7B4A" w:rsidRDefault="00DB7B4A" w:rsidP="00517226">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DB7B4A">
        <w:rPr>
          <w:rFonts w:ascii="Arial" w:eastAsia="Times New Roman" w:hAnsi="Arial" w:cs="Arial"/>
          <w:sz w:val="24"/>
          <w:szCs w:val="24"/>
          <w:lang w:eastAsia="en-GB"/>
        </w:rPr>
        <w:lastRenderedPageBreak/>
        <w:t xml:space="preserve">A corporate template was developed in 2016, which is followed by the majority of services in constructing their business plans. Business plans capture how the Council delivers the Council Plan objectives. These in turn feature in colleagues' own Performance Appraisals to detail how the work they do contributes to the delivery of the </w:t>
      </w:r>
      <w:r w:rsidR="00AC5167">
        <w:rPr>
          <w:rFonts w:ascii="Arial" w:eastAsia="Times New Roman" w:hAnsi="Arial" w:cs="Arial"/>
          <w:sz w:val="24"/>
          <w:szCs w:val="24"/>
          <w:lang w:eastAsia="en-GB"/>
        </w:rPr>
        <w:t xml:space="preserve">Council's key priorities. </w:t>
      </w:r>
    </w:p>
    <w:p w14:paraId="76AC7E8C" w14:textId="77777777" w:rsidR="00DB7B4A" w:rsidRPr="00DB7B4A" w:rsidRDefault="00DB7B4A" w:rsidP="00517226">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DB7B4A">
        <w:rPr>
          <w:rFonts w:ascii="Arial" w:eastAsia="Times New Roman" w:hAnsi="Arial" w:cs="Arial"/>
          <w:sz w:val="24"/>
          <w:szCs w:val="24"/>
          <w:lang w:eastAsia="en-GB"/>
        </w:rPr>
        <w:t xml:space="preserve">The Council Plan and other key plans such as the Children &amp; Young People’s Plan are </w:t>
      </w:r>
      <w:r w:rsidR="00AC1B2D">
        <w:rPr>
          <w:rFonts w:ascii="Arial" w:eastAsia="Times New Roman" w:hAnsi="Arial" w:cs="Arial"/>
          <w:sz w:val="24"/>
          <w:szCs w:val="24"/>
          <w:lang w:eastAsia="en-GB"/>
        </w:rPr>
        <w:t xml:space="preserve">agreed by Full Council and </w:t>
      </w:r>
      <w:r w:rsidRPr="00DB7B4A">
        <w:rPr>
          <w:rFonts w:ascii="Arial" w:eastAsia="Times New Roman" w:hAnsi="Arial" w:cs="Arial"/>
          <w:sz w:val="24"/>
          <w:szCs w:val="24"/>
          <w:lang w:eastAsia="en-GB"/>
        </w:rPr>
        <w:t>published and are available to all members of the public.  Financial statements are published annually and equally the Medium Term Financial Strategy (MTFS) is a publicly accessible document. Regular updates and reviews ensure consistency within plans and reflect national developments including the effects of reduced Government funding. Ultimately this means the Council’s priorities and those of its key partners</w:t>
      </w:r>
      <w:r w:rsidR="00AC5167">
        <w:rPr>
          <w:rFonts w:ascii="Arial" w:eastAsia="Times New Roman" w:hAnsi="Arial" w:cs="Arial"/>
          <w:sz w:val="24"/>
          <w:szCs w:val="24"/>
          <w:lang w:eastAsia="en-GB"/>
        </w:rPr>
        <w:t>,</w:t>
      </w:r>
      <w:r w:rsidRPr="00DB7B4A">
        <w:rPr>
          <w:rFonts w:ascii="Arial" w:eastAsia="Times New Roman" w:hAnsi="Arial" w:cs="Arial"/>
          <w:sz w:val="24"/>
          <w:szCs w:val="24"/>
          <w:lang w:eastAsia="en-GB"/>
        </w:rPr>
        <w:t xml:space="preserve"> over both the short and long term, are in accord. The principles underpinning the Plan are summarised in the updat</w:t>
      </w:r>
      <w:r w:rsidR="00AC5167">
        <w:rPr>
          <w:rFonts w:ascii="Arial" w:eastAsia="Times New Roman" w:hAnsi="Arial" w:cs="Arial"/>
          <w:sz w:val="24"/>
          <w:szCs w:val="24"/>
          <w:lang w:eastAsia="en-GB"/>
        </w:rPr>
        <w:t>ed Council’s ‘Message Map’</w:t>
      </w:r>
      <w:r w:rsidRPr="00DB7B4A">
        <w:rPr>
          <w:rFonts w:ascii="Arial" w:eastAsia="Times New Roman" w:hAnsi="Arial" w:cs="Arial"/>
          <w:sz w:val="24"/>
          <w:szCs w:val="24"/>
          <w:lang w:eastAsia="en-GB"/>
        </w:rPr>
        <w:t xml:space="preserve">, which illustrates the direction and focus for the Council. </w:t>
      </w:r>
    </w:p>
    <w:p w14:paraId="527FC183" w14:textId="77777777" w:rsidR="00DB7B4A" w:rsidRPr="00DB7B4A" w:rsidRDefault="00DB7B4A" w:rsidP="00517226">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DB7B4A">
        <w:rPr>
          <w:rFonts w:ascii="Arial" w:eastAsia="Times New Roman" w:hAnsi="Arial" w:cs="Arial"/>
          <w:sz w:val="24"/>
          <w:szCs w:val="24"/>
          <w:lang w:eastAsia="en-GB"/>
        </w:rPr>
        <w:t xml:space="preserve">Portfolio Holders and the Executive Board make decisions based upon </w:t>
      </w:r>
      <w:r w:rsidR="005C2FB9">
        <w:rPr>
          <w:rFonts w:ascii="Arial" w:eastAsia="Times New Roman" w:hAnsi="Arial" w:cs="Arial"/>
          <w:sz w:val="24"/>
          <w:szCs w:val="24"/>
          <w:lang w:eastAsia="en-GB"/>
        </w:rPr>
        <w:t>Chief Officer</w:t>
      </w:r>
      <w:r w:rsidRPr="00DB7B4A">
        <w:rPr>
          <w:rFonts w:ascii="Arial" w:eastAsia="Times New Roman" w:hAnsi="Arial" w:cs="Arial"/>
          <w:sz w:val="24"/>
          <w:szCs w:val="24"/>
          <w:lang w:eastAsia="en-GB"/>
        </w:rPr>
        <w:t xml:space="preserve"> </w:t>
      </w:r>
      <w:r w:rsidR="00537F27">
        <w:rPr>
          <w:rFonts w:ascii="Arial" w:eastAsia="Times New Roman" w:hAnsi="Arial" w:cs="Arial"/>
          <w:sz w:val="24"/>
          <w:szCs w:val="24"/>
          <w:lang w:eastAsia="en-GB"/>
        </w:rPr>
        <w:t xml:space="preserve">professional policy </w:t>
      </w:r>
      <w:r w:rsidRPr="00DB7B4A">
        <w:rPr>
          <w:rFonts w:ascii="Arial" w:eastAsia="Times New Roman" w:hAnsi="Arial" w:cs="Arial"/>
          <w:sz w:val="24"/>
          <w:szCs w:val="24"/>
          <w:lang w:eastAsia="en-GB"/>
        </w:rPr>
        <w:t>recommendations and in response to changing legal or financial obligations. The reports containing recommendations to be considered</w:t>
      </w:r>
      <w:r w:rsidR="00537F27">
        <w:rPr>
          <w:rFonts w:ascii="Arial" w:eastAsia="Times New Roman" w:hAnsi="Arial" w:cs="Arial"/>
          <w:sz w:val="24"/>
          <w:szCs w:val="24"/>
          <w:lang w:eastAsia="en-GB"/>
        </w:rPr>
        <w:t>,</w:t>
      </w:r>
      <w:r w:rsidRPr="00DB7B4A">
        <w:rPr>
          <w:rFonts w:ascii="Arial" w:eastAsia="Times New Roman" w:hAnsi="Arial" w:cs="Arial"/>
          <w:sz w:val="24"/>
          <w:szCs w:val="24"/>
          <w:lang w:eastAsia="en-GB"/>
        </w:rPr>
        <w:t xml:space="preserve"> clearly explain the technical issues and their implications and relate the recommended action to agreed policies and strategies. Where more than one course of action is possible the alternatives are analysed and justification given for the preferred choice. </w:t>
      </w:r>
    </w:p>
    <w:p w14:paraId="0A2F93C9" w14:textId="77777777" w:rsidR="009D2F42" w:rsidRDefault="009D2F42" w:rsidP="00517226">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Pr>
          <w:rFonts w:ascii="Arial" w:eastAsia="Times New Roman" w:hAnsi="Arial" w:cs="Arial"/>
          <w:sz w:val="24"/>
          <w:szCs w:val="24"/>
          <w:lang w:eastAsia="en-GB"/>
        </w:rPr>
        <w:t>T</w:t>
      </w:r>
      <w:r w:rsidRPr="00B55F36">
        <w:rPr>
          <w:rFonts w:ascii="Arial" w:eastAsia="Times New Roman" w:hAnsi="Arial" w:cs="Arial"/>
          <w:sz w:val="24"/>
          <w:szCs w:val="24"/>
          <w:lang w:eastAsia="en-GB"/>
        </w:rPr>
        <w:t>he</w:t>
      </w:r>
      <w:r>
        <w:rPr>
          <w:rFonts w:ascii="Arial" w:eastAsia="Times New Roman" w:hAnsi="Arial" w:cs="Arial"/>
          <w:sz w:val="24"/>
          <w:szCs w:val="24"/>
          <w:lang w:eastAsia="en-GB"/>
        </w:rPr>
        <w:t xml:space="preserve"> Report in the</w:t>
      </w:r>
      <w:r w:rsidRPr="00B55F36">
        <w:rPr>
          <w:rFonts w:ascii="Arial" w:eastAsia="Times New Roman" w:hAnsi="Arial" w:cs="Arial"/>
          <w:sz w:val="24"/>
          <w:szCs w:val="24"/>
          <w:lang w:eastAsia="en-GB"/>
        </w:rPr>
        <w:t xml:space="preserve"> Public Interest action plan</w:t>
      </w:r>
      <w:r>
        <w:rPr>
          <w:rFonts w:ascii="Arial" w:eastAsia="Times New Roman" w:hAnsi="Arial" w:cs="Arial"/>
          <w:sz w:val="24"/>
          <w:szCs w:val="24"/>
          <w:lang w:eastAsia="en-GB"/>
        </w:rPr>
        <w:t xml:space="preserve"> includes an action to enhance the effectiveness of the Over</w:t>
      </w:r>
      <w:r w:rsidRPr="00B55F36">
        <w:rPr>
          <w:rFonts w:ascii="Arial" w:eastAsia="Times New Roman" w:hAnsi="Arial" w:cs="Arial"/>
          <w:sz w:val="24"/>
          <w:szCs w:val="24"/>
          <w:lang w:eastAsia="en-GB"/>
        </w:rPr>
        <w:t xml:space="preserve">view and Scrutiny </w:t>
      </w:r>
      <w:r>
        <w:rPr>
          <w:rFonts w:ascii="Arial" w:eastAsia="Times New Roman" w:hAnsi="Arial" w:cs="Arial"/>
          <w:sz w:val="24"/>
          <w:szCs w:val="24"/>
          <w:lang w:eastAsia="en-GB"/>
        </w:rPr>
        <w:t>Committee and the Audit Committee.</w:t>
      </w:r>
    </w:p>
    <w:p w14:paraId="5E454DA6" w14:textId="77777777" w:rsidR="00DB7B4A" w:rsidRPr="00DB7B4A" w:rsidRDefault="00DB7B4A" w:rsidP="00517226">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DB7B4A">
        <w:rPr>
          <w:rFonts w:ascii="Arial" w:eastAsia="Times New Roman" w:hAnsi="Arial" w:cs="Arial"/>
          <w:sz w:val="24"/>
          <w:szCs w:val="24"/>
          <w:lang w:eastAsia="en-GB"/>
        </w:rPr>
        <w:t>Professional advice is taken in advance of decision-making</w:t>
      </w:r>
      <w:r w:rsidR="00BA4A7F">
        <w:rPr>
          <w:rFonts w:ascii="Arial" w:eastAsia="Times New Roman" w:hAnsi="Arial" w:cs="Arial"/>
          <w:sz w:val="24"/>
          <w:szCs w:val="24"/>
          <w:lang w:eastAsia="en-GB"/>
        </w:rPr>
        <w:t>, this is a key safeguard in protecting the Council and the decision-makers, and where possible professionals should be able to explain this advice publicly</w:t>
      </w:r>
      <w:r w:rsidRPr="00DB7B4A">
        <w:rPr>
          <w:rFonts w:ascii="Arial" w:eastAsia="Times New Roman" w:hAnsi="Arial" w:cs="Arial"/>
          <w:sz w:val="24"/>
          <w:szCs w:val="24"/>
          <w:lang w:eastAsia="en-GB"/>
        </w:rPr>
        <w:t>. Advice on legal and financial matters is taken from internal, and where necessary, external sources. Portfolio Holders also have a common responsibility to promote and be accountable for their services nationally and internationally as required.  They also represent the Council’s views on matters of corporate or strategic policy within their portfolio. The Leader of the Council also has responsibility to promote the City, the Council and its core values and objectives.</w:t>
      </w:r>
    </w:p>
    <w:p w14:paraId="23C0CC06" w14:textId="77777777" w:rsidR="00630B4D" w:rsidRDefault="00DB7B4A" w:rsidP="00517226">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DB7B4A">
        <w:rPr>
          <w:rFonts w:ascii="Arial" w:eastAsia="Times New Roman" w:hAnsi="Arial" w:cs="Arial"/>
          <w:sz w:val="24"/>
          <w:szCs w:val="24"/>
          <w:lang w:eastAsia="en-GB"/>
        </w:rPr>
        <w:t xml:space="preserve">The advice given will be contained within the </w:t>
      </w:r>
      <w:r w:rsidR="00903562">
        <w:rPr>
          <w:rFonts w:ascii="Arial" w:eastAsia="Times New Roman" w:hAnsi="Arial" w:cs="Arial"/>
          <w:sz w:val="24"/>
          <w:szCs w:val="24"/>
          <w:lang w:eastAsia="en-GB"/>
        </w:rPr>
        <w:t>decision</w:t>
      </w:r>
      <w:r w:rsidRPr="00DB7B4A">
        <w:rPr>
          <w:rFonts w:ascii="Arial" w:eastAsia="Times New Roman" w:hAnsi="Arial" w:cs="Arial"/>
          <w:sz w:val="24"/>
          <w:szCs w:val="24"/>
          <w:lang w:eastAsia="en-GB"/>
        </w:rPr>
        <w:t xml:space="preserve"> papers and will be presented to the appropriate meeting to facilitate discussion. Reports are circulated with the agenda where possible, to allow consideration in advance of the meeting at which a decision is to be taken. Where applicable</w:t>
      </w:r>
      <w:r w:rsidR="00AC5167">
        <w:rPr>
          <w:rFonts w:ascii="Arial" w:eastAsia="Times New Roman" w:hAnsi="Arial" w:cs="Arial"/>
          <w:sz w:val="24"/>
          <w:szCs w:val="24"/>
          <w:lang w:eastAsia="en-GB"/>
        </w:rPr>
        <w:t>,</w:t>
      </w:r>
      <w:r w:rsidRPr="00DB7B4A">
        <w:rPr>
          <w:rFonts w:ascii="Arial" w:eastAsia="Times New Roman" w:hAnsi="Arial" w:cs="Arial"/>
          <w:sz w:val="24"/>
          <w:szCs w:val="24"/>
          <w:lang w:eastAsia="en-GB"/>
        </w:rPr>
        <w:t xml:space="preserve"> the recommendation will be supported by appropriate external evidence or advice. Minutes of Council, Board and Committee meetings are available to the public.</w:t>
      </w:r>
      <w:r w:rsidR="005C2FB9">
        <w:rPr>
          <w:rFonts w:ascii="Arial" w:eastAsia="Times New Roman" w:hAnsi="Arial" w:cs="Arial"/>
          <w:sz w:val="24"/>
          <w:szCs w:val="24"/>
          <w:lang w:eastAsia="en-GB"/>
        </w:rPr>
        <w:t xml:space="preserve"> These meetings were not webcast before May 2020.</w:t>
      </w:r>
      <w:r w:rsidRPr="00DB7B4A">
        <w:rPr>
          <w:rFonts w:ascii="Arial" w:eastAsia="Times New Roman" w:hAnsi="Arial" w:cs="Arial"/>
          <w:sz w:val="24"/>
          <w:szCs w:val="24"/>
          <w:lang w:eastAsia="en-GB"/>
        </w:rPr>
        <w:t xml:space="preserve"> </w:t>
      </w:r>
      <w:r w:rsidR="00630B4D" w:rsidRPr="00630B4D">
        <w:rPr>
          <w:rFonts w:ascii="Arial" w:eastAsia="Times New Roman" w:hAnsi="Arial" w:cs="Arial"/>
          <w:sz w:val="24"/>
          <w:szCs w:val="24"/>
          <w:lang w:eastAsia="en-GB"/>
        </w:rPr>
        <w:t xml:space="preserve"> </w:t>
      </w:r>
    </w:p>
    <w:p w14:paraId="365FB92E" w14:textId="49C35FD8" w:rsidR="009D2F42" w:rsidRPr="00630B4D" w:rsidRDefault="009D2F42" w:rsidP="00517226">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The Council is reviewing its governance arrangements and part of this review will look at how well the </w:t>
      </w:r>
      <w:r w:rsidR="00222677">
        <w:rPr>
          <w:rFonts w:ascii="Arial" w:eastAsia="Times New Roman" w:hAnsi="Arial" w:cs="Arial"/>
          <w:sz w:val="24"/>
          <w:szCs w:val="24"/>
          <w:lang w:eastAsia="en-GB"/>
        </w:rPr>
        <w:t xml:space="preserve">formal </w:t>
      </w:r>
      <w:r>
        <w:rPr>
          <w:rFonts w:ascii="Arial" w:eastAsia="Times New Roman" w:hAnsi="Arial" w:cs="Arial"/>
          <w:sz w:val="24"/>
          <w:szCs w:val="24"/>
          <w:lang w:eastAsia="en-GB"/>
        </w:rPr>
        <w:t>advice arrangements work.</w:t>
      </w:r>
    </w:p>
    <w:p w14:paraId="114FD9A1" w14:textId="77777777" w:rsidR="00630B4D" w:rsidRPr="00630B4D" w:rsidRDefault="00630B4D" w:rsidP="00630B4D">
      <w:pPr>
        <w:keepNext/>
        <w:keepLines/>
        <w:spacing w:before="200" w:after="0"/>
        <w:outlineLvl w:val="1"/>
        <w:rPr>
          <w:rFonts w:ascii="Cambria" w:eastAsia="Times New Roman" w:hAnsi="Cambria" w:cs="Times New Roman"/>
          <w:b/>
          <w:bCs/>
          <w:color w:val="4F81BD"/>
          <w:sz w:val="26"/>
          <w:szCs w:val="26"/>
        </w:rPr>
      </w:pPr>
      <w:r w:rsidRPr="00630B4D">
        <w:rPr>
          <w:rFonts w:ascii="Cambria" w:eastAsia="Times New Roman" w:hAnsi="Cambria" w:cs="Times New Roman"/>
          <w:b/>
          <w:bCs/>
          <w:color w:val="4F81BD"/>
          <w:sz w:val="26"/>
          <w:szCs w:val="26"/>
        </w:rPr>
        <w:t>D. Determining the interventions necessary to optimise the achievement of the intended outcomes</w:t>
      </w:r>
    </w:p>
    <w:p w14:paraId="3F5CA6A4" w14:textId="77777777" w:rsidR="00630B4D" w:rsidRPr="00630B4D" w:rsidRDefault="00630B4D" w:rsidP="0038335F">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630B4D">
        <w:rPr>
          <w:rFonts w:ascii="Arial" w:eastAsia="Times New Roman" w:hAnsi="Arial" w:cs="Arial"/>
          <w:sz w:val="24"/>
          <w:szCs w:val="24"/>
          <w:lang w:eastAsia="en-GB"/>
        </w:rPr>
        <w:t xml:space="preserve">The Corporate Leadership Team (CLT) manages major changes, including all internal transformational projects and programmes, which together ensure that </w:t>
      </w:r>
      <w:r w:rsidRPr="00630B4D">
        <w:rPr>
          <w:rFonts w:ascii="Arial" w:eastAsia="Times New Roman" w:hAnsi="Arial" w:cs="Arial"/>
          <w:sz w:val="24"/>
          <w:szCs w:val="24"/>
          <w:lang w:eastAsia="en-GB"/>
        </w:rPr>
        <w:lastRenderedPageBreak/>
        <w:t>the Council is well placed to lead Nottingham and optimise what it does for and on behalf of its citizens. </w:t>
      </w:r>
    </w:p>
    <w:p w14:paraId="6071C169" w14:textId="77777777" w:rsidR="00630B4D" w:rsidRPr="00630B4D" w:rsidRDefault="00630B4D" w:rsidP="0038335F">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630B4D">
        <w:rPr>
          <w:rFonts w:ascii="Arial" w:eastAsia="Times New Roman" w:hAnsi="Arial" w:cs="Arial"/>
          <w:sz w:val="24"/>
          <w:szCs w:val="24"/>
          <w:lang w:eastAsia="en-GB"/>
        </w:rPr>
        <w:t>Progress monitoring of the Council Plan is undertaken quarterly through a series of exception reports to both CLT and Council Executive. Business plans are in place for all key Council services and the actions and performance indicators are monitored quarterly, reviewed, and refreshed on an annual basis.</w:t>
      </w:r>
    </w:p>
    <w:p w14:paraId="0715BF33" w14:textId="7E968D07" w:rsidR="00630B4D" w:rsidRPr="00630B4D" w:rsidRDefault="00630B4D" w:rsidP="0038335F">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630B4D">
        <w:rPr>
          <w:rFonts w:ascii="Arial" w:eastAsia="Times New Roman" w:hAnsi="Arial" w:cs="Arial"/>
          <w:sz w:val="24"/>
          <w:szCs w:val="24"/>
          <w:lang w:eastAsia="en-GB"/>
        </w:rPr>
        <w:t xml:space="preserve">The Council’s </w:t>
      </w:r>
      <w:r w:rsidRPr="00222677">
        <w:rPr>
          <w:rFonts w:ascii="Arial" w:eastAsia="Times New Roman" w:hAnsi="Arial" w:cs="Arial"/>
          <w:sz w:val="24"/>
          <w:szCs w:val="24"/>
          <w:lang w:eastAsia="en-GB"/>
        </w:rPr>
        <w:t>E</w:t>
      </w:r>
      <w:r w:rsidRPr="00630B4D">
        <w:rPr>
          <w:rFonts w:ascii="Arial" w:eastAsia="Times New Roman" w:hAnsi="Arial" w:cs="Arial"/>
          <w:sz w:val="24"/>
          <w:szCs w:val="24"/>
          <w:lang w:eastAsia="en-GB"/>
        </w:rPr>
        <w:t>arly Intervention approach provides integrated support to children, adults and families as soon as a problem begins to emerge or where there is a strong likelihood that problems will emerge in the future. In addition</w:t>
      </w:r>
      <w:r w:rsidR="00903562">
        <w:rPr>
          <w:rFonts w:ascii="Arial" w:eastAsia="Times New Roman" w:hAnsi="Arial" w:cs="Arial"/>
          <w:sz w:val="24"/>
          <w:szCs w:val="24"/>
          <w:lang w:eastAsia="en-GB"/>
        </w:rPr>
        <w:t>,</w:t>
      </w:r>
      <w:r w:rsidRPr="00630B4D">
        <w:rPr>
          <w:rFonts w:ascii="Arial" w:eastAsia="Times New Roman" w:hAnsi="Arial" w:cs="Arial"/>
          <w:sz w:val="24"/>
          <w:szCs w:val="24"/>
          <w:lang w:eastAsia="en-GB"/>
        </w:rPr>
        <w:t xml:space="preserve"> by focussing on root causes there is an aim to prevent or reduce future demand for specialist services bringing down costs in the long term.</w:t>
      </w:r>
    </w:p>
    <w:p w14:paraId="6854CA23" w14:textId="77777777" w:rsidR="00630B4D" w:rsidRPr="003433B1" w:rsidRDefault="00517226" w:rsidP="00517226">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EB5EB1">
        <w:rPr>
          <w:rFonts w:ascii="Arial" w:eastAsia="Times New Roman" w:hAnsi="Arial" w:cs="Arial"/>
          <w:sz w:val="24"/>
          <w:szCs w:val="24"/>
          <w:lang w:eastAsia="en-GB"/>
        </w:rPr>
        <w:t>During 201</w:t>
      </w:r>
      <w:r w:rsidR="00E31BA6">
        <w:rPr>
          <w:rFonts w:ascii="Arial" w:eastAsia="Times New Roman" w:hAnsi="Arial" w:cs="Arial"/>
          <w:sz w:val="24"/>
          <w:szCs w:val="24"/>
          <w:lang w:eastAsia="en-GB"/>
        </w:rPr>
        <w:t>9</w:t>
      </w:r>
      <w:r w:rsidR="003A1480" w:rsidRPr="00EB5EB1">
        <w:rPr>
          <w:rFonts w:ascii="Arial" w:eastAsia="Times New Roman" w:hAnsi="Arial" w:cs="Arial"/>
          <w:sz w:val="24"/>
          <w:szCs w:val="24"/>
          <w:lang w:eastAsia="en-GB"/>
        </w:rPr>
        <w:t>-</w:t>
      </w:r>
      <w:r w:rsidR="00E31BA6">
        <w:rPr>
          <w:rFonts w:ascii="Arial" w:eastAsia="Times New Roman" w:hAnsi="Arial" w:cs="Arial"/>
          <w:sz w:val="24"/>
          <w:szCs w:val="24"/>
          <w:lang w:eastAsia="en-GB"/>
        </w:rPr>
        <w:t>20</w:t>
      </w:r>
      <w:r w:rsidRPr="00EB5EB1">
        <w:rPr>
          <w:rFonts w:ascii="Arial" w:eastAsia="Times New Roman" w:hAnsi="Arial" w:cs="Arial"/>
          <w:sz w:val="24"/>
          <w:szCs w:val="24"/>
          <w:lang w:eastAsia="en-GB"/>
        </w:rPr>
        <w:t xml:space="preserve"> </w:t>
      </w:r>
      <w:r w:rsidR="003A1480" w:rsidRPr="00EB5EB1">
        <w:rPr>
          <w:rFonts w:ascii="Arial" w:eastAsia="Times New Roman" w:hAnsi="Arial" w:cs="Arial"/>
          <w:sz w:val="24"/>
          <w:szCs w:val="24"/>
          <w:lang w:eastAsia="en-GB"/>
        </w:rPr>
        <w:t xml:space="preserve">the corporate performance system has been </w:t>
      </w:r>
      <w:r w:rsidR="00E31BA6">
        <w:rPr>
          <w:rFonts w:ascii="Arial" w:eastAsia="Times New Roman" w:hAnsi="Arial" w:cs="Arial"/>
          <w:sz w:val="24"/>
          <w:szCs w:val="24"/>
          <w:lang w:eastAsia="en-GB"/>
        </w:rPr>
        <w:t>update</w:t>
      </w:r>
      <w:r w:rsidR="003A1480" w:rsidRPr="00EB5EB1">
        <w:rPr>
          <w:rFonts w:ascii="Arial" w:eastAsia="Times New Roman" w:hAnsi="Arial" w:cs="Arial"/>
          <w:sz w:val="24"/>
          <w:szCs w:val="24"/>
          <w:lang w:eastAsia="en-GB"/>
        </w:rPr>
        <w:t>d</w:t>
      </w:r>
      <w:r w:rsidR="00E31BA6">
        <w:rPr>
          <w:rFonts w:ascii="Arial" w:eastAsia="Times New Roman" w:hAnsi="Arial" w:cs="Arial"/>
          <w:sz w:val="24"/>
          <w:szCs w:val="24"/>
          <w:lang w:eastAsia="en-GB"/>
        </w:rPr>
        <w:t xml:space="preserve"> for the new Council Plan</w:t>
      </w:r>
      <w:r w:rsidR="00903562">
        <w:rPr>
          <w:rFonts w:ascii="Arial" w:eastAsia="Times New Roman" w:hAnsi="Arial" w:cs="Arial"/>
          <w:sz w:val="24"/>
          <w:szCs w:val="24"/>
          <w:lang w:eastAsia="en-GB"/>
        </w:rPr>
        <w:t>,</w:t>
      </w:r>
      <w:r w:rsidR="00E31BA6">
        <w:rPr>
          <w:rFonts w:ascii="Arial" w:eastAsia="Times New Roman" w:hAnsi="Arial" w:cs="Arial"/>
          <w:sz w:val="24"/>
          <w:szCs w:val="24"/>
          <w:lang w:eastAsia="en-GB"/>
        </w:rPr>
        <w:t xml:space="preserve"> including measures, </w:t>
      </w:r>
      <w:r w:rsidR="003A1480" w:rsidRPr="00EB5EB1">
        <w:rPr>
          <w:rFonts w:ascii="Arial" w:eastAsia="Times New Roman" w:hAnsi="Arial" w:cs="Arial"/>
          <w:sz w:val="24"/>
          <w:szCs w:val="24"/>
          <w:lang w:eastAsia="en-GB"/>
        </w:rPr>
        <w:t>p</w:t>
      </w:r>
      <w:r w:rsidRPr="00EB5EB1">
        <w:rPr>
          <w:rFonts w:ascii="Arial" w:eastAsia="Times New Roman" w:hAnsi="Arial" w:cs="Arial"/>
          <w:sz w:val="24"/>
          <w:szCs w:val="24"/>
          <w:lang w:eastAsia="en-GB"/>
        </w:rPr>
        <w:t>erformance data and commentary at departmental level,</w:t>
      </w:r>
      <w:r w:rsidR="003A1480" w:rsidRPr="00EB5EB1">
        <w:rPr>
          <w:rFonts w:ascii="Arial" w:eastAsia="Times New Roman" w:hAnsi="Arial" w:cs="Arial"/>
          <w:sz w:val="24"/>
          <w:szCs w:val="24"/>
          <w:lang w:eastAsia="en-GB"/>
        </w:rPr>
        <w:t xml:space="preserve"> graphs and customised dashboards </w:t>
      </w:r>
      <w:r w:rsidRPr="00EB5EB1">
        <w:rPr>
          <w:rFonts w:ascii="Arial" w:eastAsia="Times New Roman" w:hAnsi="Arial" w:cs="Arial"/>
          <w:sz w:val="24"/>
          <w:szCs w:val="24"/>
          <w:lang w:eastAsia="en-GB"/>
        </w:rPr>
        <w:t>to improve the contribution of performance management systems to achievement of intended outcomes</w:t>
      </w:r>
      <w:r w:rsidRPr="003433B1">
        <w:rPr>
          <w:rFonts w:ascii="Arial" w:eastAsia="Times New Roman" w:hAnsi="Arial" w:cs="Arial"/>
          <w:sz w:val="24"/>
          <w:szCs w:val="24"/>
          <w:lang w:eastAsia="en-GB"/>
        </w:rPr>
        <w:t>.</w:t>
      </w:r>
    </w:p>
    <w:p w14:paraId="17DB8CEA" w14:textId="77777777" w:rsidR="00630B4D" w:rsidRPr="00630B4D" w:rsidRDefault="00630B4D" w:rsidP="0038335F">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630B4D">
        <w:rPr>
          <w:rFonts w:ascii="Arial" w:eastAsia="Times New Roman" w:hAnsi="Arial" w:cs="Arial"/>
          <w:sz w:val="24"/>
          <w:szCs w:val="24"/>
          <w:lang w:eastAsia="en-GB"/>
        </w:rPr>
        <w:t>The Council’s budget monitoring arrangements exist to identify variance from the financial plan at an early stage</w:t>
      </w:r>
      <w:r w:rsidR="00903562">
        <w:rPr>
          <w:rFonts w:ascii="Arial" w:eastAsia="Times New Roman" w:hAnsi="Arial" w:cs="Arial"/>
          <w:sz w:val="24"/>
          <w:szCs w:val="24"/>
          <w:lang w:eastAsia="en-GB"/>
        </w:rPr>
        <w:t>,</w:t>
      </w:r>
      <w:r w:rsidRPr="00630B4D">
        <w:rPr>
          <w:rFonts w:ascii="Arial" w:eastAsia="Times New Roman" w:hAnsi="Arial" w:cs="Arial"/>
          <w:sz w:val="24"/>
          <w:szCs w:val="24"/>
          <w:lang w:eastAsia="en-GB"/>
        </w:rPr>
        <w:t xml:space="preserve"> allowing appropriate intervention to take place to understand and correct performance.</w:t>
      </w:r>
    </w:p>
    <w:p w14:paraId="5CB9AB92" w14:textId="77777777" w:rsidR="00630B4D" w:rsidRPr="00630B4D" w:rsidRDefault="00517226" w:rsidP="00517226">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517226">
        <w:rPr>
          <w:rFonts w:ascii="Arial" w:eastAsia="Times New Roman" w:hAnsi="Arial" w:cs="Arial"/>
          <w:sz w:val="24"/>
          <w:szCs w:val="24"/>
          <w:lang w:eastAsia="en-GB"/>
        </w:rPr>
        <w:t xml:space="preserve">During </w:t>
      </w:r>
      <w:r w:rsidR="00F46F49">
        <w:rPr>
          <w:rFonts w:ascii="Arial" w:eastAsia="Times New Roman" w:hAnsi="Arial" w:cs="Arial"/>
          <w:sz w:val="24"/>
          <w:szCs w:val="24"/>
          <w:lang w:eastAsia="en-GB"/>
        </w:rPr>
        <w:t>2019</w:t>
      </w:r>
      <w:r w:rsidR="00E31BA6">
        <w:rPr>
          <w:rFonts w:ascii="Arial" w:eastAsia="Times New Roman" w:hAnsi="Arial" w:cs="Arial"/>
          <w:sz w:val="24"/>
          <w:szCs w:val="24"/>
          <w:lang w:eastAsia="en-GB"/>
        </w:rPr>
        <w:t>-</w:t>
      </w:r>
      <w:r w:rsidR="00F46F49">
        <w:rPr>
          <w:rFonts w:ascii="Arial" w:eastAsia="Times New Roman" w:hAnsi="Arial" w:cs="Arial"/>
          <w:sz w:val="24"/>
          <w:szCs w:val="24"/>
          <w:lang w:eastAsia="en-GB"/>
        </w:rPr>
        <w:t>20</w:t>
      </w:r>
      <w:r w:rsidRPr="00517226">
        <w:rPr>
          <w:rFonts w:ascii="Arial" w:eastAsia="Times New Roman" w:hAnsi="Arial" w:cs="Arial"/>
          <w:sz w:val="24"/>
          <w:szCs w:val="24"/>
          <w:lang w:eastAsia="en-GB"/>
        </w:rPr>
        <w:t xml:space="preserve"> the Council has continued to restructure its operations to meet its responsibilities within the resources available</w:t>
      </w:r>
      <w:r w:rsidR="00630B4D" w:rsidRPr="00630B4D">
        <w:rPr>
          <w:rFonts w:ascii="Arial" w:eastAsia="Times New Roman" w:hAnsi="Arial" w:cs="Arial"/>
          <w:sz w:val="24"/>
          <w:szCs w:val="24"/>
          <w:lang w:eastAsia="en-GB"/>
        </w:rPr>
        <w:t xml:space="preserve">. </w:t>
      </w:r>
    </w:p>
    <w:p w14:paraId="59F7F394" w14:textId="77777777" w:rsidR="00630B4D" w:rsidRPr="00630B4D" w:rsidRDefault="00630B4D" w:rsidP="00630B4D">
      <w:pPr>
        <w:keepNext/>
        <w:keepLines/>
        <w:spacing w:before="200" w:after="0"/>
        <w:outlineLvl w:val="1"/>
        <w:rPr>
          <w:rFonts w:ascii="Cambria" w:eastAsia="Times New Roman" w:hAnsi="Cambria" w:cs="Times New Roman"/>
          <w:b/>
          <w:bCs/>
          <w:color w:val="4F81BD"/>
          <w:sz w:val="26"/>
          <w:szCs w:val="26"/>
        </w:rPr>
      </w:pPr>
      <w:r w:rsidRPr="00630B4D">
        <w:rPr>
          <w:rFonts w:ascii="Cambria" w:eastAsia="Times New Roman" w:hAnsi="Cambria" w:cs="Times New Roman"/>
          <w:b/>
          <w:bCs/>
          <w:color w:val="4F81BD"/>
          <w:sz w:val="26"/>
          <w:szCs w:val="26"/>
        </w:rPr>
        <w:t>E. Developing the entity’s capacity, including the capability of its leadership and the individuals within it</w:t>
      </w:r>
    </w:p>
    <w:p w14:paraId="1848520E" w14:textId="77777777" w:rsidR="00517226" w:rsidRPr="00517226" w:rsidRDefault="00517226" w:rsidP="00517226">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517226">
        <w:rPr>
          <w:rFonts w:ascii="Arial" w:eastAsia="Times New Roman" w:hAnsi="Arial" w:cs="Arial"/>
          <w:sz w:val="24"/>
          <w:szCs w:val="24"/>
          <w:lang w:eastAsia="en-GB"/>
        </w:rPr>
        <w:t xml:space="preserve">The Council holds all out elections every four years and the main councillor induction programme is delivered in the weeks following the election. Where a councillor is elected at a by-election an individual induction programme is held. Mandatory training as part of the induction includes training on safeguarding and on the Code of Conduct. The induction programme is developed by the Councillor Development Steering Group (CDSG) which is made up of cross-party </w:t>
      </w:r>
      <w:r w:rsidR="00903562">
        <w:rPr>
          <w:rFonts w:ascii="Arial" w:eastAsia="Times New Roman" w:hAnsi="Arial" w:cs="Arial"/>
          <w:sz w:val="24"/>
          <w:szCs w:val="24"/>
          <w:lang w:eastAsia="en-GB"/>
        </w:rPr>
        <w:t>c</w:t>
      </w:r>
      <w:r w:rsidRPr="00517226">
        <w:rPr>
          <w:rFonts w:ascii="Arial" w:eastAsia="Times New Roman" w:hAnsi="Arial" w:cs="Arial"/>
          <w:sz w:val="24"/>
          <w:szCs w:val="24"/>
          <w:lang w:eastAsia="en-GB"/>
        </w:rPr>
        <w:t xml:space="preserve">ouncillors and relevant colleagues. </w:t>
      </w:r>
      <w:r w:rsidR="006D6350">
        <w:rPr>
          <w:rFonts w:ascii="Arial" w:eastAsia="Times New Roman" w:hAnsi="Arial" w:cs="Arial"/>
          <w:sz w:val="24"/>
          <w:szCs w:val="24"/>
          <w:lang w:eastAsia="en-GB"/>
        </w:rPr>
        <w:t xml:space="preserve">New councillor </w:t>
      </w:r>
      <w:r w:rsidRPr="00517226">
        <w:rPr>
          <w:rFonts w:ascii="Arial" w:eastAsia="Times New Roman" w:hAnsi="Arial" w:cs="Arial"/>
          <w:sz w:val="24"/>
          <w:szCs w:val="24"/>
          <w:lang w:eastAsia="en-GB"/>
        </w:rPr>
        <w:t>induction</w:t>
      </w:r>
      <w:r w:rsidR="006D6350">
        <w:rPr>
          <w:rFonts w:ascii="Arial" w:eastAsia="Times New Roman" w:hAnsi="Arial" w:cs="Arial"/>
          <w:sz w:val="24"/>
          <w:szCs w:val="24"/>
          <w:lang w:eastAsia="en-GB"/>
        </w:rPr>
        <w:t>s are in place and largely completed following the City Council elections in</w:t>
      </w:r>
      <w:r w:rsidRPr="00517226">
        <w:rPr>
          <w:rFonts w:ascii="Arial" w:eastAsia="Times New Roman" w:hAnsi="Arial" w:cs="Arial"/>
          <w:sz w:val="24"/>
          <w:szCs w:val="24"/>
          <w:lang w:eastAsia="en-GB"/>
        </w:rPr>
        <w:t xml:space="preserve"> </w:t>
      </w:r>
      <w:r w:rsidR="006D6350" w:rsidRPr="00517226">
        <w:rPr>
          <w:rFonts w:ascii="Arial" w:eastAsia="Times New Roman" w:hAnsi="Arial" w:cs="Arial"/>
          <w:sz w:val="24"/>
          <w:szCs w:val="24"/>
          <w:lang w:eastAsia="en-GB"/>
        </w:rPr>
        <w:t>May 2019</w:t>
      </w:r>
      <w:r w:rsidRPr="00517226">
        <w:rPr>
          <w:rFonts w:ascii="Arial" w:eastAsia="Times New Roman" w:hAnsi="Arial" w:cs="Arial"/>
          <w:sz w:val="24"/>
          <w:szCs w:val="24"/>
          <w:lang w:eastAsia="en-GB"/>
        </w:rPr>
        <w:t xml:space="preserve">. As well as information/ training sessions the induction will also include an IT skills audit to support councillors in working electronically. </w:t>
      </w:r>
    </w:p>
    <w:p w14:paraId="29809C08" w14:textId="77777777" w:rsidR="00517226" w:rsidRPr="00517226" w:rsidRDefault="00517226" w:rsidP="00517226">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517226">
        <w:rPr>
          <w:rFonts w:ascii="Arial" w:eastAsia="Times New Roman" w:hAnsi="Arial" w:cs="Arial"/>
          <w:sz w:val="24"/>
          <w:szCs w:val="24"/>
          <w:lang w:eastAsia="en-GB"/>
        </w:rPr>
        <w:t xml:space="preserve">CDSG also manages the planning of in-year training for </w:t>
      </w:r>
      <w:r w:rsidR="00903562">
        <w:rPr>
          <w:rFonts w:ascii="Arial" w:eastAsia="Times New Roman" w:hAnsi="Arial" w:cs="Arial"/>
          <w:sz w:val="24"/>
          <w:szCs w:val="24"/>
          <w:lang w:eastAsia="en-GB"/>
        </w:rPr>
        <w:t>c</w:t>
      </w:r>
      <w:r w:rsidRPr="00517226">
        <w:rPr>
          <w:rFonts w:ascii="Arial" w:eastAsia="Times New Roman" w:hAnsi="Arial" w:cs="Arial"/>
          <w:sz w:val="24"/>
          <w:szCs w:val="24"/>
          <w:lang w:eastAsia="en-GB"/>
        </w:rPr>
        <w:t>ouncillors. Current planned training includes a range of ‘on the front line’ opportunities, training in GDPR and in the use of social media.</w:t>
      </w:r>
      <w:r w:rsidR="003D519D">
        <w:rPr>
          <w:rFonts w:ascii="Arial" w:eastAsia="Times New Roman" w:hAnsi="Arial" w:cs="Arial"/>
          <w:sz w:val="24"/>
          <w:szCs w:val="24"/>
          <w:lang w:eastAsia="en-GB"/>
        </w:rPr>
        <w:t xml:space="preserve"> Councillors also take advantage of LGA training.</w:t>
      </w:r>
    </w:p>
    <w:p w14:paraId="45EEBA8B" w14:textId="77777777" w:rsidR="00517226" w:rsidRPr="00EB5EB1" w:rsidRDefault="00517226" w:rsidP="00517226">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517226">
        <w:rPr>
          <w:rFonts w:ascii="Arial" w:eastAsia="Times New Roman" w:hAnsi="Arial" w:cs="Arial"/>
          <w:sz w:val="24"/>
          <w:szCs w:val="24"/>
          <w:lang w:eastAsia="en-GB"/>
        </w:rPr>
        <w:t xml:space="preserve">Following the adoption, in full, of the recommendations of the Independent Remuneration Panel in January 2017, a revised Members’ Allowances Scheme was implemented from May 2017. Details of the scheme are published on the Council’s website as part of the Constitution. Amounts paid to individual Councillors, including claims made under the scheme for the reimbursement of Travel, Subsistence and Carers’ Allowances are checked on a monthly basis </w:t>
      </w:r>
      <w:r w:rsidR="005F054C">
        <w:rPr>
          <w:rFonts w:ascii="Arial" w:eastAsia="Times New Roman" w:hAnsi="Arial" w:cs="Arial"/>
          <w:sz w:val="24"/>
          <w:szCs w:val="24"/>
          <w:lang w:eastAsia="en-GB"/>
        </w:rPr>
        <w:t xml:space="preserve">and both </w:t>
      </w:r>
      <w:r w:rsidR="00962A3C">
        <w:rPr>
          <w:rFonts w:ascii="Arial" w:eastAsia="Times New Roman" w:hAnsi="Arial" w:cs="Arial"/>
          <w:sz w:val="24"/>
          <w:szCs w:val="24"/>
          <w:lang w:eastAsia="en-GB"/>
        </w:rPr>
        <w:t xml:space="preserve">allowances and claims </w:t>
      </w:r>
      <w:r w:rsidRPr="00517226">
        <w:rPr>
          <w:rFonts w:ascii="Arial" w:eastAsia="Times New Roman" w:hAnsi="Arial" w:cs="Arial"/>
          <w:sz w:val="24"/>
          <w:szCs w:val="24"/>
          <w:lang w:eastAsia="en-GB"/>
        </w:rPr>
        <w:t xml:space="preserve">are publicised in line with legislative requirements. </w:t>
      </w:r>
      <w:r w:rsidRPr="00EB5EB1">
        <w:rPr>
          <w:rFonts w:ascii="Arial" w:eastAsia="Times New Roman" w:hAnsi="Arial" w:cs="Arial"/>
          <w:sz w:val="24"/>
          <w:szCs w:val="24"/>
          <w:lang w:eastAsia="en-GB"/>
        </w:rPr>
        <w:t>A</w:t>
      </w:r>
      <w:r w:rsidR="00962A3C">
        <w:rPr>
          <w:rFonts w:ascii="Arial" w:eastAsia="Times New Roman" w:hAnsi="Arial" w:cs="Arial"/>
          <w:sz w:val="24"/>
          <w:szCs w:val="24"/>
          <w:lang w:eastAsia="en-GB"/>
        </w:rPr>
        <w:t>n</w:t>
      </w:r>
      <w:r w:rsidRPr="00EB5EB1">
        <w:rPr>
          <w:rFonts w:ascii="Arial" w:eastAsia="Times New Roman" w:hAnsi="Arial" w:cs="Arial"/>
          <w:sz w:val="24"/>
          <w:szCs w:val="24"/>
          <w:lang w:eastAsia="en-GB"/>
        </w:rPr>
        <w:t xml:space="preserve"> audit of Members’ Allowances, con</w:t>
      </w:r>
      <w:r w:rsidR="005F054C" w:rsidRPr="00EB5EB1">
        <w:rPr>
          <w:rFonts w:ascii="Arial" w:eastAsia="Times New Roman" w:hAnsi="Arial" w:cs="Arial"/>
          <w:sz w:val="24"/>
          <w:szCs w:val="24"/>
          <w:lang w:eastAsia="en-GB"/>
        </w:rPr>
        <w:t>clud</w:t>
      </w:r>
      <w:r w:rsidRPr="00EB5EB1">
        <w:rPr>
          <w:rFonts w:ascii="Arial" w:eastAsia="Times New Roman" w:hAnsi="Arial" w:cs="Arial"/>
          <w:sz w:val="24"/>
          <w:szCs w:val="24"/>
          <w:lang w:eastAsia="en-GB"/>
        </w:rPr>
        <w:t xml:space="preserve">ed during </w:t>
      </w:r>
      <w:r w:rsidR="005F054C" w:rsidRPr="00EB5EB1">
        <w:rPr>
          <w:rFonts w:ascii="Arial" w:eastAsia="Times New Roman" w:hAnsi="Arial" w:cs="Arial"/>
          <w:sz w:val="24"/>
          <w:szCs w:val="24"/>
          <w:lang w:eastAsia="en-GB"/>
        </w:rPr>
        <w:t>April 2019</w:t>
      </w:r>
      <w:r w:rsidRPr="00EB5EB1">
        <w:rPr>
          <w:rFonts w:ascii="Arial" w:eastAsia="Times New Roman" w:hAnsi="Arial" w:cs="Arial"/>
          <w:sz w:val="24"/>
          <w:szCs w:val="24"/>
          <w:lang w:eastAsia="en-GB"/>
        </w:rPr>
        <w:t xml:space="preserve">, gave a rating of Significant Assurance (the highest </w:t>
      </w:r>
      <w:r w:rsidR="00962A3C">
        <w:rPr>
          <w:rFonts w:ascii="Arial" w:eastAsia="Times New Roman" w:hAnsi="Arial" w:cs="Arial"/>
          <w:sz w:val="24"/>
          <w:szCs w:val="24"/>
          <w:lang w:eastAsia="en-GB"/>
        </w:rPr>
        <w:t xml:space="preserve">level </w:t>
      </w:r>
      <w:r w:rsidRPr="00EB5EB1">
        <w:rPr>
          <w:rFonts w:ascii="Arial" w:eastAsia="Times New Roman" w:hAnsi="Arial" w:cs="Arial"/>
          <w:sz w:val="24"/>
          <w:szCs w:val="24"/>
          <w:lang w:eastAsia="en-GB"/>
        </w:rPr>
        <w:t>awarded).</w:t>
      </w:r>
    </w:p>
    <w:p w14:paraId="727745F4" w14:textId="77777777" w:rsidR="006D6350" w:rsidRDefault="006D6350" w:rsidP="00517226">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EB5EB1">
        <w:rPr>
          <w:rFonts w:ascii="Arial" w:eastAsia="Times New Roman" w:hAnsi="Arial" w:cs="Arial"/>
          <w:sz w:val="24"/>
          <w:szCs w:val="24"/>
          <w:lang w:eastAsia="en-GB"/>
        </w:rPr>
        <w:lastRenderedPageBreak/>
        <w:t xml:space="preserve">Succession planning </w:t>
      </w:r>
      <w:r w:rsidR="00324851">
        <w:rPr>
          <w:rFonts w:ascii="Arial" w:eastAsia="Times New Roman" w:hAnsi="Arial" w:cs="Arial"/>
          <w:sz w:val="24"/>
          <w:szCs w:val="24"/>
          <w:lang w:eastAsia="en-GB"/>
        </w:rPr>
        <w:t xml:space="preserve">ensured that </w:t>
      </w:r>
      <w:r w:rsidRPr="00EB5EB1">
        <w:rPr>
          <w:rFonts w:ascii="Arial" w:eastAsia="Times New Roman" w:hAnsi="Arial" w:cs="Arial"/>
          <w:sz w:val="24"/>
          <w:szCs w:val="24"/>
          <w:lang w:eastAsia="en-GB"/>
        </w:rPr>
        <w:t xml:space="preserve">the Deputy Monitoring Officer </w:t>
      </w:r>
      <w:r w:rsidR="00324851">
        <w:rPr>
          <w:rFonts w:ascii="Arial" w:eastAsia="Times New Roman" w:hAnsi="Arial" w:cs="Arial"/>
          <w:sz w:val="24"/>
          <w:szCs w:val="24"/>
          <w:lang w:eastAsia="en-GB"/>
        </w:rPr>
        <w:t>post was recruited to successfully in 2019-20</w:t>
      </w:r>
      <w:r>
        <w:rPr>
          <w:rFonts w:ascii="Arial" w:eastAsia="Times New Roman" w:hAnsi="Arial" w:cs="Arial"/>
          <w:sz w:val="24"/>
          <w:szCs w:val="24"/>
          <w:lang w:eastAsia="en-GB"/>
        </w:rPr>
        <w:t>.</w:t>
      </w:r>
    </w:p>
    <w:p w14:paraId="64C38B36" w14:textId="77777777" w:rsidR="006D6350" w:rsidRPr="00517226" w:rsidRDefault="006D6350" w:rsidP="00517226">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Pr>
          <w:rFonts w:ascii="Arial" w:eastAsia="Times New Roman" w:hAnsi="Arial" w:cs="Arial"/>
          <w:sz w:val="24"/>
          <w:szCs w:val="24"/>
          <w:lang w:eastAsia="en-GB"/>
        </w:rPr>
        <w:t>Further arrangements are being developed with regard to company governance with a view to strengthening the Council’s resilience and levels of control</w:t>
      </w:r>
      <w:r w:rsidR="009D2F42">
        <w:rPr>
          <w:rFonts w:ascii="Arial" w:eastAsia="Times New Roman" w:hAnsi="Arial" w:cs="Arial"/>
          <w:sz w:val="24"/>
          <w:szCs w:val="24"/>
          <w:lang w:eastAsia="en-GB"/>
        </w:rPr>
        <w:t>. This will be achieved</w:t>
      </w:r>
      <w:r w:rsidR="009D2F42" w:rsidRPr="009D2F42">
        <w:rPr>
          <w:rFonts w:ascii="Arial" w:eastAsia="Times New Roman" w:hAnsi="Arial" w:cs="Arial"/>
          <w:sz w:val="24"/>
          <w:szCs w:val="24"/>
          <w:lang w:eastAsia="en-GB"/>
        </w:rPr>
        <w:t xml:space="preserve"> </w:t>
      </w:r>
      <w:r w:rsidR="009D2F42">
        <w:rPr>
          <w:rFonts w:ascii="Arial" w:eastAsia="Times New Roman" w:hAnsi="Arial" w:cs="Arial"/>
          <w:sz w:val="24"/>
          <w:szCs w:val="24"/>
          <w:lang w:eastAsia="en-GB"/>
        </w:rPr>
        <w:t xml:space="preserve">through the Report in the Public Interest action plan, including </w:t>
      </w:r>
      <w:r w:rsidR="009D2F42" w:rsidRPr="009D2F42">
        <w:rPr>
          <w:rFonts w:ascii="Arial" w:eastAsia="Times New Roman" w:hAnsi="Arial" w:cs="Arial"/>
          <w:sz w:val="24"/>
          <w:szCs w:val="24"/>
          <w:lang w:eastAsia="en-GB"/>
        </w:rPr>
        <w:t>considerable work to be done on member training</w:t>
      </w:r>
      <w:r>
        <w:rPr>
          <w:rFonts w:ascii="Arial" w:eastAsia="Times New Roman" w:hAnsi="Arial" w:cs="Arial"/>
          <w:sz w:val="24"/>
          <w:szCs w:val="24"/>
          <w:lang w:eastAsia="en-GB"/>
        </w:rPr>
        <w:t xml:space="preserve">. </w:t>
      </w:r>
    </w:p>
    <w:p w14:paraId="3CC09446" w14:textId="77777777" w:rsidR="00630B4D" w:rsidRPr="00630B4D" w:rsidRDefault="00630B4D" w:rsidP="00630B4D">
      <w:pPr>
        <w:keepNext/>
        <w:keepLines/>
        <w:spacing w:before="200" w:after="0"/>
        <w:outlineLvl w:val="1"/>
        <w:rPr>
          <w:rFonts w:ascii="Cambria" w:eastAsia="Times New Roman" w:hAnsi="Cambria" w:cs="Times New Roman"/>
          <w:b/>
          <w:bCs/>
          <w:color w:val="4F81BD"/>
          <w:sz w:val="26"/>
          <w:szCs w:val="26"/>
        </w:rPr>
      </w:pPr>
      <w:r w:rsidRPr="00630B4D">
        <w:rPr>
          <w:rFonts w:ascii="Cambria" w:eastAsia="Times New Roman" w:hAnsi="Cambria" w:cs="Times New Roman"/>
          <w:b/>
          <w:bCs/>
          <w:color w:val="4F81BD"/>
          <w:sz w:val="26"/>
          <w:szCs w:val="26"/>
        </w:rPr>
        <w:t>F. Managing risks and performance through robust internal control and strong public financial management</w:t>
      </w:r>
    </w:p>
    <w:p w14:paraId="43050C5C" w14:textId="77777777" w:rsidR="008D402E" w:rsidRDefault="00F46F49" w:rsidP="008D402E">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Pr>
          <w:rFonts w:ascii="Arial" w:eastAsia="Times New Roman" w:hAnsi="Arial" w:cs="Arial"/>
          <w:sz w:val="24"/>
          <w:szCs w:val="24"/>
          <w:lang w:eastAsia="en-GB"/>
        </w:rPr>
        <w:t>A</w:t>
      </w:r>
      <w:r w:rsidR="001E389C" w:rsidRPr="00587646">
        <w:rPr>
          <w:rFonts w:ascii="Arial" w:eastAsia="Times New Roman" w:hAnsi="Arial" w:cs="Arial"/>
          <w:sz w:val="24"/>
          <w:szCs w:val="24"/>
          <w:lang w:eastAsia="en-GB"/>
        </w:rPr>
        <w:t xml:space="preserve"> refreshed </w:t>
      </w:r>
      <w:r w:rsidRPr="00587646">
        <w:rPr>
          <w:rFonts w:ascii="Arial" w:eastAsia="Times New Roman" w:hAnsi="Arial" w:cs="Arial"/>
          <w:sz w:val="24"/>
          <w:szCs w:val="24"/>
          <w:lang w:eastAsia="en-GB"/>
        </w:rPr>
        <w:t xml:space="preserve">Risk Management </w:t>
      </w:r>
      <w:r w:rsidR="001E389C" w:rsidRPr="00587646">
        <w:rPr>
          <w:rFonts w:ascii="Arial" w:eastAsia="Times New Roman" w:hAnsi="Arial" w:cs="Arial"/>
          <w:sz w:val="24"/>
          <w:szCs w:val="24"/>
          <w:lang w:eastAsia="en-GB"/>
        </w:rPr>
        <w:t>Framework and Strategy</w:t>
      </w:r>
      <w:r>
        <w:rPr>
          <w:rFonts w:ascii="Arial" w:eastAsia="Times New Roman" w:hAnsi="Arial" w:cs="Arial"/>
          <w:sz w:val="24"/>
          <w:szCs w:val="24"/>
          <w:lang w:eastAsia="en-GB"/>
        </w:rPr>
        <w:t xml:space="preserve"> was rolled out</w:t>
      </w:r>
      <w:r w:rsidR="001E389C" w:rsidRPr="00587646">
        <w:rPr>
          <w:rFonts w:ascii="Arial" w:eastAsia="Times New Roman" w:hAnsi="Arial" w:cs="Arial"/>
          <w:sz w:val="24"/>
          <w:szCs w:val="24"/>
          <w:lang w:eastAsia="en-GB"/>
        </w:rPr>
        <w:t xml:space="preserve"> in 2019/20, workshops </w:t>
      </w:r>
      <w:r w:rsidR="000D6BB7">
        <w:rPr>
          <w:rFonts w:ascii="Arial" w:eastAsia="Times New Roman" w:hAnsi="Arial" w:cs="Arial"/>
          <w:sz w:val="24"/>
          <w:szCs w:val="24"/>
          <w:lang w:eastAsia="en-GB"/>
        </w:rPr>
        <w:t>took place in 2019/20</w:t>
      </w:r>
      <w:r w:rsidR="001E389C" w:rsidRPr="00587646">
        <w:rPr>
          <w:rFonts w:ascii="Arial" w:eastAsia="Times New Roman" w:hAnsi="Arial" w:cs="Arial"/>
          <w:sz w:val="24"/>
          <w:szCs w:val="24"/>
          <w:lang w:eastAsia="en-GB"/>
        </w:rPr>
        <w:t xml:space="preserve"> with the Departmental Leadership Teams to review their risk registers using the revised Framework as the consistent standard. Work </w:t>
      </w:r>
      <w:r w:rsidR="000D6BB7">
        <w:rPr>
          <w:rFonts w:ascii="Arial" w:eastAsia="Times New Roman" w:hAnsi="Arial" w:cs="Arial"/>
          <w:sz w:val="24"/>
          <w:szCs w:val="24"/>
          <w:lang w:eastAsia="en-GB"/>
        </w:rPr>
        <w:t>has continued</w:t>
      </w:r>
      <w:r w:rsidR="001E389C" w:rsidRPr="00587646">
        <w:rPr>
          <w:rFonts w:ascii="Arial" w:eastAsia="Times New Roman" w:hAnsi="Arial" w:cs="Arial"/>
          <w:sz w:val="24"/>
          <w:szCs w:val="24"/>
          <w:lang w:eastAsia="en-GB"/>
        </w:rPr>
        <w:t xml:space="preserve"> to develop the corporate risk registers and a Corporate Risk Group </w:t>
      </w:r>
      <w:r w:rsidR="000D6BB7">
        <w:rPr>
          <w:rFonts w:ascii="Arial" w:eastAsia="Times New Roman" w:hAnsi="Arial" w:cs="Arial"/>
          <w:sz w:val="24"/>
          <w:szCs w:val="24"/>
          <w:lang w:eastAsia="en-GB"/>
        </w:rPr>
        <w:t>was</w:t>
      </w:r>
      <w:r w:rsidR="001E389C" w:rsidRPr="00587646">
        <w:rPr>
          <w:rFonts w:ascii="Arial" w:eastAsia="Times New Roman" w:hAnsi="Arial" w:cs="Arial"/>
          <w:sz w:val="24"/>
          <w:szCs w:val="24"/>
          <w:lang w:eastAsia="en-GB"/>
        </w:rPr>
        <w:t xml:space="preserve"> established to support Corporate Leadership Team (CL</w:t>
      </w:r>
      <w:r w:rsidR="000D6BB7">
        <w:rPr>
          <w:rFonts w:ascii="Arial" w:eastAsia="Times New Roman" w:hAnsi="Arial" w:cs="Arial"/>
          <w:sz w:val="24"/>
          <w:szCs w:val="24"/>
          <w:lang w:eastAsia="en-GB"/>
        </w:rPr>
        <w:t>T) in managing corporate risk.</w:t>
      </w:r>
    </w:p>
    <w:p w14:paraId="33B7F17A" w14:textId="77777777" w:rsidR="008D402E" w:rsidRPr="00B20FF1" w:rsidRDefault="008D402E" w:rsidP="008D402E">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B20FF1">
        <w:rPr>
          <w:rFonts w:ascii="Arial" w:hAnsi="Arial" w:cs="Arial"/>
          <w:sz w:val="24"/>
          <w:szCs w:val="24"/>
        </w:rPr>
        <w:t xml:space="preserve">Risk </w:t>
      </w:r>
      <w:r w:rsidRPr="000C48B3">
        <w:rPr>
          <w:rFonts w:ascii="Arial" w:hAnsi="Arial" w:cs="Arial"/>
          <w:sz w:val="24"/>
          <w:szCs w:val="24"/>
        </w:rPr>
        <w:t xml:space="preserve">registers </w:t>
      </w:r>
      <w:r w:rsidRPr="000C48B3">
        <w:rPr>
          <w:rFonts w:ascii="Arial" w:hAnsi="Arial" w:cs="Arial"/>
        </w:rPr>
        <w:t>are</w:t>
      </w:r>
      <w:r w:rsidRPr="000C48B3">
        <w:rPr>
          <w:rFonts w:ascii="Arial" w:hAnsi="Arial" w:cs="Arial"/>
          <w:sz w:val="24"/>
          <w:szCs w:val="24"/>
        </w:rPr>
        <w:t xml:space="preserve"> used across the Council to record the risk exposure (the risks and their characteristics) and the decisions taken as a result of that knowledge (e.g. new mitigations)</w:t>
      </w:r>
      <w:r w:rsidRPr="00903562">
        <w:rPr>
          <w:rFonts w:ascii="Arial" w:hAnsi="Arial" w:cs="Arial"/>
          <w:sz w:val="24"/>
          <w:szCs w:val="24"/>
        </w:rPr>
        <w:t xml:space="preserve"> related to the relevant Council plan</w:t>
      </w:r>
      <w:r w:rsidRPr="000C48B3">
        <w:rPr>
          <w:rFonts w:ascii="Arial" w:hAnsi="Arial" w:cs="Arial"/>
          <w:sz w:val="24"/>
          <w:szCs w:val="24"/>
        </w:rPr>
        <w:t>. Risk registers are reported regularly to Service, Project, Directorate, Departmental and Corporate Leadership Teams and the Corporate Risk Register is also presented to Audit Committee to provide assurance of the effectiveness of the Council’s risk management processes</w:t>
      </w:r>
      <w:r w:rsidRPr="00B20FF1">
        <w:rPr>
          <w:rFonts w:ascii="Arial" w:hAnsi="Arial" w:cs="Arial"/>
          <w:sz w:val="24"/>
          <w:szCs w:val="24"/>
        </w:rPr>
        <w:t xml:space="preserve">.  </w:t>
      </w:r>
    </w:p>
    <w:p w14:paraId="32B796CF" w14:textId="77777777" w:rsidR="001E389C" w:rsidRPr="001E389C" w:rsidRDefault="008D402E" w:rsidP="008D402E">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B20FF1">
        <w:rPr>
          <w:rFonts w:ascii="Arial" w:hAnsi="Arial" w:cs="Arial"/>
          <w:sz w:val="24"/>
          <w:szCs w:val="24"/>
        </w:rPr>
        <w:t xml:space="preserve">Risks can move between registers based on seriousness and required oversight and support. </w:t>
      </w:r>
      <w:r>
        <w:rPr>
          <w:rFonts w:ascii="Arial" w:hAnsi="Arial" w:cs="Arial"/>
          <w:sz w:val="24"/>
          <w:szCs w:val="24"/>
        </w:rPr>
        <w:t xml:space="preserve">Major Projects and Directorate Risk Registers are used to inform </w:t>
      </w:r>
      <w:r w:rsidRPr="00B20FF1">
        <w:rPr>
          <w:rFonts w:ascii="Arial" w:hAnsi="Arial" w:cs="Arial"/>
          <w:sz w:val="24"/>
          <w:szCs w:val="24"/>
        </w:rPr>
        <w:t>Departmental Risk Registers</w:t>
      </w:r>
      <w:r>
        <w:rPr>
          <w:rFonts w:ascii="Arial" w:hAnsi="Arial" w:cs="Arial"/>
          <w:sz w:val="24"/>
          <w:szCs w:val="24"/>
        </w:rPr>
        <w:t xml:space="preserve"> which then</w:t>
      </w:r>
      <w:r w:rsidRPr="00B20FF1">
        <w:rPr>
          <w:rFonts w:ascii="Arial" w:hAnsi="Arial" w:cs="Arial"/>
          <w:sz w:val="24"/>
          <w:szCs w:val="24"/>
        </w:rPr>
        <w:t xml:space="preserve"> inform the Corporate Risk Register. </w:t>
      </w:r>
      <w:r w:rsidR="001E389C" w:rsidRPr="00587646">
        <w:rPr>
          <w:rFonts w:ascii="Arial" w:eastAsia="Times New Roman" w:hAnsi="Arial" w:cs="Arial"/>
          <w:sz w:val="24"/>
          <w:szCs w:val="24"/>
          <w:lang w:eastAsia="en-GB"/>
        </w:rPr>
        <w:t xml:space="preserve">The escalation process </w:t>
      </w:r>
      <w:r w:rsidR="00740F2A">
        <w:rPr>
          <w:rFonts w:ascii="Arial" w:eastAsia="Times New Roman" w:hAnsi="Arial" w:cs="Arial"/>
          <w:sz w:val="24"/>
          <w:szCs w:val="24"/>
          <w:lang w:eastAsia="en-GB"/>
        </w:rPr>
        <w:t xml:space="preserve">during </w:t>
      </w:r>
      <w:r w:rsidR="00F46F49">
        <w:rPr>
          <w:rFonts w:ascii="Arial" w:eastAsia="Times New Roman" w:hAnsi="Arial" w:cs="Arial"/>
          <w:sz w:val="24"/>
          <w:szCs w:val="24"/>
          <w:lang w:eastAsia="en-GB"/>
        </w:rPr>
        <w:t>2019/20</w:t>
      </w:r>
      <w:r w:rsidR="00740F2A">
        <w:rPr>
          <w:rFonts w:ascii="Arial" w:eastAsia="Times New Roman" w:hAnsi="Arial" w:cs="Arial"/>
          <w:sz w:val="24"/>
          <w:szCs w:val="24"/>
          <w:lang w:eastAsia="en-GB"/>
        </w:rPr>
        <w:t xml:space="preserve"> </w:t>
      </w:r>
      <w:r w:rsidR="001E389C" w:rsidRPr="00587646">
        <w:rPr>
          <w:rFonts w:ascii="Arial" w:eastAsia="Times New Roman" w:hAnsi="Arial" w:cs="Arial"/>
          <w:sz w:val="24"/>
          <w:szCs w:val="24"/>
          <w:lang w:eastAsia="en-GB"/>
        </w:rPr>
        <w:t>is shown diagrammatically as follows.</w:t>
      </w:r>
    </w:p>
    <w:p w14:paraId="48215399" w14:textId="77777777" w:rsidR="00630B4D" w:rsidRPr="00630B4D" w:rsidRDefault="00630B4D" w:rsidP="00117DCA">
      <w:pPr>
        <w:spacing w:before="200" w:after="0"/>
        <w:outlineLvl w:val="1"/>
        <w:rPr>
          <w:rFonts w:ascii="Cambria" w:eastAsia="Times New Roman" w:hAnsi="Cambria" w:cs="Times New Roman"/>
          <w:b/>
          <w:bCs/>
          <w:color w:val="4F81BD"/>
          <w:sz w:val="26"/>
          <w:szCs w:val="26"/>
        </w:rPr>
      </w:pPr>
      <w:r w:rsidRPr="00630B4D">
        <w:rPr>
          <w:rFonts w:ascii="Cambria" w:eastAsia="Times New Roman" w:hAnsi="Cambria" w:cs="Times New Roman"/>
          <w:b/>
          <w:bCs/>
          <w:color w:val="4F81BD"/>
          <w:sz w:val="26"/>
          <w:szCs w:val="26"/>
        </w:rPr>
        <w:t xml:space="preserve">Risk Reporting and Escalation Process </w:t>
      </w:r>
      <w:r w:rsidR="00D34A44">
        <w:rPr>
          <w:noProof/>
          <w:lang w:eastAsia="en-GB"/>
        </w:rPr>
        <w:drawing>
          <wp:inline distT="0" distB="0" distL="0" distR="0" wp14:anchorId="086573B0" wp14:editId="3713DF23">
            <wp:extent cx="3816626" cy="2297927"/>
            <wp:effectExtent l="0" t="0" r="0" b="762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28002" cy="2304776"/>
                    </a:xfrm>
                    <a:prstGeom prst="rect">
                      <a:avLst/>
                    </a:prstGeom>
                    <a:noFill/>
                  </pic:spPr>
                </pic:pic>
              </a:graphicData>
            </a:graphic>
          </wp:inline>
        </w:drawing>
      </w:r>
    </w:p>
    <w:p w14:paraId="4190EA9A" w14:textId="77777777" w:rsidR="001E389C" w:rsidRPr="00630B4D" w:rsidRDefault="001E389C" w:rsidP="00630B4D">
      <w:pPr>
        <w:spacing w:after="0" w:line="240" w:lineRule="auto"/>
        <w:rPr>
          <w:rFonts w:ascii="Times New Roman" w:eastAsia="Times New Roman" w:hAnsi="Times New Roman" w:cs="Times New Roman"/>
          <w:sz w:val="24"/>
          <w:szCs w:val="24"/>
          <w:lang w:eastAsia="en-GB"/>
        </w:rPr>
      </w:pPr>
    </w:p>
    <w:p w14:paraId="6F84DD80" w14:textId="77777777" w:rsidR="007B2CBB" w:rsidRDefault="000D6BB7" w:rsidP="000D6BB7">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Pr>
          <w:rFonts w:ascii="Arial" w:eastAsia="Times New Roman" w:hAnsi="Arial" w:cs="Arial"/>
          <w:sz w:val="24"/>
          <w:szCs w:val="24"/>
          <w:lang w:eastAsia="en-GB"/>
        </w:rPr>
        <w:t>The Interim Chief Executive established</w:t>
      </w:r>
      <w:r w:rsidR="00BA56A8">
        <w:rPr>
          <w:rFonts w:ascii="Arial" w:eastAsia="Times New Roman" w:hAnsi="Arial" w:cs="Arial"/>
          <w:sz w:val="24"/>
          <w:szCs w:val="24"/>
          <w:lang w:eastAsia="en-GB"/>
        </w:rPr>
        <w:t xml:space="preserve"> in May 2020</w:t>
      </w:r>
      <w:r>
        <w:rPr>
          <w:rFonts w:ascii="Arial" w:eastAsia="Times New Roman" w:hAnsi="Arial" w:cs="Arial"/>
          <w:sz w:val="24"/>
          <w:szCs w:val="24"/>
          <w:lang w:eastAsia="en-GB"/>
        </w:rPr>
        <w:t xml:space="preserve"> a further High Level Corporate Risk Register to prioritise the most severe risks as</w:t>
      </w:r>
    </w:p>
    <w:p w14:paraId="5732633F" w14:textId="77777777" w:rsidR="007B2CBB" w:rsidRDefault="000D6BB7" w:rsidP="000B0B40">
      <w:pPr>
        <w:pStyle w:val="ListParagraph"/>
        <w:numPr>
          <w:ilvl w:val="0"/>
          <w:numId w:val="41"/>
        </w:numPr>
        <w:autoSpaceDE w:val="0"/>
        <w:autoSpaceDN w:val="0"/>
        <w:adjustRightInd w:val="0"/>
        <w:spacing w:after="120" w:line="240" w:lineRule="auto"/>
        <w:jc w:val="both"/>
        <w:rPr>
          <w:rFonts w:ascii="Arial" w:eastAsia="Times New Roman" w:hAnsi="Arial" w:cs="Arial"/>
          <w:sz w:val="24"/>
          <w:szCs w:val="24"/>
          <w:lang w:eastAsia="en-GB"/>
        </w:rPr>
      </w:pPr>
      <w:r w:rsidRPr="000B0B40">
        <w:rPr>
          <w:rFonts w:ascii="Arial" w:eastAsia="Times New Roman" w:hAnsi="Arial" w:cs="Arial"/>
          <w:sz w:val="24"/>
          <w:szCs w:val="24"/>
          <w:lang w:eastAsia="en-GB"/>
        </w:rPr>
        <w:t>the ris</w:t>
      </w:r>
      <w:r w:rsidR="00E07B29" w:rsidRPr="000B0B40">
        <w:rPr>
          <w:rFonts w:ascii="Arial" w:eastAsia="Times New Roman" w:hAnsi="Arial" w:cs="Arial"/>
          <w:sz w:val="24"/>
          <w:szCs w:val="24"/>
          <w:lang w:eastAsia="en-GB"/>
        </w:rPr>
        <w:t>ing and broad</w:t>
      </w:r>
      <w:r w:rsidRPr="000B0B40">
        <w:rPr>
          <w:rFonts w:ascii="Arial" w:eastAsia="Times New Roman" w:hAnsi="Arial" w:cs="Arial"/>
          <w:sz w:val="24"/>
          <w:szCs w:val="24"/>
          <w:lang w:eastAsia="en-GB"/>
        </w:rPr>
        <w:t xml:space="preserve">ening </w:t>
      </w:r>
      <w:r w:rsidR="00E07B29" w:rsidRPr="000B0B40">
        <w:rPr>
          <w:rFonts w:ascii="Arial" w:eastAsia="Times New Roman" w:hAnsi="Arial" w:cs="Arial"/>
          <w:sz w:val="24"/>
          <w:szCs w:val="24"/>
          <w:lang w:eastAsia="en-GB"/>
        </w:rPr>
        <w:t>of risks emanating from</w:t>
      </w:r>
      <w:r w:rsidRPr="000B0B40">
        <w:rPr>
          <w:rFonts w:ascii="Arial" w:eastAsia="Times New Roman" w:hAnsi="Arial" w:cs="Arial"/>
          <w:sz w:val="24"/>
          <w:szCs w:val="24"/>
          <w:lang w:eastAsia="en-GB"/>
        </w:rPr>
        <w:t xml:space="preserve"> the Covid-19 public health emergency</w:t>
      </w:r>
      <w:r w:rsidR="00E07B29" w:rsidRPr="000B0B40">
        <w:rPr>
          <w:rFonts w:ascii="Arial" w:eastAsia="Times New Roman" w:hAnsi="Arial" w:cs="Arial"/>
          <w:sz w:val="24"/>
          <w:szCs w:val="24"/>
          <w:lang w:eastAsia="en-GB"/>
        </w:rPr>
        <w:t xml:space="preserve"> </w:t>
      </w:r>
    </w:p>
    <w:p w14:paraId="43164985" w14:textId="77777777" w:rsidR="007B2CBB" w:rsidRDefault="00E07B29" w:rsidP="000B0B40">
      <w:pPr>
        <w:pStyle w:val="ListParagraph"/>
        <w:numPr>
          <w:ilvl w:val="0"/>
          <w:numId w:val="41"/>
        </w:numPr>
        <w:autoSpaceDE w:val="0"/>
        <w:autoSpaceDN w:val="0"/>
        <w:adjustRightInd w:val="0"/>
        <w:spacing w:after="120" w:line="240" w:lineRule="auto"/>
        <w:jc w:val="both"/>
        <w:rPr>
          <w:rFonts w:ascii="Arial" w:eastAsia="Times New Roman" w:hAnsi="Arial" w:cs="Arial"/>
          <w:sz w:val="24"/>
          <w:szCs w:val="24"/>
          <w:lang w:eastAsia="en-GB"/>
        </w:rPr>
      </w:pPr>
      <w:r w:rsidRPr="000B0B40">
        <w:rPr>
          <w:rFonts w:ascii="Arial" w:eastAsia="Times New Roman" w:hAnsi="Arial" w:cs="Arial"/>
          <w:sz w:val="24"/>
          <w:szCs w:val="24"/>
          <w:lang w:eastAsia="en-GB"/>
        </w:rPr>
        <w:t xml:space="preserve">the </w:t>
      </w:r>
      <w:r w:rsidR="00BA56A8" w:rsidRPr="000B0B40">
        <w:rPr>
          <w:rFonts w:ascii="Arial" w:eastAsia="Times New Roman" w:hAnsi="Arial" w:cs="Arial"/>
          <w:sz w:val="24"/>
          <w:szCs w:val="24"/>
          <w:lang w:eastAsia="en-GB"/>
        </w:rPr>
        <w:t>challenges of the</w:t>
      </w:r>
      <w:r w:rsidRPr="000B0B40">
        <w:rPr>
          <w:rFonts w:ascii="Arial" w:eastAsia="Times New Roman" w:hAnsi="Arial" w:cs="Arial"/>
          <w:sz w:val="24"/>
          <w:szCs w:val="24"/>
          <w:lang w:eastAsia="en-GB"/>
        </w:rPr>
        <w:t xml:space="preserve"> funding</w:t>
      </w:r>
      <w:r w:rsidR="00BA56A8" w:rsidRPr="000B0B40">
        <w:rPr>
          <w:rFonts w:ascii="Arial" w:eastAsia="Times New Roman" w:hAnsi="Arial" w:cs="Arial"/>
          <w:sz w:val="24"/>
          <w:szCs w:val="24"/>
          <w:lang w:eastAsia="en-GB"/>
        </w:rPr>
        <w:t xml:space="preserve"> shortfall for</w:t>
      </w:r>
      <w:r w:rsidRPr="000B0B40">
        <w:rPr>
          <w:rFonts w:ascii="Arial" w:eastAsia="Times New Roman" w:hAnsi="Arial" w:cs="Arial"/>
          <w:sz w:val="24"/>
          <w:szCs w:val="24"/>
          <w:lang w:eastAsia="en-GB"/>
        </w:rPr>
        <w:t xml:space="preserve"> the local authority response</w:t>
      </w:r>
      <w:r w:rsidR="000D6BB7" w:rsidRPr="000B0B40">
        <w:rPr>
          <w:rFonts w:ascii="Arial" w:eastAsia="Times New Roman" w:hAnsi="Arial" w:cs="Arial"/>
          <w:sz w:val="24"/>
          <w:szCs w:val="24"/>
          <w:lang w:eastAsia="en-GB"/>
        </w:rPr>
        <w:t xml:space="preserve"> became apparent</w:t>
      </w:r>
      <w:r w:rsidR="009D2F42" w:rsidRPr="000B0B40">
        <w:rPr>
          <w:rFonts w:ascii="Arial" w:eastAsia="Times New Roman" w:hAnsi="Arial" w:cs="Arial"/>
          <w:sz w:val="24"/>
          <w:szCs w:val="24"/>
          <w:lang w:eastAsia="en-GB"/>
        </w:rPr>
        <w:t xml:space="preserve"> </w:t>
      </w:r>
    </w:p>
    <w:p w14:paraId="490F40CB" w14:textId="77777777" w:rsidR="000D6BB7" w:rsidRDefault="009D2F42" w:rsidP="000B0B40">
      <w:pPr>
        <w:pStyle w:val="ListParagraph"/>
        <w:numPr>
          <w:ilvl w:val="0"/>
          <w:numId w:val="41"/>
        </w:numPr>
        <w:autoSpaceDE w:val="0"/>
        <w:autoSpaceDN w:val="0"/>
        <w:adjustRightInd w:val="0"/>
        <w:spacing w:after="120" w:line="240" w:lineRule="auto"/>
        <w:jc w:val="both"/>
        <w:rPr>
          <w:rFonts w:ascii="Arial" w:eastAsia="Times New Roman" w:hAnsi="Arial" w:cs="Arial"/>
          <w:sz w:val="24"/>
          <w:szCs w:val="24"/>
          <w:lang w:eastAsia="en-GB"/>
        </w:rPr>
      </w:pPr>
      <w:r w:rsidRPr="000B0B40">
        <w:rPr>
          <w:rFonts w:ascii="Arial" w:eastAsia="Times New Roman" w:hAnsi="Arial" w:cs="Arial"/>
          <w:sz w:val="24"/>
          <w:szCs w:val="24"/>
          <w:lang w:eastAsia="en-GB"/>
        </w:rPr>
        <w:lastRenderedPageBreak/>
        <w:t>the Report in the Public Interest</w:t>
      </w:r>
      <w:r w:rsidR="000D6BB7" w:rsidRPr="000B0B40">
        <w:rPr>
          <w:rFonts w:ascii="Arial" w:eastAsia="Times New Roman" w:hAnsi="Arial" w:cs="Arial"/>
          <w:sz w:val="24"/>
          <w:szCs w:val="24"/>
          <w:lang w:eastAsia="en-GB"/>
        </w:rPr>
        <w:t>.</w:t>
      </w:r>
    </w:p>
    <w:p w14:paraId="69357E8A" w14:textId="77777777" w:rsidR="00630B4D" w:rsidRPr="00630B4D" w:rsidRDefault="00630B4D" w:rsidP="0038335F">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630B4D">
        <w:rPr>
          <w:rFonts w:ascii="Arial" w:eastAsia="Times New Roman" w:hAnsi="Arial" w:cs="Arial"/>
          <w:sz w:val="24"/>
          <w:szCs w:val="24"/>
          <w:lang w:eastAsia="en-GB"/>
        </w:rPr>
        <w:t xml:space="preserve">An essential element of good governance is the existence of sound arrangements for the management of financial resources. </w:t>
      </w:r>
    </w:p>
    <w:p w14:paraId="44446952" w14:textId="77777777" w:rsidR="00630B4D" w:rsidRPr="00630B4D" w:rsidRDefault="00630B4D" w:rsidP="0038335F">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630B4D">
        <w:rPr>
          <w:rFonts w:ascii="Arial" w:eastAsia="Times New Roman" w:hAnsi="Arial" w:cs="Arial"/>
          <w:sz w:val="24"/>
          <w:szCs w:val="24"/>
          <w:lang w:eastAsia="en-GB"/>
        </w:rPr>
        <w:t>The Chief Finance Officer (CFO) is a professionally qualified accountant</w:t>
      </w:r>
      <w:r w:rsidR="00563BF6">
        <w:rPr>
          <w:rFonts w:ascii="Arial" w:eastAsia="Times New Roman" w:hAnsi="Arial" w:cs="Arial"/>
          <w:sz w:val="24"/>
          <w:szCs w:val="24"/>
          <w:lang w:eastAsia="en-GB"/>
        </w:rPr>
        <w:t xml:space="preserve"> and has put in place mechanisms to ensure compliance with CIPFA’s statement on the ‘Role of the Chief Financial Officer in Local Government’</w:t>
      </w:r>
      <w:r w:rsidRPr="00630B4D">
        <w:rPr>
          <w:rFonts w:ascii="Arial" w:eastAsia="Times New Roman" w:hAnsi="Arial" w:cs="Arial"/>
          <w:sz w:val="24"/>
          <w:szCs w:val="24"/>
          <w:lang w:eastAsia="en-GB"/>
        </w:rPr>
        <w:t>. The CFO sits on the CLT and is able to contribute positively and influence decision-making affecting the delivery of the Council’s objectives. The CFO is able to promote good financial management and in so doing makes sure effective use is made of City Council resources and ensures that the finance function continually develops and remains fit for purpose.  The following illustrates the Financial Framework put in operation to support the delivery of the Council’s objectives.</w:t>
      </w:r>
    </w:p>
    <w:p w14:paraId="0F894BEE" w14:textId="77777777" w:rsidR="003309B8" w:rsidRPr="003309B8" w:rsidRDefault="003309B8" w:rsidP="00846818">
      <w:pPr>
        <w:pStyle w:val="ListParagraph"/>
        <w:keepNext/>
        <w:spacing w:after="0" w:line="240" w:lineRule="auto"/>
        <w:ind w:left="360"/>
        <w:jc w:val="both"/>
        <w:rPr>
          <w:rFonts w:ascii="Arial" w:eastAsia="Times New Roman" w:hAnsi="Arial" w:cs="Arial"/>
          <w:b/>
          <w:bCs/>
          <w:color w:val="44546A"/>
          <w:sz w:val="24"/>
          <w:szCs w:val="24"/>
          <w:lang w:eastAsia="en-GB"/>
        </w:rPr>
      </w:pPr>
      <w:r w:rsidRPr="003309B8">
        <w:rPr>
          <w:rFonts w:ascii="Arial" w:eastAsia="Times New Roman" w:hAnsi="Arial" w:cs="Arial"/>
          <w:b/>
          <w:bCs/>
          <w:color w:val="44546A"/>
          <w:sz w:val="24"/>
          <w:szCs w:val="24"/>
          <w:lang w:eastAsia="en-GB"/>
        </w:rPr>
        <w:t xml:space="preserve">The Financial Framework </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3"/>
        <w:gridCol w:w="1318"/>
        <w:gridCol w:w="9"/>
        <w:gridCol w:w="1190"/>
        <w:gridCol w:w="1199"/>
        <w:gridCol w:w="1680"/>
        <w:gridCol w:w="1672"/>
        <w:gridCol w:w="1699"/>
      </w:tblGrid>
      <w:tr w:rsidR="00531001" w:rsidRPr="00630B4D" w14:paraId="61B88848" w14:textId="77777777" w:rsidTr="003509C1">
        <w:trPr>
          <w:cantSplit/>
          <w:tblHeader/>
          <w:jc w:val="center"/>
        </w:trPr>
        <w:tc>
          <w:tcPr>
            <w:tcW w:w="1313" w:type="dxa"/>
            <w:tcBorders>
              <w:bottom w:val="single" w:sz="4" w:space="0" w:color="auto"/>
            </w:tcBorders>
            <w:shd w:val="clear" w:color="auto" w:fill="C0C0C0"/>
            <w:vAlign w:val="center"/>
          </w:tcPr>
          <w:p w14:paraId="21329479" w14:textId="77777777" w:rsidR="00531001" w:rsidRPr="00630B4D" w:rsidRDefault="00531001" w:rsidP="003509C1">
            <w:pPr>
              <w:keepNext/>
              <w:spacing w:before="60" w:after="60" w:line="240" w:lineRule="auto"/>
              <w:jc w:val="both"/>
              <w:rPr>
                <w:rFonts w:ascii="Times New Roman" w:eastAsia="Times New Roman" w:hAnsi="Times New Roman" w:cs="Times New Roman"/>
                <w:b/>
                <w:bCs/>
                <w:sz w:val="18"/>
                <w:szCs w:val="18"/>
                <w:lang w:eastAsia="en-GB"/>
              </w:rPr>
            </w:pPr>
            <w:r w:rsidRPr="00630B4D">
              <w:rPr>
                <w:rFonts w:ascii="Times New Roman" w:eastAsia="Times New Roman" w:hAnsi="Times New Roman" w:cs="Times New Roman"/>
                <w:b/>
                <w:bCs/>
                <w:sz w:val="18"/>
                <w:szCs w:val="18"/>
                <w:lang w:eastAsia="en-GB"/>
              </w:rPr>
              <w:t>CATEGORY</w:t>
            </w:r>
          </w:p>
        </w:tc>
        <w:tc>
          <w:tcPr>
            <w:tcW w:w="1318" w:type="dxa"/>
            <w:tcBorders>
              <w:bottom w:val="single" w:sz="4" w:space="0" w:color="auto"/>
            </w:tcBorders>
            <w:shd w:val="clear" w:color="auto" w:fill="C0C0C0"/>
            <w:vAlign w:val="center"/>
          </w:tcPr>
          <w:p w14:paraId="2C76A37A" w14:textId="77777777" w:rsidR="00531001" w:rsidRPr="00630B4D" w:rsidRDefault="00531001" w:rsidP="003509C1">
            <w:pPr>
              <w:keepNext/>
              <w:spacing w:before="60" w:after="60" w:line="240" w:lineRule="auto"/>
              <w:jc w:val="both"/>
              <w:rPr>
                <w:rFonts w:ascii="Times New Roman" w:eastAsia="Times New Roman" w:hAnsi="Times New Roman" w:cs="Times New Roman"/>
                <w:b/>
                <w:bCs/>
                <w:sz w:val="18"/>
                <w:szCs w:val="18"/>
                <w:lang w:eastAsia="en-GB"/>
              </w:rPr>
            </w:pPr>
            <w:r w:rsidRPr="00630B4D">
              <w:rPr>
                <w:rFonts w:ascii="Times New Roman" w:eastAsia="Times New Roman" w:hAnsi="Times New Roman" w:cs="Times New Roman"/>
                <w:b/>
                <w:bCs/>
                <w:sz w:val="18"/>
                <w:szCs w:val="18"/>
                <w:lang w:eastAsia="en-GB"/>
              </w:rPr>
              <w:t>OVERALL</w:t>
            </w:r>
          </w:p>
        </w:tc>
        <w:tc>
          <w:tcPr>
            <w:tcW w:w="1199" w:type="dxa"/>
            <w:gridSpan w:val="2"/>
            <w:tcBorders>
              <w:bottom w:val="single" w:sz="4" w:space="0" w:color="auto"/>
            </w:tcBorders>
            <w:shd w:val="clear" w:color="auto" w:fill="C0C0C0"/>
            <w:vAlign w:val="center"/>
          </w:tcPr>
          <w:p w14:paraId="5E6A37AA" w14:textId="77777777" w:rsidR="00531001" w:rsidRPr="00630B4D" w:rsidRDefault="00531001" w:rsidP="003509C1">
            <w:pPr>
              <w:keepNext/>
              <w:spacing w:before="60" w:after="60" w:line="240" w:lineRule="auto"/>
              <w:jc w:val="both"/>
              <w:rPr>
                <w:rFonts w:ascii="Times New Roman" w:eastAsia="Times New Roman" w:hAnsi="Times New Roman" w:cs="Times New Roman"/>
                <w:b/>
                <w:bCs/>
                <w:sz w:val="18"/>
                <w:szCs w:val="18"/>
                <w:lang w:eastAsia="en-GB"/>
              </w:rPr>
            </w:pPr>
            <w:r w:rsidRPr="00630B4D">
              <w:rPr>
                <w:rFonts w:ascii="Times New Roman" w:eastAsia="Times New Roman" w:hAnsi="Times New Roman" w:cs="Times New Roman"/>
                <w:b/>
                <w:bCs/>
                <w:sz w:val="18"/>
                <w:szCs w:val="18"/>
                <w:lang w:eastAsia="en-GB"/>
              </w:rPr>
              <w:t>REVENUE</w:t>
            </w:r>
          </w:p>
        </w:tc>
        <w:tc>
          <w:tcPr>
            <w:tcW w:w="1199" w:type="dxa"/>
            <w:tcBorders>
              <w:bottom w:val="single" w:sz="4" w:space="0" w:color="auto"/>
            </w:tcBorders>
            <w:shd w:val="clear" w:color="auto" w:fill="C0C0C0"/>
            <w:vAlign w:val="center"/>
          </w:tcPr>
          <w:p w14:paraId="2BE66560" w14:textId="77777777" w:rsidR="00531001" w:rsidRPr="00630B4D" w:rsidRDefault="00531001" w:rsidP="003509C1">
            <w:pPr>
              <w:keepNext/>
              <w:spacing w:before="60" w:after="60" w:line="240" w:lineRule="auto"/>
              <w:jc w:val="both"/>
              <w:rPr>
                <w:rFonts w:ascii="Times New Roman" w:eastAsia="Times New Roman" w:hAnsi="Times New Roman" w:cs="Times New Roman"/>
                <w:b/>
                <w:bCs/>
                <w:sz w:val="18"/>
                <w:szCs w:val="18"/>
                <w:lang w:eastAsia="en-GB"/>
              </w:rPr>
            </w:pPr>
            <w:r w:rsidRPr="00630B4D">
              <w:rPr>
                <w:rFonts w:ascii="Times New Roman" w:eastAsia="Times New Roman" w:hAnsi="Times New Roman" w:cs="Times New Roman"/>
                <w:b/>
                <w:bCs/>
                <w:sz w:val="18"/>
                <w:szCs w:val="18"/>
                <w:lang w:eastAsia="en-GB"/>
              </w:rPr>
              <w:t>CAPITAL</w:t>
            </w:r>
          </w:p>
        </w:tc>
        <w:tc>
          <w:tcPr>
            <w:tcW w:w="1680" w:type="dxa"/>
            <w:tcBorders>
              <w:bottom w:val="single" w:sz="4" w:space="0" w:color="auto"/>
            </w:tcBorders>
            <w:shd w:val="clear" w:color="auto" w:fill="C0C0C0"/>
            <w:vAlign w:val="center"/>
          </w:tcPr>
          <w:p w14:paraId="40CBEDF0" w14:textId="77777777" w:rsidR="00531001" w:rsidRPr="00630B4D" w:rsidRDefault="00531001" w:rsidP="003509C1">
            <w:pPr>
              <w:keepNext/>
              <w:spacing w:before="60" w:after="60" w:line="240" w:lineRule="auto"/>
              <w:jc w:val="both"/>
              <w:rPr>
                <w:rFonts w:ascii="Times New Roman" w:eastAsia="Times New Roman" w:hAnsi="Times New Roman" w:cs="Times New Roman"/>
                <w:b/>
                <w:bCs/>
                <w:sz w:val="18"/>
                <w:szCs w:val="18"/>
                <w:lang w:eastAsia="en-GB"/>
              </w:rPr>
            </w:pPr>
            <w:r w:rsidRPr="00630B4D">
              <w:rPr>
                <w:rFonts w:ascii="Times New Roman" w:eastAsia="Times New Roman" w:hAnsi="Times New Roman" w:cs="Times New Roman"/>
                <w:b/>
                <w:bCs/>
                <w:sz w:val="18"/>
                <w:szCs w:val="18"/>
                <w:lang w:eastAsia="en-GB"/>
              </w:rPr>
              <w:t>TREASURY MANAGEMENT</w:t>
            </w:r>
          </w:p>
        </w:tc>
        <w:tc>
          <w:tcPr>
            <w:tcW w:w="1672" w:type="dxa"/>
            <w:shd w:val="clear" w:color="auto" w:fill="C0C0C0"/>
            <w:vAlign w:val="center"/>
          </w:tcPr>
          <w:p w14:paraId="6A73F6C3" w14:textId="77777777" w:rsidR="00531001" w:rsidRPr="00630B4D" w:rsidRDefault="00531001" w:rsidP="003509C1">
            <w:pPr>
              <w:keepNext/>
              <w:spacing w:before="60" w:after="60" w:line="240" w:lineRule="auto"/>
              <w:jc w:val="both"/>
              <w:rPr>
                <w:rFonts w:ascii="Times New Roman" w:eastAsia="Times New Roman" w:hAnsi="Times New Roman" w:cs="Times New Roman"/>
                <w:b/>
                <w:sz w:val="18"/>
                <w:szCs w:val="18"/>
                <w:lang w:eastAsia="en-GB"/>
              </w:rPr>
            </w:pPr>
            <w:r w:rsidRPr="00630B4D">
              <w:rPr>
                <w:rFonts w:ascii="Times New Roman" w:eastAsia="Times New Roman" w:hAnsi="Times New Roman" w:cs="Times New Roman"/>
                <w:b/>
                <w:sz w:val="18"/>
                <w:szCs w:val="18"/>
                <w:lang w:eastAsia="en-GB"/>
              </w:rPr>
              <w:t>PROCUREMENT</w:t>
            </w:r>
          </w:p>
        </w:tc>
        <w:tc>
          <w:tcPr>
            <w:tcW w:w="1699" w:type="dxa"/>
            <w:shd w:val="clear" w:color="auto" w:fill="C0C0C0"/>
          </w:tcPr>
          <w:p w14:paraId="7DCE8A3A" w14:textId="77777777" w:rsidR="00531001" w:rsidRPr="00630B4D" w:rsidRDefault="00531001" w:rsidP="003509C1">
            <w:pPr>
              <w:keepNext/>
              <w:spacing w:before="60" w:after="60" w:line="240" w:lineRule="auto"/>
              <w:jc w:val="both"/>
              <w:rPr>
                <w:rFonts w:ascii="Times New Roman" w:eastAsia="Times New Roman" w:hAnsi="Times New Roman" w:cs="Times New Roman"/>
                <w:b/>
                <w:sz w:val="18"/>
                <w:szCs w:val="18"/>
                <w:lang w:eastAsia="en-GB"/>
              </w:rPr>
            </w:pPr>
            <w:r w:rsidRPr="00630B4D">
              <w:rPr>
                <w:rFonts w:ascii="Times New Roman" w:eastAsia="Times New Roman" w:hAnsi="Times New Roman" w:cs="Times New Roman"/>
                <w:b/>
                <w:sz w:val="18"/>
                <w:szCs w:val="18"/>
                <w:lang w:eastAsia="en-GB"/>
              </w:rPr>
              <w:t>RISK</w:t>
            </w:r>
          </w:p>
          <w:p w14:paraId="7799C8C8" w14:textId="77777777" w:rsidR="00531001" w:rsidRPr="00630B4D" w:rsidRDefault="00531001" w:rsidP="003509C1">
            <w:pPr>
              <w:keepNext/>
              <w:spacing w:before="60" w:after="60" w:line="240" w:lineRule="auto"/>
              <w:jc w:val="both"/>
              <w:rPr>
                <w:rFonts w:ascii="Times New Roman" w:eastAsia="Times New Roman" w:hAnsi="Times New Roman" w:cs="Times New Roman"/>
                <w:b/>
                <w:sz w:val="18"/>
                <w:szCs w:val="18"/>
                <w:lang w:eastAsia="en-GB"/>
              </w:rPr>
            </w:pPr>
            <w:r w:rsidRPr="00630B4D">
              <w:rPr>
                <w:rFonts w:ascii="Times New Roman" w:eastAsia="Times New Roman" w:hAnsi="Times New Roman" w:cs="Times New Roman"/>
                <w:b/>
                <w:sz w:val="18"/>
                <w:szCs w:val="18"/>
                <w:lang w:eastAsia="en-GB"/>
              </w:rPr>
              <w:t>MANAGEMENT</w:t>
            </w:r>
          </w:p>
        </w:tc>
      </w:tr>
      <w:tr w:rsidR="00531001" w:rsidRPr="00630B4D" w14:paraId="1647E76F" w14:textId="77777777" w:rsidTr="003509C1">
        <w:trPr>
          <w:cantSplit/>
          <w:trHeight w:hRule="exact" w:val="567"/>
          <w:jc w:val="center"/>
        </w:trPr>
        <w:tc>
          <w:tcPr>
            <w:tcW w:w="1313" w:type="dxa"/>
            <w:tcBorders>
              <w:bottom w:val="nil"/>
            </w:tcBorders>
            <w:shd w:val="clear" w:color="auto" w:fill="CCFFFF"/>
            <w:vAlign w:val="center"/>
          </w:tcPr>
          <w:p w14:paraId="7F511416" w14:textId="77777777" w:rsidR="00531001" w:rsidRPr="00630B4D" w:rsidRDefault="00531001" w:rsidP="003509C1">
            <w:pPr>
              <w:keepNext/>
              <w:spacing w:after="0" w:line="240" w:lineRule="auto"/>
              <w:jc w:val="both"/>
              <w:rPr>
                <w:rFonts w:ascii="Times New Roman" w:eastAsia="Times New Roman" w:hAnsi="Times New Roman" w:cs="Times New Roman"/>
                <w:b/>
                <w:bCs/>
                <w:sz w:val="18"/>
                <w:szCs w:val="18"/>
                <w:lang w:eastAsia="en-GB"/>
              </w:rPr>
            </w:pPr>
          </w:p>
        </w:tc>
        <w:tc>
          <w:tcPr>
            <w:tcW w:w="8767" w:type="dxa"/>
            <w:gridSpan w:val="7"/>
            <w:tcBorders>
              <w:left w:val="nil"/>
              <w:bottom w:val="nil"/>
            </w:tcBorders>
            <w:shd w:val="clear" w:color="auto" w:fill="CCFFFF"/>
            <w:vAlign w:val="center"/>
          </w:tcPr>
          <w:p w14:paraId="647C7957" w14:textId="77777777" w:rsidR="00531001" w:rsidRPr="00630B4D" w:rsidRDefault="00531001" w:rsidP="003509C1">
            <w:pPr>
              <w:keepNext/>
              <w:spacing w:after="0" w:line="240" w:lineRule="auto"/>
              <w:jc w:val="both"/>
              <w:rPr>
                <w:rFonts w:ascii="Times New Roman" w:eastAsia="Times New Roman" w:hAnsi="Times New Roman" w:cs="Times New Roman"/>
                <w:sz w:val="24"/>
                <w:szCs w:val="24"/>
                <w:lang w:eastAsia="en-GB"/>
              </w:rPr>
            </w:pPr>
            <w:r w:rsidRPr="00630B4D">
              <w:rPr>
                <w:rFonts w:ascii="Times New Roman" w:eastAsia="Times New Roman" w:hAnsi="Times New Roman" w:cs="Times New Roman"/>
                <w:b/>
                <w:bCs/>
                <w:sz w:val="24"/>
                <w:szCs w:val="24"/>
                <w:lang w:eastAsia="en-GB"/>
              </w:rPr>
              <w:t>MTFS</w:t>
            </w:r>
          </w:p>
        </w:tc>
      </w:tr>
      <w:tr w:rsidR="00531001" w:rsidRPr="00630B4D" w14:paraId="3FD4737F" w14:textId="77777777" w:rsidTr="003509C1">
        <w:trPr>
          <w:trHeight w:hRule="exact" w:val="851"/>
          <w:jc w:val="center"/>
        </w:trPr>
        <w:tc>
          <w:tcPr>
            <w:tcW w:w="1313" w:type="dxa"/>
            <w:tcBorders>
              <w:top w:val="nil"/>
              <w:bottom w:val="single" w:sz="4" w:space="0" w:color="auto"/>
            </w:tcBorders>
            <w:shd w:val="clear" w:color="auto" w:fill="CCFFFF"/>
          </w:tcPr>
          <w:p w14:paraId="5F864538" w14:textId="77777777" w:rsidR="00531001" w:rsidRPr="00630B4D" w:rsidRDefault="00531001" w:rsidP="003509C1">
            <w:pPr>
              <w:keepNext/>
              <w:spacing w:after="0" w:line="240" w:lineRule="auto"/>
              <w:jc w:val="both"/>
              <w:rPr>
                <w:rFonts w:ascii="Times New Roman" w:eastAsia="Times New Roman" w:hAnsi="Times New Roman" w:cs="Times New Roman"/>
                <w:b/>
                <w:bCs/>
                <w:sz w:val="18"/>
                <w:szCs w:val="18"/>
                <w:lang w:eastAsia="en-GB"/>
              </w:rPr>
            </w:pPr>
            <w:r w:rsidRPr="00630B4D">
              <w:rPr>
                <w:rFonts w:ascii="Times New Roman" w:eastAsia="Times New Roman" w:hAnsi="Times New Roman" w:cs="Times New Roman"/>
                <w:b/>
                <w:bCs/>
                <w:sz w:val="18"/>
                <w:szCs w:val="18"/>
                <w:lang w:eastAsia="en-GB"/>
              </w:rPr>
              <w:t>Strategies</w:t>
            </w:r>
          </w:p>
        </w:tc>
        <w:tc>
          <w:tcPr>
            <w:tcW w:w="1327" w:type="dxa"/>
            <w:gridSpan w:val="2"/>
            <w:tcBorders>
              <w:top w:val="nil"/>
              <w:bottom w:val="single" w:sz="4" w:space="0" w:color="auto"/>
              <w:right w:val="nil"/>
            </w:tcBorders>
            <w:shd w:val="clear" w:color="auto" w:fill="CCFFFF"/>
            <w:vAlign w:val="center"/>
          </w:tcPr>
          <w:p w14:paraId="3D1A6284" w14:textId="77777777" w:rsidR="00531001" w:rsidRPr="00630B4D" w:rsidRDefault="00531001" w:rsidP="003509C1">
            <w:pPr>
              <w:keepNext/>
              <w:spacing w:after="0" w:line="240" w:lineRule="auto"/>
              <w:jc w:val="both"/>
              <w:rPr>
                <w:rFonts w:ascii="Times New Roman" w:eastAsia="Times New Roman" w:hAnsi="Times New Roman" w:cs="Times New Roman"/>
                <w:sz w:val="18"/>
                <w:szCs w:val="18"/>
                <w:lang w:eastAsia="en-GB"/>
              </w:rPr>
            </w:pPr>
          </w:p>
        </w:tc>
        <w:tc>
          <w:tcPr>
            <w:tcW w:w="1190" w:type="dxa"/>
            <w:tcBorders>
              <w:top w:val="single" w:sz="4" w:space="0" w:color="auto"/>
              <w:bottom w:val="single" w:sz="4" w:space="0" w:color="auto"/>
              <w:right w:val="nil"/>
            </w:tcBorders>
            <w:shd w:val="clear" w:color="auto" w:fill="CCFFFF"/>
            <w:vAlign w:val="center"/>
          </w:tcPr>
          <w:p w14:paraId="38422E61" w14:textId="77777777" w:rsidR="00531001" w:rsidRPr="00630B4D" w:rsidRDefault="00531001" w:rsidP="003509C1">
            <w:pPr>
              <w:keepNext/>
              <w:spacing w:after="0" w:line="240" w:lineRule="auto"/>
              <w:jc w:val="both"/>
              <w:rPr>
                <w:rFonts w:ascii="Times New Roman" w:eastAsia="Times New Roman" w:hAnsi="Times New Roman" w:cs="Times New Roman"/>
                <w:sz w:val="18"/>
                <w:szCs w:val="18"/>
                <w:lang w:eastAsia="en-GB"/>
              </w:rPr>
            </w:pPr>
            <w:r w:rsidRPr="00630B4D">
              <w:rPr>
                <w:rFonts w:ascii="Times New Roman" w:eastAsia="Times New Roman" w:hAnsi="Times New Roman" w:cs="Times New Roman"/>
                <w:sz w:val="18"/>
                <w:szCs w:val="18"/>
                <w:lang w:eastAsia="en-GB"/>
              </w:rPr>
              <w:t>Income Generation Strategy</w:t>
            </w:r>
          </w:p>
        </w:tc>
        <w:tc>
          <w:tcPr>
            <w:tcW w:w="1199" w:type="dxa"/>
            <w:tcBorders>
              <w:top w:val="single" w:sz="4" w:space="0" w:color="auto"/>
              <w:bottom w:val="single" w:sz="4" w:space="0" w:color="auto"/>
            </w:tcBorders>
            <w:shd w:val="clear" w:color="auto" w:fill="CCFFFF"/>
            <w:vAlign w:val="center"/>
          </w:tcPr>
          <w:p w14:paraId="5DFA2391" w14:textId="77777777" w:rsidR="00531001" w:rsidRPr="00630B4D" w:rsidRDefault="00531001" w:rsidP="003509C1">
            <w:pPr>
              <w:keepNext/>
              <w:spacing w:after="0" w:line="240" w:lineRule="auto"/>
              <w:jc w:val="both"/>
              <w:rPr>
                <w:rFonts w:ascii="Times New Roman" w:eastAsia="Times New Roman" w:hAnsi="Times New Roman" w:cs="Times New Roman"/>
                <w:sz w:val="18"/>
                <w:szCs w:val="18"/>
                <w:lang w:eastAsia="en-GB"/>
              </w:rPr>
            </w:pPr>
            <w:r w:rsidRPr="00630B4D">
              <w:rPr>
                <w:rFonts w:ascii="Times New Roman" w:eastAsia="Times New Roman" w:hAnsi="Times New Roman" w:cs="Times New Roman"/>
                <w:sz w:val="18"/>
                <w:szCs w:val="18"/>
                <w:lang w:eastAsia="en-GB"/>
              </w:rPr>
              <w:t>Capital</w:t>
            </w:r>
          </w:p>
          <w:p w14:paraId="603353D5" w14:textId="77777777" w:rsidR="00531001" w:rsidRPr="00630B4D" w:rsidRDefault="00531001" w:rsidP="003509C1">
            <w:pPr>
              <w:keepNext/>
              <w:spacing w:after="0" w:line="240" w:lineRule="auto"/>
              <w:jc w:val="both"/>
              <w:rPr>
                <w:rFonts w:ascii="Times New Roman" w:eastAsia="Times New Roman" w:hAnsi="Times New Roman" w:cs="Times New Roman"/>
                <w:sz w:val="18"/>
                <w:szCs w:val="18"/>
                <w:lang w:eastAsia="en-GB"/>
              </w:rPr>
            </w:pPr>
            <w:r w:rsidRPr="00630B4D">
              <w:rPr>
                <w:rFonts w:ascii="Times New Roman" w:eastAsia="Times New Roman" w:hAnsi="Times New Roman" w:cs="Times New Roman"/>
                <w:sz w:val="18"/>
                <w:szCs w:val="18"/>
                <w:lang w:eastAsia="en-GB"/>
              </w:rPr>
              <w:t>Strategy &amp; AMP</w:t>
            </w:r>
          </w:p>
        </w:tc>
        <w:tc>
          <w:tcPr>
            <w:tcW w:w="1680" w:type="dxa"/>
            <w:tcBorders>
              <w:top w:val="single" w:sz="4" w:space="0" w:color="auto"/>
              <w:bottom w:val="single" w:sz="4" w:space="0" w:color="auto"/>
            </w:tcBorders>
            <w:shd w:val="clear" w:color="auto" w:fill="CCFFFF"/>
            <w:vAlign w:val="center"/>
          </w:tcPr>
          <w:p w14:paraId="2C23EA45" w14:textId="77777777" w:rsidR="00531001" w:rsidRPr="00630B4D" w:rsidRDefault="00531001" w:rsidP="003509C1">
            <w:pPr>
              <w:keepNext/>
              <w:spacing w:after="0" w:line="240" w:lineRule="auto"/>
              <w:jc w:val="both"/>
              <w:rPr>
                <w:rFonts w:ascii="Times New Roman" w:eastAsia="Times New Roman" w:hAnsi="Times New Roman" w:cs="Times New Roman"/>
                <w:sz w:val="18"/>
                <w:szCs w:val="18"/>
                <w:lang w:eastAsia="en-GB"/>
              </w:rPr>
            </w:pPr>
            <w:r>
              <w:rPr>
                <w:rFonts w:ascii="Times New Roman" w:eastAsia="Times New Roman" w:hAnsi="Times New Roman" w:cs="Times New Roman"/>
                <w:sz w:val="18"/>
                <w:szCs w:val="18"/>
                <w:lang w:eastAsia="en-GB"/>
              </w:rPr>
              <w:t xml:space="preserve">Treasury Management &amp; </w:t>
            </w:r>
            <w:r w:rsidRPr="00C962FB">
              <w:rPr>
                <w:rFonts w:ascii="Times New Roman" w:eastAsia="Times New Roman" w:hAnsi="Times New Roman" w:cs="Times New Roman"/>
                <w:sz w:val="18"/>
                <w:szCs w:val="18"/>
                <w:lang w:eastAsia="en-GB"/>
              </w:rPr>
              <w:t>Debt Repayment Strateg</w:t>
            </w:r>
            <w:r>
              <w:rPr>
                <w:rFonts w:ascii="Times New Roman" w:eastAsia="Times New Roman" w:hAnsi="Times New Roman" w:cs="Times New Roman"/>
                <w:sz w:val="18"/>
                <w:szCs w:val="18"/>
                <w:lang w:eastAsia="en-GB"/>
              </w:rPr>
              <w:t>ies</w:t>
            </w:r>
          </w:p>
        </w:tc>
        <w:tc>
          <w:tcPr>
            <w:tcW w:w="1672" w:type="dxa"/>
            <w:tcBorders>
              <w:bottom w:val="single" w:sz="4" w:space="0" w:color="auto"/>
            </w:tcBorders>
            <w:shd w:val="clear" w:color="auto" w:fill="CCFFFF"/>
            <w:vAlign w:val="center"/>
          </w:tcPr>
          <w:p w14:paraId="78DF3560" w14:textId="77777777" w:rsidR="00531001" w:rsidRPr="00630B4D" w:rsidRDefault="00531001" w:rsidP="003509C1">
            <w:pPr>
              <w:keepNext/>
              <w:spacing w:after="0" w:line="240" w:lineRule="auto"/>
              <w:jc w:val="both"/>
              <w:rPr>
                <w:rFonts w:ascii="Times New Roman" w:eastAsia="Times New Roman" w:hAnsi="Times New Roman" w:cs="Times New Roman"/>
                <w:sz w:val="18"/>
                <w:szCs w:val="18"/>
                <w:lang w:eastAsia="en-GB"/>
              </w:rPr>
            </w:pPr>
            <w:r w:rsidRPr="00630B4D">
              <w:rPr>
                <w:rFonts w:ascii="Times New Roman" w:eastAsia="Times New Roman" w:hAnsi="Times New Roman" w:cs="Times New Roman"/>
                <w:sz w:val="18"/>
                <w:szCs w:val="18"/>
                <w:lang w:eastAsia="en-GB"/>
              </w:rPr>
              <w:t>Procurement Strategy</w:t>
            </w:r>
          </w:p>
        </w:tc>
        <w:tc>
          <w:tcPr>
            <w:tcW w:w="1699" w:type="dxa"/>
            <w:tcBorders>
              <w:bottom w:val="single" w:sz="4" w:space="0" w:color="auto"/>
            </w:tcBorders>
            <w:shd w:val="clear" w:color="auto" w:fill="CCFFFF"/>
            <w:vAlign w:val="center"/>
          </w:tcPr>
          <w:p w14:paraId="260F9BB0" w14:textId="77777777" w:rsidR="00531001" w:rsidRPr="00630B4D" w:rsidRDefault="00531001" w:rsidP="003509C1">
            <w:pPr>
              <w:keepNext/>
              <w:spacing w:after="0" w:line="240" w:lineRule="auto"/>
              <w:jc w:val="both"/>
              <w:rPr>
                <w:rFonts w:ascii="Times New Roman" w:eastAsia="Times New Roman" w:hAnsi="Times New Roman" w:cs="Times New Roman"/>
                <w:sz w:val="18"/>
                <w:szCs w:val="18"/>
                <w:lang w:eastAsia="en-GB"/>
              </w:rPr>
            </w:pPr>
            <w:r w:rsidRPr="00630B4D">
              <w:rPr>
                <w:rFonts w:ascii="Times New Roman" w:eastAsia="Times New Roman" w:hAnsi="Times New Roman" w:cs="Times New Roman"/>
                <w:sz w:val="18"/>
                <w:szCs w:val="18"/>
                <w:lang w:eastAsia="en-GB"/>
              </w:rPr>
              <w:t>Risk Management Framework</w:t>
            </w:r>
          </w:p>
        </w:tc>
      </w:tr>
      <w:tr w:rsidR="00531001" w:rsidRPr="00630B4D" w14:paraId="155DB703" w14:textId="77777777" w:rsidTr="003509C1">
        <w:trPr>
          <w:trHeight w:hRule="exact" w:val="1737"/>
          <w:jc w:val="center"/>
        </w:trPr>
        <w:tc>
          <w:tcPr>
            <w:tcW w:w="1313" w:type="dxa"/>
            <w:tcBorders>
              <w:bottom w:val="single" w:sz="4" w:space="0" w:color="auto"/>
            </w:tcBorders>
            <w:shd w:val="clear" w:color="auto" w:fill="CCFFCC"/>
            <w:vAlign w:val="center"/>
          </w:tcPr>
          <w:p w14:paraId="545FB0B1" w14:textId="77777777" w:rsidR="00531001" w:rsidRPr="00630B4D" w:rsidRDefault="00531001" w:rsidP="003509C1">
            <w:pPr>
              <w:spacing w:after="0" w:line="240" w:lineRule="auto"/>
              <w:jc w:val="both"/>
              <w:rPr>
                <w:rFonts w:ascii="Times New Roman" w:eastAsia="Times New Roman" w:hAnsi="Times New Roman" w:cs="Times New Roman"/>
                <w:b/>
                <w:bCs/>
                <w:sz w:val="18"/>
                <w:szCs w:val="18"/>
                <w:lang w:eastAsia="en-GB"/>
              </w:rPr>
            </w:pPr>
            <w:r w:rsidRPr="00630B4D">
              <w:rPr>
                <w:rFonts w:ascii="Times New Roman" w:eastAsia="Times New Roman" w:hAnsi="Times New Roman" w:cs="Times New Roman"/>
                <w:b/>
                <w:bCs/>
                <w:sz w:val="18"/>
                <w:szCs w:val="18"/>
                <w:lang w:eastAsia="en-GB"/>
              </w:rPr>
              <w:t>Guidance</w:t>
            </w:r>
          </w:p>
        </w:tc>
        <w:tc>
          <w:tcPr>
            <w:tcW w:w="1327" w:type="dxa"/>
            <w:gridSpan w:val="2"/>
            <w:tcBorders>
              <w:bottom w:val="single" w:sz="4" w:space="0" w:color="auto"/>
            </w:tcBorders>
            <w:shd w:val="clear" w:color="auto" w:fill="CCFFCC"/>
            <w:vAlign w:val="center"/>
          </w:tcPr>
          <w:p w14:paraId="760A632B" w14:textId="77777777" w:rsidR="00531001" w:rsidRDefault="00531001" w:rsidP="003509C1">
            <w:pPr>
              <w:spacing w:after="60" w:line="240" w:lineRule="auto"/>
              <w:jc w:val="both"/>
              <w:rPr>
                <w:rFonts w:ascii="Times New Roman" w:eastAsia="Times New Roman" w:hAnsi="Times New Roman" w:cs="Times New Roman"/>
                <w:sz w:val="18"/>
                <w:szCs w:val="18"/>
                <w:lang w:eastAsia="en-GB"/>
              </w:rPr>
            </w:pPr>
            <w:r>
              <w:rPr>
                <w:rFonts w:ascii="Times New Roman" w:eastAsia="Times New Roman" w:hAnsi="Times New Roman" w:cs="Times New Roman"/>
                <w:sz w:val="18"/>
                <w:szCs w:val="18"/>
                <w:lang w:eastAsia="en-GB"/>
              </w:rPr>
              <w:t>IFRS</w:t>
            </w:r>
          </w:p>
          <w:p w14:paraId="078B65E8" w14:textId="77777777" w:rsidR="00531001" w:rsidRDefault="00531001" w:rsidP="003509C1">
            <w:pPr>
              <w:spacing w:after="60" w:line="240" w:lineRule="auto"/>
              <w:jc w:val="both"/>
              <w:rPr>
                <w:rFonts w:ascii="Times New Roman" w:eastAsia="Times New Roman" w:hAnsi="Times New Roman" w:cs="Times New Roman"/>
                <w:sz w:val="18"/>
                <w:szCs w:val="18"/>
                <w:lang w:eastAsia="en-GB"/>
              </w:rPr>
            </w:pPr>
            <w:r>
              <w:rPr>
                <w:rFonts w:ascii="Times New Roman" w:eastAsia="Times New Roman" w:hAnsi="Times New Roman" w:cs="Times New Roman"/>
                <w:sz w:val="18"/>
                <w:szCs w:val="18"/>
                <w:lang w:eastAsia="en-GB"/>
              </w:rPr>
              <w:t>LAACOP</w:t>
            </w:r>
          </w:p>
          <w:p w14:paraId="09D11D5F" w14:textId="77777777" w:rsidR="00531001" w:rsidRDefault="00531001" w:rsidP="003509C1">
            <w:pPr>
              <w:spacing w:after="60" w:line="240" w:lineRule="auto"/>
              <w:jc w:val="both"/>
              <w:rPr>
                <w:rFonts w:ascii="Times New Roman" w:eastAsia="Times New Roman" w:hAnsi="Times New Roman" w:cs="Times New Roman"/>
                <w:sz w:val="18"/>
                <w:szCs w:val="18"/>
                <w:lang w:eastAsia="en-GB"/>
              </w:rPr>
            </w:pPr>
            <w:r w:rsidRPr="00630B4D">
              <w:rPr>
                <w:rFonts w:ascii="Times New Roman" w:eastAsia="Times New Roman" w:hAnsi="Times New Roman" w:cs="Times New Roman"/>
                <w:sz w:val="18"/>
                <w:szCs w:val="18"/>
                <w:lang w:eastAsia="en-GB"/>
              </w:rPr>
              <w:t>CIPFA &amp; technical guidance</w:t>
            </w:r>
          </w:p>
          <w:p w14:paraId="36607FCF" w14:textId="77777777" w:rsidR="00531001" w:rsidRPr="00630B4D" w:rsidRDefault="00531001" w:rsidP="003509C1">
            <w:pPr>
              <w:spacing w:after="60" w:line="240" w:lineRule="auto"/>
              <w:jc w:val="both"/>
              <w:rPr>
                <w:rFonts w:ascii="Times New Roman" w:eastAsia="Times New Roman" w:hAnsi="Times New Roman" w:cs="Times New Roman"/>
                <w:sz w:val="18"/>
                <w:szCs w:val="18"/>
                <w:lang w:eastAsia="en-GB"/>
              </w:rPr>
            </w:pPr>
            <w:r>
              <w:rPr>
                <w:rFonts w:ascii="Times New Roman" w:eastAsia="Times New Roman" w:hAnsi="Times New Roman" w:cs="Times New Roman"/>
                <w:sz w:val="18"/>
                <w:szCs w:val="18"/>
                <w:lang w:eastAsia="en-GB"/>
              </w:rPr>
              <w:t>HMRC Tax Regulations</w:t>
            </w:r>
          </w:p>
        </w:tc>
        <w:tc>
          <w:tcPr>
            <w:tcW w:w="1190" w:type="dxa"/>
            <w:tcBorders>
              <w:bottom w:val="single" w:sz="4" w:space="0" w:color="auto"/>
            </w:tcBorders>
            <w:shd w:val="clear" w:color="auto" w:fill="CCFFCC"/>
            <w:vAlign w:val="center"/>
          </w:tcPr>
          <w:p w14:paraId="2F13E7D1" w14:textId="77777777" w:rsidR="00531001" w:rsidRPr="00630B4D" w:rsidRDefault="00531001" w:rsidP="003509C1">
            <w:pPr>
              <w:spacing w:after="0" w:line="240" w:lineRule="auto"/>
              <w:jc w:val="both"/>
              <w:rPr>
                <w:rFonts w:ascii="Times New Roman" w:eastAsia="Times New Roman" w:hAnsi="Times New Roman" w:cs="Times New Roman"/>
                <w:sz w:val="18"/>
                <w:szCs w:val="18"/>
                <w:lang w:eastAsia="en-GB"/>
              </w:rPr>
            </w:pPr>
            <w:r w:rsidRPr="00630B4D">
              <w:rPr>
                <w:rFonts w:ascii="Times New Roman" w:eastAsia="Times New Roman" w:hAnsi="Times New Roman" w:cs="Times New Roman"/>
                <w:sz w:val="18"/>
                <w:szCs w:val="18"/>
                <w:lang w:eastAsia="en-GB"/>
              </w:rPr>
              <w:t>Budget Guidelines</w:t>
            </w:r>
          </w:p>
        </w:tc>
        <w:tc>
          <w:tcPr>
            <w:tcW w:w="1199" w:type="dxa"/>
            <w:tcBorders>
              <w:bottom w:val="single" w:sz="4" w:space="0" w:color="auto"/>
            </w:tcBorders>
            <w:shd w:val="clear" w:color="auto" w:fill="CCFFCC"/>
            <w:vAlign w:val="center"/>
          </w:tcPr>
          <w:p w14:paraId="29B0F892" w14:textId="77777777" w:rsidR="00531001" w:rsidRPr="00630B4D" w:rsidRDefault="00531001" w:rsidP="003509C1">
            <w:pPr>
              <w:spacing w:after="0" w:line="240" w:lineRule="auto"/>
              <w:jc w:val="both"/>
              <w:rPr>
                <w:rFonts w:ascii="Times New Roman" w:eastAsia="Times New Roman" w:hAnsi="Times New Roman" w:cs="Times New Roman"/>
                <w:sz w:val="18"/>
                <w:szCs w:val="18"/>
                <w:lang w:eastAsia="en-GB"/>
              </w:rPr>
            </w:pPr>
            <w:r w:rsidRPr="00630B4D">
              <w:rPr>
                <w:rFonts w:ascii="Times New Roman" w:eastAsia="Times New Roman" w:hAnsi="Times New Roman" w:cs="Times New Roman"/>
                <w:sz w:val="18"/>
                <w:szCs w:val="18"/>
                <w:lang w:eastAsia="en-GB"/>
              </w:rPr>
              <w:t>Capital Guidelines</w:t>
            </w:r>
          </w:p>
        </w:tc>
        <w:tc>
          <w:tcPr>
            <w:tcW w:w="1680" w:type="dxa"/>
            <w:tcBorders>
              <w:bottom w:val="single" w:sz="4" w:space="0" w:color="auto"/>
            </w:tcBorders>
            <w:shd w:val="clear" w:color="auto" w:fill="CCFFCC"/>
            <w:vAlign w:val="center"/>
          </w:tcPr>
          <w:p w14:paraId="053CC2FF" w14:textId="77777777" w:rsidR="00531001" w:rsidRPr="00630B4D" w:rsidRDefault="00531001" w:rsidP="003509C1">
            <w:pPr>
              <w:spacing w:after="0" w:line="240" w:lineRule="auto"/>
              <w:jc w:val="both"/>
              <w:rPr>
                <w:rFonts w:ascii="Times New Roman" w:eastAsia="Times New Roman" w:hAnsi="Times New Roman" w:cs="Times New Roman"/>
                <w:sz w:val="18"/>
                <w:szCs w:val="18"/>
                <w:lang w:eastAsia="en-GB"/>
              </w:rPr>
            </w:pPr>
            <w:r w:rsidRPr="00630B4D">
              <w:rPr>
                <w:rFonts w:ascii="Times New Roman" w:eastAsia="Times New Roman" w:hAnsi="Times New Roman" w:cs="Times New Roman"/>
                <w:sz w:val="18"/>
                <w:szCs w:val="18"/>
                <w:lang w:eastAsia="en-GB"/>
              </w:rPr>
              <w:t xml:space="preserve">CIPFA </w:t>
            </w:r>
            <w:r w:rsidRPr="00C962FB">
              <w:rPr>
                <w:rFonts w:ascii="Times New Roman" w:eastAsia="Times New Roman" w:hAnsi="Times New Roman" w:cs="Times New Roman"/>
                <w:sz w:val="18"/>
                <w:szCs w:val="18"/>
                <w:lang w:eastAsia="en-GB"/>
              </w:rPr>
              <w:t xml:space="preserve">Prudential Code for Capital Finance in Local Authorities </w:t>
            </w:r>
            <w:r>
              <w:rPr>
                <w:rFonts w:ascii="Times New Roman" w:eastAsia="Times New Roman" w:hAnsi="Times New Roman" w:cs="Times New Roman"/>
                <w:sz w:val="18"/>
                <w:szCs w:val="18"/>
                <w:lang w:eastAsia="en-GB"/>
              </w:rPr>
              <w:t xml:space="preserve">&amp; </w:t>
            </w:r>
            <w:r w:rsidRPr="00630B4D">
              <w:rPr>
                <w:rFonts w:ascii="Times New Roman" w:eastAsia="Times New Roman" w:hAnsi="Times New Roman" w:cs="Times New Roman"/>
                <w:sz w:val="18"/>
                <w:szCs w:val="18"/>
                <w:lang w:eastAsia="en-GB"/>
              </w:rPr>
              <w:t>Code of Practice for TM</w:t>
            </w:r>
          </w:p>
        </w:tc>
        <w:tc>
          <w:tcPr>
            <w:tcW w:w="1672" w:type="dxa"/>
            <w:tcBorders>
              <w:bottom w:val="single" w:sz="4" w:space="0" w:color="auto"/>
            </w:tcBorders>
            <w:shd w:val="clear" w:color="auto" w:fill="CCFFCC"/>
            <w:vAlign w:val="center"/>
          </w:tcPr>
          <w:p w14:paraId="07116ED5" w14:textId="77777777" w:rsidR="00531001" w:rsidRPr="00630B4D" w:rsidRDefault="00531001" w:rsidP="003509C1">
            <w:pPr>
              <w:spacing w:after="0" w:line="240" w:lineRule="auto"/>
              <w:jc w:val="both"/>
              <w:rPr>
                <w:rFonts w:ascii="Times New Roman" w:eastAsia="Times New Roman" w:hAnsi="Times New Roman" w:cs="Times New Roman"/>
                <w:sz w:val="18"/>
                <w:szCs w:val="18"/>
                <w:lang w:eastAsia="en-GB"/>
              </w:rPr>
            </w:pPr>
            <w:r w:rsidRPr="00630B4D">
              <w:rPr>
                <w:rFonts w:ascii="Times New Roman" w:eastAsia="Times New Roman" w:hAnsi="Times New Roman" w:cs="Times New Roman"/>
                <w:sz w:val="18"/>
                <w:szCs w:val="18"/>
                <w:lang w:eastAsia="en-GB"/>
              </w:rPr>
              <w:t>CIPS &amp; Procurement Toolkit</w:t>
            </w:r>
          </w:p>
        </w:tc>
        <w:tc>
          <w:tcPr>
            <w:tcW w:w="1699" w:type="dxa"/>
            <w:tcBorders>
              <w:bottom w:val="single" w:sz="4" w:space="0" w:color="auto"/>
            </w:tcBorders>
            <w:shd w:val="clear" w:color="auto" w:fill="CCFFCC"/>
            <w:vAlign w:val="center"/>
          </w:tcPr>
          <w:p w14:paraId="42D58BB7" w14:textId="77777777" w:rsidR="00531001" w:rsidRPr="00630B4D" w:rsidRDefault="00531001" w:rsidP="003509C1">
            <w:pPr>
              <w:spacing w:after="0" w:line="240" w:lineRule="auto"/>
              <w:jc w:val="both"/>
              <w:rPr>
                <w:rFonts w:ascii="Times New Roman" w:eastAsia="Times New Roman" w:hAnsi="Times New Roman" w:cs="Times New Roman"/>
                <w:sz w:val="18"/>
                <w:szCs w:val="18"/>
                <w:lang w:eastAsia="en-GB"/>
              </w:rPr>
            </w:pPr>
            <w:r w:rsidRPr="00630B4D">
              <w:rPr>
                <w:rFonts w:ascii="Times New Roman" w:eastAsia="Times New Roman" w:hAnsi="Times New Roman" w:cs="Times New Roman"/>
                <w:sz w:val="18"/>
                <w:szCs w:val="18"/>
                <w:lang w:eastAsia="en-GB"/>
              </w:rPr>
              <w:t>Risk Management Policy and Guidance</w:t>
            </w:r>
          </w:p>
        </w:tc>
      </w:tr>
      <w:tr w:rsidR="00531001" w:rsidRPr="00630B4D" w14:paraId="1EA5B198" w14:textId="77777777" w:rsidTr="003509C1">
        <w:trPr>
          <w:trHeight w:hRule="exact" w:val="851"/>
          <w:jc w:val="center"/>
        </w:trPr>
        <w:tc>
          <w:tcPr>
            <w:tcW w:w="1313" w:type="dxa"/>
            <w:tcBorders>
              <w:bottom w:val="single" w:sz="4" w:space="0" w:color="auto"/>
            </w:tcBorders>
            <w:shd w:val="clear" w:color="auto" w:fill="FFCC99"/>
            <w:vAlign w:val="center"/>
          </w:tcPr>
          <w:p w14:paraId="4742A529" w14:textId="77777777" w:rsidR="00531001" w:rsidRPr="00630B4D" w:rsidRDefault="00531001" w:rsidP="003509C1">
            <w:pPr>
              <w:spacing w:after="0" w:line="240" w:lineRule="auto"/>
              <w:jc w:val="both"/>
              <w:rPr>
                <w:rFonts w:ascii="Times New Roman" w:eastAsia="Times New Roman" w:hAnsi="Times New Roman" w:cs="Times New Roman"/>
                <w:b/>
                <w:bCs/>
                <w:sz w:val="18"/>
                <w:szCs w:val="18"/>
                <w:lang w:eastAsia="en-GB"/>
              </w:rPr>
            </w:pPr>
            <w:r w:rsidRPr="00630B4D">
              <w:rPr>
                <w:rFonts w:ascii="Times New Roman" w:eastAsia="Times New Roman" w:hAnsi="Times New Roman" w:cs="Times New Roman"/>
                <w:b/>
                <w:bCs/>
                <w:sz w:val="18"/>
                <w:szCs w:val="18"/>
                <w:lang w:eastAsia="en-GB"/>
              </w:rPr>
              <w:t>Plans</w:t>
            </w:r>
          </w:p>
        </w:tc>
        <w:tc>
          <w:tcPr>
            <w:tcW w:w="1327" w:type="dxa"/>
            <w:gridSpan w:val="2"/>
            <w:tcBorders>
              <w:bottom w:val="single" w:sz="4" w:space="0" w:color="auto"/>
            </w:tcBorders>
            <w:shd w:val="clear" w:color="auto" w:fill="FFCC99"/>
            <w:vAlign w:val="center"/>
          </w:tcPr>
          <w:p w14:paraId="62C70323" w14:textId="77777777" w:rsidR="00531001" w:rsidRPr="00630B4D" w:rsidRDefault="00531001" w:rsidP="003509C1">
            <w:pPr>
              <w:spacing w:after="0" w:line="240" w:lineRule="auto"/>
              <w:jc w:val="both"/>
              <w:rPr>
                <w:rFonts w:ascii="Times New Roman" w:eastAsia="Times New Roman" w:hAnsi="Times New Roman" w:cs="Times New Roman"/>
                <w:sz w:val="18"/>
                <w:szCs w:val="18"/>
                <w:lang w:eastAsia="en-GB"/>
              </w:rPr>
            </w:pPr>
            <w:r w:rsidRPr="00630B4D">
              <w:rPr>
                <w:rFonts w:ascii="Times New Roman" w:eastAsia="Times New Roman" w:hAnsi="Times New Roman" w:cs="Times New Roman"/>
                <w:sz w:val="18"/>
                <w:szCs w:val="18"/>
                <w:lang w:eastAsia="en-GB"/>
              </w:rPr>
              <w:t>MTFP</w:t>
            </w:r>
          </w:p>
        </w:tc>
        <w:tc>
          <w:tcPr>
            <w:tcW w:w="1190" w:type="dxa"/>
            <w:tcBorders>
              <w:bottom w:val="single" w:sz="4" w:space="0" w:color="auto"/>
            </w:tcBorders>
            <w:shd w:val="clear" w:color="auto" w:fill="FFCC99"/>
            <w:vAlign w:val="center"/>
          </w:tcPr>
          <w:p w14:paraId="07D04F7A" w14:textId="77777777" w:rsidR="00531001" w:rsidRPr="00630B4D" w:rsidRDefault="00531001" w:rsidP="003509C1">
            <w:pPr>
              <w:spacing w:after="0" w:line="240" w:lineRule="auto"/>
              <w:jc w:val="both"/>
              <w:rPr>
                <w:rFonts w:ascii="Times New Roman" w:eastAsia="Times New Roman" w:hAnsi="Times New Roman" w:cs="Times New Roman"/>
                <w:sz w:val="18"/>
                <w:szCs w:val="18"/>
                <w:lang w:eastAsia="en-GB"/>
              </w:rPr>
            </w:pPr>
            <w:r w:rsidRPr="00630B4D">
              <w:rPr>
                <w:rFonts w:ascii="Times New Roman" w:eastAsia="Times New Roman" w:hAnsi="Times New Roman" w:cs="Times New Roman"/>
                <w:sz w:val="18"/>
                <w:szCs w:val="18"/>
                <w:lang w:eastAsia="en-GB"/>
              </w:rPr>
              <w:t>Annual</w:t>
            </w:r>
          </w:p>
          <w:p w14:paraId="5D85B52A" w14:textId="77777777" w:rsidR="00531001" w:rsidRPr="00630B4D" w:rsidRDefault="00531001" w:rsidP="003509C1">
            <w:pPr>
              <w:spacing w:after="0" w:line="240" w:lineRule="auto"/>
              <w:jc w:val="both"/>
              <w:rPr>
                <w:rFonts w:ascii="Times New Roman" w:eastAsia="Times New Roman" w:hAnsi="Times New Roman" w:cs="Times New Roman"/>
                <w:sz w:val="18"/>
                <w:szCs w:val="18"/>
                <w:lang w:eastAsia="en-GB"/>
              </w:rPr>
            </w:pPr>
            <w:r w:rsidRPr="00630B4D">
              <w:rPr>
                <w:rFonts w:ascii="Times New Roman" w:eastAsia="Times New Roman" w:hAnsi="Times New Roman" w:cs="Times New Roman"/>
                <w:sz w:val="18"/>
                <w:szCs w:val="18"/>
                <w:lang w:eastAsia="en-GB"/>
              </w:rPr>
              <w:t>Budget</w:t>
            </w:r>
          </w:p>
        </w:tc>
        <w:tc>
          <w:tcPr>
            <w:tcW w:w="1199" w:type="dxa"/>
            <w:tcBorders>
              <w:bottom w:val="single" w:sz="4" w:space="0" w:color="auto"/>
            </w:tcBorders>
            <w:shd w:val="clear" w:color="auto" w:fill="FFCC99"/>
            <w:vAlign w:val="center"/>
          </w:tcPr>
          <w:p w14:paraId="6D83EEC9" w14:textId="77777777" w:rsidR="00531001" w:rsidRPr="00630B4D" w:rsidRDefault="00531001" w:rsidP="003509C1">
            <w:pPr>
              <w:spacing w:after="0" w:line="240" w:lineRule="auto"/>
              <w:jc w:val="both"/>
              <w:rPr>
                <w:rFonts w:ascii="Times New Roman" w:eastAsia="Times New Roman" w:hAnsi="Times New Roman" w:cs="Times New Roman"/>
                <w:sz w:val="18"/>
                <w:szCs w:val="18"/>
                <w:lang w:eastAsia="en-GB"/>
              </w:rPr>
            </w:pPr>
            <w:r w:rsidRPr="00630B4D">
              <w:rPr>
                <w:rFonts w:ascii="Times New Roman" w:eastAsia="Times New Roman" w:hAnsi="Times New Roman" w:cs="Times New Roman"/>
                <w:sz w:val="18"/>
                <w:szCs w:val="18"/>
                <w:lang w:eastAsia="en-GB"/>
              </w:rPr>
              <w:t>Capital Programme</w:t>
            </w:r>
          </w:p>
          <w:p w14:paraId="796C8FC0" w14:textId="77777777" w:rsidR="00531001" w:rsidRPr="00630B4D" w:rsidRDefault="00531001" w:rsidP="003509C1">
            <w:pPr>
              <w:spacing w:after="0" w:line="240" w:lineRule="auto"/>
              <w:jc w:val="both"/>
              <w:rPr>
                <w:rFonts w:ascii="Times New Roman" w:eastAsia="Times New Roman" w:hAnsi="Times New Roman" w:cs="Times New Roman"/>
                <w:sz w:val="18"/>
                <w:szCs w:val="18"/>
                <w:lang w:eastAsia="en-GB"/>
              </w:rPr>
            </w:pPr>
            <w:r w:rsidRPr="00630B4D">
              <w:rPr>
                <w:rFonts w:ascii="Times New Roman" w:eastAsia="Times New Roman" w:hAnsi="Times New Roman" w:cs="Times New Roman"/>
                <w:sz w:val="18"/>
                <w:szCs w:val="18"/>
                <w:lang w:eastAsia="en-GB"/>
              </w:rPr>
              <w:t>&amp; AMP</w:t>
            </w:r>
          </w:p>
        </w:tc>
        <w:tc>
          <w:tcPr>
            <w:tcW w:w="1680" w:type="dxa"/>
            <w:tcBorders>
              <w:bottom w:val="single" w:sz="4" w:space="0" w:color="auto"/>
            </w:tcBorders>
            <w:shd w:val="clear" w:color="auto" w:fill="FFCC99"/>
            <w:vAlign w:val="center"/>
          </w:tcPr>
          <w:p w14:paraId="54D3A6F8" w14:textId="77777777" w:rsidR="00531001" w:rsidRPr="00630B4D" w:rsidRDefault="00531001" w:rsidP="003509C1">
            <w:pPr>
              <w:spacing w:after="0" w:line="240" w:lineRule="auto"/>
              <w:jc w:val="both"/>
              <w:rPr>
                <w:rFonts w:ascii="Times New Roman" w:eastAsia="Times New Roman" w:hAnsi="Times New Roman" w:cs="Times New Roman"/>
                <w:sz w:val="18"/>
                <w:szCs w:val="18"/>
                <w:lang w:eastAsia="en-GB"/>
              </w:rPr>
            </w:pPr>
            <w:r w:rsidRPr="00630B4D">
              <w:rPr>
                <w:rFonts w:ascii="Times New Roman" w:eastAsia="Times New Roman" w:hAnsi="Times New Roman" w:cs="Times New Roman"/>
                <w:sz w:val="18"/>
                <w:szCs w:val="18"/>
                <w:lang w:eastAsia="en-GB"/>
              </w:rPr>
              <w:t>Treasury Policy Statement</w:t>
            </w:r>
          </w:p>
        </w:tc>
        <w:tc>
          <w:tcPr>
            <w:tcW w:w="1672" w:type="dxa"/>
            <w:tcBorders>
              <w:bottom w:val="single" w:sz="4" w:space="0" w:color="auto"/>
            </w:tcBorders>
            <w:shd w:val="clear" w:color="auto" w:fill="FFCC99"/>
            <w:vAlign w:val="center"/>
          </w:tcPr>
          <w:p w14:paraId="56B9596D" w14:textId="77777777" w:rsidR="00531001" w:rsidRPr="00630B4D" w:rsidRDefault="00531001" w:rsidP="003509C1">
            <w:pPr>
              <w:spacing w:after="0" w:line="240" w:lineRule="auto"/>
              <w:jc w:val="both"/>
              <w:rPr>
                <w:rFonts w:ascii="Times New Roman" w:eastAsia="Times New Roman" w:hAnsi="Times New Roman" w:cs="Times New Roman"/>
                <w:sz w:val="18"/>
                <w:szCs w:val="18"/>
                <w:lang w:eastAsia="en-GB"/>
              </w:rPr>
            </w:pPr>
            <w:r w:rsidRPr="00630B4D">
              <w:rPr>
                <w:rFonts w:ascii="Times New Roman" w:eastAsia="Times New Roman" w:hAnsi="Times New Roman" w:cs="Times New Roman"/>
                <w:sz w:val="18"/>
                <w:szCs w:val="18"/>
                <w:lang w:eastAsia="en-GB"/>
              </w:rPr>
              <w:t>Procurement Checklist</w:t>
            </w:r>
          </w:p>
        </w:tc>
        <w:tc>
          <w:tcPr>
            <w:tcW w:w="1699" w:type="dxa"/>
            <w:tcBorders>
              <w:bottom w:val="single" w:sz="4" w:space="0" w:color="auto"/>
            </w:tcBorders>
            <w:shd w:val="clear" w:color="auto" w:fill="FFCC99"/>
            <w:vAlign w:val="center"/>
          </w:tcPr>
          <w:p w14:paraId="1FA88291" w14:textId="77777777" w:rsidR="00531001" w:rsidRPr="00630B4D" w:rsidRDefault="00531001" w:rsidP="003509C1">
            <w:pPr>
              <w:spacing w:after="0" w:line="240" w:lineRule="auto"/>
              <w:jc w:val="both"/>
              <w:rPr>
                <w:rFonts w:ascii="Times New Roman" w:eastAsia="Times New Roman" w:hAnsi="Times New Roman" w:cs="Times New Roman"/>
                <w:sz w:val="18"/>
                <w:szCs w:val="18"/>
                <w:lang w:eastAsia="en-GB"/>
              </w:rPr>
            </w:pPr>
            <w:r w:rsidRPr="00630B4D">
              <w:rPr>
                <w:rFonts w:ascii="Times New Roman" w:eastAsia="Times New Roman" w:hAnsi="Times New Roman" w:cs="Times New Roman"/>
                <w:sz w:val="18"/>
                <w:szCs w:val="18"/>
                <w:lang w:eastAsia="en-GB"/>
              </w:rPr>
              <w:t>Risk Responses</w:t>
            </w:r>
          </w:p>
        </w:tc>
      </w:tr>
      <w:tr w:rsidR="00531001" w:rsidRPr="00630B4D" w14:paraId="30A0169C" w14:textId="77777777" w:rsidTr="003509C1">
        <w:trPr>
          <w:trHeight w:hRule="exact" w:val="851"/>
          <w:jc w:val="center"/>
        </w:trPr>
        <w:tc>
          <w:tcPr>
            <w:tcW w:w="1313" w:type="dxa"/>
            <w:tcBorders>
              <w:bottom w:val="nil"/>
            </w:tcBorders>
            <w:shd w:val="clear" w:color="auto" w:fill="FFFF99"/>
            <w:vAlign w:val="center"/>
          </w:tcPr>
          <w:p w14:paraId="559AE18B" w14:textId="77777777" w:rsidR="00531001" w:rsidRPr="00630B4D" w:rsidRDefault="00531001" w:rsidP="003509C1">
            <w:pPr>
              <w:spacing w:after="0" w:line="240" w:lineRule="auto"/>
              <w:jc w:val="both"/>
              <w:rPr>
                <w:rFonts w:ascii="Times New Roman" w:eastAsia="Times New Roman" w:hAnsi="Times New Roman" w:cs="Times New Roman"/>
                <w:b/>
                <w:bCs/>
                <w:sz w:val="18"/>
                <w:szCs w:val="18"/>
                <w:lang w:eastAsia="en-GB"/>
              </w:rPr>
            </w:pPr>
          </w:p>
          <w:p w14:paraId="31CB7CB8" w14:textId="77777777" w:rsidR="00531001" w:rsidRPr="00630B4D" w:rsidRDefault="00531001" w:rsidP="003509C1">
            <w:pPr>
              <w:spacing w:after="0" w:line="240" w:lineRule="auto"/>
              <w:jc w:val="both"/>
              <w:rPr>
                <w:rFonts w:ascii="Times New Roman" w:eastAsia="Times New Roman" w:hAnsi="Times New Roman" w:cs="Times New Roman"/>
                <w:b/>
                <w:bCs/>
                <w:sz w:val="18"/>
                <w:szCs w:val="18"/>
                <w:lang w:eastAsia="en-GB"/>
              </w:rPr>
            </w:pPr>
          </w:p>
          <w:p w14:paraId="667C75E9" w14:textId="77777777" w:rsidR="00531001" w:rsidRPr="00630B4D" w:rsidRDefault="00531001" w:rsidP="003509C1">
            <w:pPr>
              <w:spacing w:after="0" w:line="240" w:lineRule="auto"/>
              <w:jc w:val="both"/>
              <w:rPr>
                <w:rFonts w:ascii="Times New Roman" w:eastAsia="Times New Roman" w:hAnsi="Times New Roman" w:cs="Times New Roman"/>
                <w:b/>
                <w:bCs/>
                <w:sz w:val="18"/>
                <w:szCs w:val="18"/>
                <w:lang w:eastAsia="en-GB"/>
              </w:rPr>
            </w:pPr>
            <w:r w:rsidRPr="00630B4D">
              <w:rPr>
                <w:rFonts w:ascii="Times New Roman" w:eastAsia="Times New Roman" w:hAnsi="Times New Roman" w:cs="Times New Roman"/>
                <w:b/>
                <w:bCs/>
                <w:sz w:val="18"/>
                <w:szCs w:val="18"/>
                <w:lang w:eastAsia="en-GB"/>
              </w:rPr>
              <w:t>Governance</w:t>
            </w:r>
          </w:p>
        </w:tc>
        <w:tc>
          <w:tcPr>
            <w:tcW w:w="1327" w:type="dxa"/>
            <w:gridSpan w:val="2"/>
            <w:shd w:val="clear" w:color="auto" w:fill="FFFF99"/>
            <w:vAlign w:val="center"/>
          </w:tcPr>
          <w:p w14:paraId="4FC44808" w14:textId="77777777" w:rsidR="00531001" w:rsidRPr="00630B4D" w:rsidRDefault="00531001" w:rsidP="003509C1">
            <w:pPr>
              <w:spacing w:before="120" w:after="0" w:line="240" w:lineRule="auto"/>
              <w:jc w:val="both"/>
              <w:rPr>
                <w:rFonts w:ascii="Times New Roman" w:eastAsia="Times New Roman" w:hAnsi="Times New Roman" w:cs="Times New Roman"/>
                <w:sz w:val="18"/>
                <w:szCs w:val="18"/>
                <w:lang w:eastAsia="en-GB"/>
              </w:rPr>
            </w:pPr>
            <w:r w:rsidRPr="00630B4D">
              <w:rPr>
                <w:rFonts w:ascii="Times New Roman" w:eastAsia="Times New Roman" w:hAnsi="Times New Roman" w:cs="Times New Roman"/>
                <w:sz w:val="18"/>
                <w:szCs w:val="18"/>
                <w:lang w:eastAsia="en-GB"/>
              </w:rPr>
              <w:t>Constitution</w:t>
            </w:r>
          </w:p>
          <w:p w14:paraId="380C3353" w14:textId="77777777" w:rsidR="00531001" w:rsidRPr="00630B4D" w:rsidRDefault="00531001" w:rsidP="003509C1">
            <w:pPr>
              <w:spacing w:after="0" w:line="240" w:lineRule="auto"/>
              <w:jc w:val="both"/>
              <w:rPr>
                <w:rFonts w:ascii="Times New Roman" w:eastAsia="Times New Roman" w:hAnsi="Times New Roman" w:cs="Times New Roman"/>
                <w:sz w:val="18"/>
                <w:szCs w:val="18"/>
                <w:lang w:eastAsia="en-GB"/>
              </w:rPr>
            </w:pPr>
          </w:p>
        </w:tc>
        <w:tc>
          <w:tcPr>
            <w:tcW w:w="2389" w:type="dxa"/>
            <w:gridSpan w:val="2"/>
            <w:shd w:val="clear" w:color="auto" w:fill="FFFF99"/>
            <w:vAlign w:val="center"/>
          </w:tcPr>
          <w:p w14:paraId="4719B784" w14:textId="77777777" w:rsidR="00531001" w:rsidRPr="00630B4D" w:rsidRDefault="00531001" w:rsidP="003509C1">
            <w:pPr>
              <w:spacing w:after="0" w:line="240" w:lineRule="auto"/>
              <w:jc w:val="both"/>
              <w:rPr>
                <w:rFonts w:ascii="Times New Roman" w:eastAsia="Times New Roman" w:hAnsi="Times New Roman" w:cs="Times New Roman"/>
                <w:sz w:val="18"/>
                <w:szCs w:val="18"/>
                <w:lang w:eastAsia="en-GB"/>
              </w:rPr>
            </w:pPr>
            <w:r w:rsidRPr="00630B4D">
              <w:rPr>
                <w:rFonts w:ascii="Times New Roman" w:eastAsia="Times New Roman" w:hAnsi="Times New Roman" w:cs="Times New Roman"/>
                <w:sz w:val="18"/>
                <w:szCs w:val="18"/>
                <w:lang w:eastAsia="en-GB"/>
              </w:rPr>
              <w:t xml:space="preserve">Budget Management &amp; Control statements &amp; </w:t>
            </w:r>
            <w:r>
              <w:rPr>
                <w:rFonts w:ascii="Times New Roman" w:eastAsia="Times New Roman" w:hAnsi="Times New Roman" w:cs="Times New Roman"/>
                <w:sz w:val="18"/>
                <w:szCs w:val="18"/>
                <w:lang w:eastAsia="en-GB"/>
              </w:rPr>
              <w:t>Local Code of Corporate Governance</w:t>
            </w:r>
          </w:p>
        </w:tc>
        <w:tc>
          <w:tcPr>
            <w:tcW w:w="1680" w:type="dxa"/>
            <w:shd w:val="clear" w:color="auto" w:fill="FFFF99"/>
            <w:vAlign w:val="center"/>
          </w:tcPr>
          <w:p w14:paraId="40A21DEB" w14:textId="77777777" w:rsidR="00531001" w:rsidRPr="00630B4D" w:rsidRDefault="00531001" w:rsidP="003509C1">
            <w:pPr>
              <w:spacing w:after="0" w:line="240" w:lineRule="auto"/>
              <w:jc w:val="both"/>
              <w:rPr>
                <w:rFonts w:ascii="Times New Roman" w:eastAsia="Times New Roman" w:hAnsi="Times New Roman" w:cs="Times New Roman"/>
                <w:sz w:val="18"/>
                <w:szCs w:val="18"/>
                <w:lang w:eastAsia="en-GB"/>
              </w:rPr>
            </w:pPr>
            <w:r w:rsidRPr="00630B4D">
              <w:rPr>
                <w:rFonts w:ascii="Times New Roman" w:eastAsia="Times New Roman" w:hAnsi="Times New Roman" w:cs="Times New Roman"/>
                <w:sz w:val="18"/>
                <w:szCs w:val="18"/>
                <w:lang w:eastAsia="en-GB"/>
              </w:rPr>
              <w:t>Prudential Indicators &amp; Annual Report</w:t>
            </w:r>
          </w:p>
        </w:tc>
        <w:tc>
          <w:tcPr>
            <w:tcW w:w="1672" w:type="dxa"/>
            <w:shd w:val="clear" w:color="auto" w:fill="FFFF99"/>
            <w:vAlign w:val="center"/>
          </w:tcPr>
          <w:p w14:paraId="2662877B" w14:textId="77777777" w:rsidR="00531001" w:rsidRPr="00630B4D" w:rsidRDefault="00531001" w:rsidP="003509C1">
            <w:pPr>
              <w:spacing w:after="0" w:line="240" w:lineRule="auto"/>
              <w:jc w:val="both"/>
              <w:rPr>
                <w:rFonts w:ascii="Times New Roman" w:eastAsia="Times New Roman" w:hAnsi="Times New Roman" w:cs="Times New Roman"/>
                <w:sz w:val="18"/>
                <w:szCs w:val="18"/>
                <w:lang w:eastAsia="en-GB"/>
              </w:rPr>
            </w:pPr>
            <w:r w:rsidRPr="00630B4D">
              <w:rPr>
                <w:rFonts w:ascii="Times New Roman" w:eastAsia="Times New Roman" w:hAnsi="Times New Roman" w:cs="Times New Roman"/>
                <w:sz w:val="18"/>
                <w:szCs w:val="18"/>
                <w:lang w:eastAsia="en-GB"/>
              </w:rPr>
              <w:t>Contract &amp; Finance Procedure Rules</w:t>
            </w:r>
          </w:p>
        </w:tc>
        <w:tc>
          <w:tcPr>
            <w:tcW w:w="1699" w:type="dxa"/>
            <w:shd w:val="clear" w:color="auto" w:fill="FFFF99"/>
            <w:vAlign w:val="center"/>
          </w:tcPr>
          <w:p w14:paraId="2CF43B9F" w14:textId="77777777" w:rsidR="00531001" w:rsidRPr="00630B4D" w:rsidRDefault="00531001" w:rsidP="003509C1">
            <w:pPr>
              <w:spacing w:after="0" w:line="240" w:lineRule="auto"/>
              <w:jc w:val="both"/>
              <w:rPr>
                <w:rFonts w:ascii="Times New Roman" w:eastAsia="Times New Roman" w:hAnsi="Times New Roman" w:cs="Times New Roman"/>
                <w:sz w:val="18"/>
                <w:szCs w:val="18"/>
                <w:lang w:eastAsia="en-GB"/>
              </w:rPr>
            </w:pPr>
            <w:r w:rsidRPr="00630B4D">
              <w:rPr>
                <w:rFonts w:ascii="Times New Roman" w:eastAsia="Times New Roman" w:hAnsi="Times New Roman" w:cs="Times New Roman"/>
                <w:sz w:val="18"/>
                <w:szCs w:val="18"/>
                <w:lang w:eastAsia="en-GB"/>
              </w:rPr>
              <w:t>Risk Register reporting and regular review</w:t>
            </w:r>
          </w:p>
        </w:tc>
      </w:tr>
      <w:tr w:rsidR="00531001" w:rsidRPr="00630B4D" w14:paraId="7C8A50E7" w14:textId="77777777" w:rsidTr="003509C1">
        <w:trPr>
          <w:jc w:val="center"/>
        </w:trPr>
        <w:tc>
          <w:tcPr>
            <w:tcW w:w="1313" w:type="dxa"/>
            <w:tcBorders>
              <w:top w:val="nil"/>
              <w:bottom w:val="single" w:sz="4" w:space="0" w:color="auto"/>
            </w:tcBorders>
            <w:shd w:val="clear" w:color="auto" w:fill="FFFF99"/>
          </w:tcPr>
          <w:p w14:paraId="08901BF8" w14:textId="77777777" w:rsidR="00531001" w:rsidRPr="00630B4D" w:rsidRDefault="00531001" w:rsidP="003509C1">
            <w:pPr>
              <w:spacing w:before="120" w:after="120" w:line="240" w:lineRule="auto"/>
              <w:jc w:val="both"/>
              <w:rPr>
                <w:rFonts w:ascii="Times New Roman" w:eastAsia="Times New Roman" w:hAnsi="Times New Roman" w:cs="Times New Roman"/>
                <w:sz w:val="18"/>
                <w:szCs w:val="18"/>
                <w:lang w:eastAsia="en-GB"/>
              </w:rPr>
            </w:pPr>
          </w:p>
        </w:tc>
        <w:tc>
          <w:tcPr>
            <w:tcW w:w="7068" w:type="dxa"/>
            <w:gridSpan w:val="6"/>
            <w:shd w:val="clear" w:color="auto" w:fill="FFFF99"/>
            <w:vAlign w:val="center"/>
          </w:tcPr>
          <w:p w14:paraId="1B8D9C8A" w14:textId="77777777" w:rsidR="00531001" w:rsidRPr="00630B4D" w:rsidRDefault="00531001" w:rsidP="003509C1">
            <w:pPr>
              <w:spacing w:before="120" w:after="120" w:line="240" w:lineRule="auto"/>
              <w:jc w:val="both"/>
              <w:rPr>
                <w:rFonts w:ascii="Times New Roman" w:eastAsia="Times New Roman" w:hAnsi="Times New Roman" w:cs="Times New Roman"/>
                <w:sz w:val="18"/>
                <w:szCs w:val="18"/>
                <w:lang w:eastAsia="en-GB"/>
              </w:rPr>
            </w:pPr>
            <w:r w:rsidRPr="00630B4D">
              <w:rPr>
                <w:rFonts w:ascii="Times New Roman" w:eastAsia="Times New Roman" w:hAnsi="Times New Roman" w:cs="Times New Roman"/>
                <w:sz w:val="18"/>
                <w:szCs w:val="18"/>
                <w:lang w:eastAsia="en-GB"/>
              </w:rPr>
              <w:t>Financial Regulations and Standing Orders</w:t>
            </w:r>
          </w:p>
        </w:tc>
        <w:tc>
          <w:tcPr>
            <w:tcW w:w="1699" w:type="dxa"/>
            <w:shd w:val="clear" w:color="auto" w:fill="FFFF99"/>
            <w:vAlign w:val="center"/>
          </w:tcPr>
          <w:p w14:paraId="22BB0A64" w14:textId="77777777" w:rsidR="00531001" w:rsidRPr="00630B4D" w:rsidRDefault="00531001" w:rsidP="003509C1">
            <w:pPr>
              <w:spacing w:after="0" w:line="240" w:lineRule="auto"/>
              <w:jc w:val="both"/>
              <w:rPr>
                <w:rFonts w:ascii="Times New Roman" w:eastAsia="Times New Roman" w:hAnsi="Times New Roman" w:cs="Times New Roman"/>
                <w:sz w:val="18"/>
                <w:szCs w:val="18"/>
                <w:lang w:eastAsia="en-GB"/>
              </w:rPr>
            </w:pPr>
            <w:r w:rsidRPr="00630B4D">
              <w:rPr>
                <w:rFonts w:ascii="Times New Roman" w:eastAsia="Times New Roman" w:hAnsi="Times New Roman" w:cs="Times New Roman"/>
                <w:sz w:val="18"/>
                <w:szCs w:val="18"/>
                <w:lang w:eastAsia="en-GB"/>
              </w:rPr>
              <w:t>Audit Committee Reports &amp; annual report</w:t>
            </w:r>
          </w:p>
        </w:tc>
      </w:tr>
    </w:tbl>
    <w:p w14:paraId="614E9F0F" w14:textId="77777777" w:rsidR="00630B4D" w:rsidRPr="00630B4D" w:rsidRDefault="00630B4D" w:rsidP="00630B4D">
      <w:pPr>
        <w:autoSpaceDE w:val="0"/>
        <w:autoSpaceDN w:val="0"/>
        <w:adjustRightInd w:val="0"/>
        <w:spacing w:after="120" w:line="240" w:lineRule="auto"/>
        <w:jc w:val="both"/>
        <w:rPr>
          <w:rFonts w:ascii="Arial" w:eastAsia="Times New Roman" w:hAnsi="Arial" w:cs="Arial"/>
          <w:sz w:val="24"/>
          <w:szCs w:val="24"/>
          <w:lang w:eastAsia="en-GB"/>
        </w:rPr>
      </w:pPr>
    </w:p>
    <w:p w14:paraId="2038E715" w14:textId="77777777" w:rsidR="00630B4D" w:rsidRPr="00630B4D" w:rsidRDefault="00630B4D" w:rsidP="0038335F">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630B4D">
        <w:rPr>
          <w:rFonts w:ascii="Arial" w:eastAsia="Times New Roman" w:hAnsi="Arial" w:cs="Arial"/>
          <w:sz w:val="24"/>
          <w:szCs w:val="24"/>
          <w:lang w:eastAsia="en-GB"/>
        </w:rPr>
        <w:t>The Chief Finance Officer is responsible for providing guidance on setting up companies. Corporate Directors and the Director for Public Health must seek approval from the Chief Finance Officer and Head of Legal before setting up a company or establishing formal relationships with any external organisation.</w:t>
      </w:r>
      <w:r w:rsidRPr="0038335F">
        <w:rPr>
          <w:rFonts w:ascii="Arial" w:eastAsia="Times New Roman" w:hAnsi="Arial" w:cs="Arial"/>
          <w:sz w:val="24"/>
          <w:szCs w:val="24"/>
          <w:lang w:eastAsia="en-GB"/>
        </w:rPr>
        <w:t xml:space="preserve"> </w:t>
      </w:r>
      <w:r w:rsidRPr="00630B4D">
        <w:rPr>
          <w:rFonts w:ascii="Arial" w:eastAsia="Times New Roman" w:hAnsi="Arial" w:cs="Arial"/>
          <w:sz w:val="24"/>
          <w:szCs w:val="24"/>
          <w:lang w:eastAsia="en-GB"/>
        </w:rPr>
        <w:t xml:space="preserve">Group companies each have their own </w:t>
      </w:r>
      <w:r w:rsidR="00903562">
        <w:rPr>
          <w:rFonts w:ascii="Arial" w:eastAsia="Times New Roman" w:hAnsi="Arial" w:cs="Arial"/>
          <w:sz w:val="24"/>
          <w:szCs w:val="24"/>
          <w:lang w:eastAsia="en-GB"/>
        </w:rPr>
        <w:t>b</w:t>
      </w:r>
      <w:r w:rsidRPr="00630B4D">
        <w:rPr>
          <w:rFonts w:ascii="Arial" w:eastAsia="Times New Roman" w:hAnsi="Arial" w:cs="Arial"/>
          <w:sz w:val="24"/>
          <w:szCs w:val="24"/>
          <w:lang w:eastAsia="en-GB"/>
        </w:rPr>
        <w:t>oard, which is responsible for the direction and governance of the company. The Council as shareholder has rights to nominate directors to these boards.</w:t>
      </w:r>
    </w:p>
    <w:p w14:paraId="4205C1EF" w14:textId="77777777" w:rsidR="00517226" w:rsidRDefault="00EE3780" w:rsidP="0038335F">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EB5EB1">
        <w:rPr>
          <w:rFonts w:ascii="Arial" w:eastAsia="Times New Roman" w:hAnsi="Arial" w:cs="Arial"/>
          <w:sz w:val="24"/>
          <w:szCs w:val="24"/>
          <w:lang w:eastAsia="en-GB"/>
        </w:rPr>
        <w:t>NCC has</w:t>
      </w:r>
      <w:r w:rsidR="00517226" w:rsidRPr="00EB5EB1">
        <w:rPr>
          <w:rFonts w:ascii="Arial" w:eastAsia="Times New Roman" w:hAnsi="Arial" w:cs="Arial"/>
          <w:sz w:val="24"/>
          <w:szCs w:val="24"/>
          <w:lang w:eastAsia="en-GB"/>
        </w:rPr>
        <w:t xml:space="preserve"> ensure</w:t>
      </w:r>
      <w:r w:rsidRPr="00EB5EB1">
        <w:rPr>
          <w:rFonts w:ascii="Arial" w:eastAsia="Times New Roman" w:hAnsi="Arial" w:cs="Arial"/>
          <w:sz w:val="24"/>
          <w:szCs w:val="24"/>
          <w:lang w:eastAsia="en-GB"/>
        </w:rPr>
        <w:t>d</w:t>
      </w:r>
      <w:r w:rsidR="00517226" w:rsidRPr="00EB5EB1">
        <w:rPr>
          <w:rFonts w:ascii="Arial" w:eastAsia="Times New Roman" w:hAnsi="Arial" w:cs="Arial"/>
          <w:sz w:val="24"/>
          <w:szCs w:val="24"/>
          <w:lang w:eastAsia="en-GB"/>
        </w:rPr>
        <w:t xml:space="preserve"> </w:t>
      </w:r>
      <w:r w:rsidR="00EA1BC5" w:rsidRPr="00EB5EB1">
        <w:rPr>
          <w:rFonts w:ascii="Arial" w:eastAsia="Times New Roman" w:hAnsi="Arial" w:cs="Arial"/>
          <w:sz w:val="24"/>
          <w:szCs w:val="24"/>
          <w:lang w:eastAsia="en-GB"/>
        </w:rPr>
        <w:t xml:space="preserve">that group </w:t>
      </w:r>
      <w:r w:rsidR="00517226" w:rsidRPr="00EB5EB1">
        <w:rPr>
          <w:rFonts w:ascii="Arial" w:eastAsia="Times New Roman" w:hAnsi="Arial" w:cs="Arial"/>
          <w:sz w:val="24"/>
          <w:szCs w:val="24"/>
          <w:lang w:eastAsia="en-GB"/>
        </w:rPr>
        <w:t xml:space="preserve">companies </w:t>
      </w:r>
      <w:r w:rsidR="00E31BA6" w:rsidRPr="00024F53">
        <w:rPr>
          <w:rFonts w:ascii="Arial" w:eastAsia="Times New Roman" w:hAnsi="Arial" w:cs="Arial"/>
          <w:sz w:val="24"/>
          <w:szCs w:val="24"/>
          <w:lang w:eastAsia="en-GB"/>
        </w:rPr>
        <w:t>(subject to the sole exception of Robin Hood Energy</w:t>
      </w:r>
      <w:r w:rsidR="0025491D">
        <w:rPr>
          <w:rFonts w:ascii="Arial" w:eastAsia="Times New Roman" w:hAnsi="Arial" w:cs="Arial"/>
          <w:sz w:val="24"/>
          <w:szCs w:val="24"/>
          <w:lang w:eastAsia="en-GB"/>
        </w:rPr>
        <w:t xml:space="preserve"> Ltd</w:t>
      </w:r>
      <w:r w:rsidR="00E31BA6" w:rsidRPr="00024F53">
        <w:rPr>
          <w:rFonts w:ascii="Arial" w:eastAsia="Times New Roman" w:hAnsi="Arial" w:cs="Arial"/>
          <w:sz w:val="24"/>
          <w:szCs w:val="24"/>
          <w:lang w:eastAsia="en-GB"/>
        </w:rPr>
        <w:t>) align their</w:t>
      </w:r>
      <w:r w:rsidR="00E31BA6">
        <w:rPr>
          <w:rFonts w:ascii="Arial" w:eastAsia="Times New Roman" w:hAnsi="Arial" w:cs="Arial"/>
          <w:sz w:val="24"/>
          <w:szCs w:val="24"/>
          <w:lang w:eastAsia="en-GB"/>
        </w:rPr>
        <w:t xml:space="preserve"> financial closedown </w:t>
      </w:r>
      <w:r w:rsidR="00517226" w:rsidRPr="00EB5EB1">
        <w:rPr>
          <w:rFonts w:ascii="Arial" w:eastAsia="Times New Roman" w:hAnsi="Arial" w:cs="Arial"/>
          <w:sz w:val="24"/>
          <w:szCs w:val="24"/>
          <w:lang w:eastAsia="en-GB"/>
        </w:rPr>
        <w:t xml:space="preserve">with the NCC timetable and </w:t>
      </w:r>
      <w:r w:rsidRPr="00EB5EB1">
        <w:rPr>
          <w:rFonts w:ascii="Arial" w:eastAsia="Times New Roman" w:hAnsi="Arial" w:cs="Arial"/>
          <w:sz w:val="24"/>
          <w:szCs w:val="24"/>
          <w:lang w:eastAsia="en-GB"/>
        </w:rPr>
        <w:t xml:space="preserve">has continued work to ensure </w:t>
      </w:r>
      <w:r w:rsidR="00517226" w:rsidRPr="00EB5EB1">
        <w:rPr>
          <w:rFonts w:ascii="Arial" w:eastAsia="Times New Roman" w:hAnsi="Arial" w:cs="Arial"/>
          <w:sz w:val="24"/>
          <w:szCs w:val="24"/>
          <w:lang w:eastAsia="en-GB"/>
        </w:rPr>
        <w:t>best practice for governance of companies</w:t>
      </w:r>
      <w:r w:rsidRPr="00EB5EB1">
        <w:rPr>
          <w:rFonts w:ascii="Arial" w:eastAsia="Times New Roman" w:hAnsi="Arial" w:cs="Arial"/>
          <w:sz w:val="24"/>
          <w:szCs w:val="24"/>
          <w:lang w:eastAsia="en-GB"/>
        </w:rPr>
        <w:t>. In 2019</w:t>
      </w:r>
      <w:r w:rsidR="0003554D" w:rsidRPr="00EB5EB1">
        <w:rPr>
          <w:rFonts w:ascii="Arial" w:eastAsia="Times New Roman" w:hAnsi="Arial" w:cs="Arial"/>
          <w:sz w:val="24"/>
          <w:szCs w:val="24"/>
          <w:lang w:eastAsia="en-GB"/>
        </w:rPr>
        <w:t>/</w:t>
      </w:r>
      <w:r w:rsidRPr="00EB5EB1">
        <w:rPr>
          <w:rFonts w:ascii="Arial" w:eastAsia="Times New Roman" w:hAnsi="Arial" w:cs="Arial"/>
          <w:sz w:val="24"/>
          <w:szCs w:val="24"/>
          <w:lang w:eastAsia="en-GB"/>
        </w:rPr>
        <w:t xml:space="preserve">20 this </w:t>
      </w:r>
      <w:r w:rsidR="00E07B29">
        <w:rPr>
          <w:rFonts w:ascii="Arial" w:eastAsia="Times New Roman" w:hAnsi="Arial" w:cs="Arial"/>
          <w:sz w:val="24"/>
          <w:szCs w:val="24"/>
          <w:lang w:eastAsia="en-GB"/>
        </w:rPr>
        <w:t>has</w:t>
      </w:r>
      <w:r w:rsidR="007241D8" w:rsidRPr="00EB5EB1">
        <w:rPr>
          <w:rFonts w:ascii="Arial" w:eastAsia="Times New Roman" w:hAnsi="Arial" w:cs="Arial"/>
          <w:sz w:val="24"/>
          <w:szCs w:val="24"/>
          <w:lang w:eastAsia="en-GB"/>
        </w:rPr>
        <w:t xml:space="preserve"> include</w:t>
      </w:r>
      <w:r w:rsidR="00E07B29">
        <w:rPr>
          <w:rFonts w:ascii="Arial" w:eastAsia="Times New Roman" w:hAnsi="Arial" w:cs="Arial"/>
          <w:sz w:val="24"/>
          <w:szCs w:val="24"/>
          <w:lang w:eastAsia="en-GB"/>
        </w:rPr>
        <w:t>d</w:t>
      </w:r>
      <w:r w:rsidR="003A130B">
        <w:rPr>
          <w:rFonts w:ascii="Arial" w:eastAsia="Times New Roman" w:hAnsi="Arial" w:cs="Arial"/>
          <w:sz w:val="24"/>
          <w:szCs w:val="24"/>
          <w:lang w:eastAsia="en-GB"/>
        </w:rPr>
        <w:t xml:space="preserve"> a S</w:t>
      </w:r>
      <w:r w:rsidR="007241D8" w:rsidRPr="00EB5EB1">
        <w:rPr>
          <w:rFonts w:ascii="Arial" w:eastAsia="Times New Roman" w:hAnsi="Arial" w:cs="Arial"/>
          <w:sz w:val="24"/>
          <w:szCs w:val="24"/>
          <w:lang w:eastAsia="en-GB"/>
        </w:rPr>
        <w:t xml:space="preserve">hareholder </w:t>
      </w:r>
      <w:r w:rsidR="003A130B">
        <w:rPr>
          <w:rFonts w:ascii="Arial" w:eastAsia="Times New Roman" w:hAnsi="Arial" w:cs="Arial"/>
          <w:sz w:val="24"/>
          <w:szCs w:val="24"/>
          <w:lang w:eastAsia="en-GB"/>
        </w:rPr>
        <w:t>Advisory P</w:t>
      </w:r>
      <w:r w:rsidR="0071632B">
        <w:rPr>
          <w:rFonts w:ascii="Arial" w:eastAsia="Times New Roman" w:hAnsi="Arial" w:cs="Arial"/>
          <w:sz w:val="24"/>
          <w:szCs w:val="24"/>
          <w:lang w:eastAsia="en-GB"/>
        </w:rPr>
        <w:t>anel and Companies Governance Executive Sub-Committee</w:t>
      </w:r>
      <w:r w:rsidR="007241D8" w:rsidRPr="00EB5EB1">
        <w:rPr>
          <w:rFonts w:ascii="Arial" w:eastAsia="Times New Roman" w:hAnsi="Arial" w:cs="Arial"/>
          <w:sz w:val="24"/>
          <w:szCs w:val="24"/>
          <w:lang w:eastAsia="en-GB"/>
        </w:rPr>
        <w:t xml:space="preserve"> to ensure that the Council's strategic objectives are </w:t>
      </w:r>
      <w:r w:rsidR="007241D8" w:rsidRPr="00EB5EB1">
        <w:rPr>
          <w:rFonts w:ascii="Arial" w:eastAsia="Times New Roman" w:hAnsi="Arial" w:cs="Arial"/>
          <w:sz w:val="24"/>
          <w:szCs w:val="24"/>
          <w:lang w:eastAsia="en-GB"/>
        </w:rPr>
        <w:lastRenderedPageBreak/>
        <w:t>met across the group and to support the development of the Group in line with the Council's regulations and ambitions</w:t>
      </w:r>
      <w:r w:rsidR="007B2CBB">
        <w:rPr>
          <w:rFonts w:ascii="Arial" w:eastAsia="Times New Roman" w:hAnsi="Arial" w:cs="Arial"/>
          <w:sz w:val="24"/>
          <w:szCs w:val="24"/>
          <w:lang w:eastAsia="en-GB"/>
        </w:rPr>
        <w:t>. These arrangements will be reviewed as part of the action plan for the Report in the Public Interest (Appendix 2)</w:t>
      </w:r>
      <w:r w:rsidR="00517226">
        <w:rPr>
          <w:rFonts w:ascii="Arial" w:eastAsia="Times New Roman" w:hAnsi="Arial" w:cs="Arial"/>
          <w:sz w:val="24"/>
          <w:szCs w:val="24"/>
          <w:lang w:eastAsia="en-GB"/>
        </w:rPr>
        <w:t>.</w:t>
      </w:r>
    </w:p>
    <w:p w14:paraId="71EDB53A" w14:textId="77777777" w:rsidR="00517226" w:rsidRDefault="00630B4D" w:rsidP="00517226">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630B4D">
        <w:rPr>
          <w:rFonts w:ascii="Arial" w:eastAsia="Times New Roman" w:hAnsi="Arial" w:cs="Arial"/>
          <w:sz w:val="24"/>
          <w:szCs w:val="24"/>
          <w:lang w:eastAsia="en-GB"/>
        </w:rPr>
        <w:t>The Internal Audit work plan is aligned to the Council Plan and as part of the process to determine the plan Internal Audit consults with Corporate Directors and key stakeholders within the Council and its companies. Internal Audit mainly conforms to the Public Sector Internal Audit S</w:t>
      </w:r>
      <w:r w:rsidR="00ED13A8">
        <w:rPr>
          <w:rFonts w:ascii="Arial" w:eastAsia="Times New Roman" w:hAnsi="Arial" w:cs="Arial"/>
          <w:sz w:val="24"/>
          <w:szCs w:val="24"/>
          <w:lang w:eastAsia="en-GB"/>
        </w:rPr>
        <w:t>tandards</w:t>
      </w:r>
      <w:r w:rsidRPr="00630B4D">
        <w:rPr>
          <w:rFonts w:ascii="Arial" w:eastAsia="Times New Roman" w:hAnsi="Arial" w:cs="Arial"/>
          <w:sz w:val="24"/>
          <w:szCs w:val="24"/>
          <w:lang w:eastAsia="en-GB"/>
        </w:rPr>
        <w:t>. The arrangements for Internal Audit are set out in the Internal Audit Charter and the Constitution.</w:t>
      </w:r>
    </w:p>
    <w:p w14:paraId="474E763E" w14:textId="77777777" w:rsidR="00517226" w:rsidRPr="00517226" w:rsidRDefault="00E60858" w:rsidP="00517226">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Pr>
          <w:rFonts w:ascii="Arial" w:eastAsia="Times New Roman" w:hAnsi="Arial" w:cs="Arial"/>
          <w:sz w:val="24"/>
          <w:szCs w:val="24"/>
          <w:lang w:eastAsia="en-GB"/>
        </w:rPr>
        <w:t>S</w:t>
      </w:r>
      <w:r w:rsidR="001027C4">
        <w:rPr>
          <w:rFonts w:ascii="Arial" w:eastAsia="Times New Roman" w:hAnsi="Arial" w:cs="Arial"/>
          <w:sz w:val="24"/>
          <w:szCs w:val="24"/>
          <w:lang w:eastAsia="en-GB"/>
        </w:rPr>
        <w:t>ignificant partnerships self-assess their governance</w:t>
      </w:r>
      <w:r w:rsidR="00517226" w:rsidRPr="00517226">
        <w:rPr>
          <w:rFonts w:ascii="Arial" w:eastAsia="Times New Roman" w:hAnsi="Arial" w:cs="Arial"/>
          <w:sz w:val="24"/>
          <w:szCs w:val="24"/>
          <w:lang w:eastAsia="en-GB"/>
        </w:rPr>
        <w:t xml:space="preserve"> as part of Partnership Governance Health Checks</w:t>
      </w:r>
      <w:r w:rsidR="001027C4">
        <w:rPr>
          <w:rFonts w:ascii="Arial" w:eastAsia="Times New Roman" w:hAnsi="Arial" w:cs="Arial"/>
          <w:sz w:val="24"/>
          <w:szCs w:val="24"/>
          <w:lang w:eastAsia="en-GB"/>
        </w:rPr>
        <w:t xml:space="preserve"> which are reviewed by the NCC Policy team with support from Internal Audit</w:t>
      </w:r>
      <w:r w:rsidR="00517226" w:rsidRPr="00517226">
        <w:rPr>
          <w:rFonts w:ascii="Arial" w:eastAsia="Times New Roman" w:hAnsi="Arial" w:cs="Arial"/>
          <w:sz w:val="24"/>
          <w:szCs w:val="24"/>
          <w:lang w:eastAsia="en-GB"/>
        </w:rPr>
        <w:t>.</w:t>
      </w:r>
      <w:r w:rsidR="001027C4">
        <w:rPr>
          <w:rFonts w:ascii="Arial" w:eastAsia="Times New Roman" w:hAnsi="Arial" w:cs="Arial"/>
          <w:sz w:val="24"/>
          <w:szCs w:val="24"/>
          <w:lang w:eastAsia="en-GB"/>
        </w:rPr>
        <w:t xml:space="preserve"> The results of this review are reported to the Council’s Audit Committee.</w:t>
      </w:r>
    </w:p>
    <w:p w14:paraId="281B1240" w14:textId="77777777" w:rsidR="00630B4D" w:rsidRPr="00630B4D" w:rsidRDefault="00630B4D" w:rsidP="00630B4D">
      <w:pPr>
        <w:keepNext/>
        <w:keepLines/>
        <w:spacing w:before="200" w:after="0"/>
        <w:outlineLvl w:val="1"/>
        <w:rPr>
          <w:rFonts w:ascii="Cambria" w:eastAsia="Times New Roman" w:hAnsi="Cambria" w:cs="Times New Roman"/>
          <w:b/>
          <w:bCs/>
          <w:color w:val="4F81BD"/>
          <w:sz w:val="26"/>
          <w:szCs w:val="26"/>
        </w:rPr>
      </w:pPr>
      <w:r w:rsidRPr="00630B4D">
        <w:rPr>
          <w:rFonts w:ascii="Cambria" w:eastAsia="Times New Roman" w:hAnsi="Cambria" w:cs="Times New Roman"/>
          <w:b/>
          <w:bCs/>
          <w:color w:val="4F81BD"/>
          <w:sz w:val="26"/>
          <w:szCs w:val="26"/>
        </w:rPr>
        <w:t>G. Implementing good practices in transparency, reporting, and audit to deliver effective accountability</w:t>
      </w:r>
    </w:p>
    <w:p w14:paraId="3197E00B" w14:textId="77777777" w:rsidR="00630B4D" w:rsidRPr="00630B4D" w:rsidRDefault="00630B4D" w:rsidP="0038335F">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630B4D">
        <w:rPr>
          <w:rFonts w:ascii="Arial" w:eastAsia="Times New Roman" w:hAnsi="Arial" w:cs="Arial"/>
          <w:sz w:val="24"/>
          <w:szCs w:val="24"/>
          <w:lang w:eastAsia="en-GB"/>
        </w:rPr>
        <w:t xml:space="preserve">The Council has a website on which it publishes key information about decisions made and performance, including the results of external assessments. </w:t>
      </w:r>
      <w:r w:rsidRPr="00630B4D">
        <w:rPr>
          <w:rFonts w:ascii="Arial" w:eastAsia="Times New Roman" w:hAnsi="Arial" w:cs="Arial"/>
          <w:color w:val="000000"/>
          <w:sz w:val="24"/>
          <w:szCs w:val="24"/>
          <w:lang w:eastAsia="en-GB"/>
        </w:rPr>
        <w:t xml:space="preserve">The </w:t>
      </w:r>
      <w:r w:rsidR="00903562">
        <w:rPr>
          <w:rFonts w:ascii="Arial" w:eastAsia="Times New Roman" w:hAnsi="Arial" w:cs="Arial"/>
          <w:color w:val="000000"/>
          <w:sz w:val="24"/>
          <w:szCs w:val="24"/>
          <w:lang w:eastAsia="en-GB"/>
        </w:rPr>
        <w:t>C</w:t>
      </w:r>
      <w:r w:rsidRPr="00630B4D">
        <w:rPr>
          <w:rFonts w:ascii="Arial" w:eastAsia="Times New Roman" w:hAnsi="Arial" w:cs="Arial"/>
          <w:color w:val="000000"/>
          <w:sz w:val="24"/>
          <w:szCs w:val="24"/>
          <w:lang w:eastAsia="en-GB"/>
        </w:rPr>
        <w:t xml:space="preserve">ouncil is compliant with the </w:t>
      </w:r>
      <w:r w:rsidR="00BA56A8">
        <w:rPr>
          <w:rFonts w:ascii="Arial" w:eastAsia="Times New Roman" w:hAnsi="Arial" w:cs="Arial"/>
          <w:color w:val="000000"/>
          <w:sz w:val="24"/>
          <w:szCs w:val="24"/>
          <w:lang w:eastAsia="en-GB"/>
        </w:rPr>
        <w:t>Ministry</w:t>
      </w:r>
      <w:r w:rsidRPr="00630B4D">
        <w:rPr>
          <w:rFonts w:ascii="Arial" w:eastAsia="Times New Roman" w:hAnsi="Arial" w:cs="Arial"/>
          <w:color w:val="000000"/>
          <w:sz w:val="24"/>
          <w:szCs w:val="24"/>
          <w:lang w:eastAsia="en-GB"/>
        </w:rPr>
        <w:t xml:space="preserve"> of </w:t>
      </w:r>
      <w:r w:rsidR="00BA56A8">
        <w:rPr>
          <w:rFonts w:ascii="Arial" w:eastAsia="Times New Roman" w:hAnsi="Arial" w:cs="Arial"/>
          <w:color w:val="000000"/>
          <w:sz w:val="24"/>
          <w:szCs w:val="24"/>
          <w:lang w:eastAsia="en-GB"/>
        </w:rPr>
        <w:t xml:space="preserve">Housing, </w:t>
      </w:r>
      <w:r w:rsidRPr="00630B4D">
        <w:rPr>
          <w:rFonts w:ascii="Arial" w:eastAsia="Times New Roman" w:hAnsi="Arial" w:cs="Arial"/>
          <w:color w:val="000000"/>
          <w:sz w:val="24"/>
          <w:szCs w:val="24"/>
          <w:lang w:eastAsia="en-GB"/>
        </w:rPr>
        <w:t xml:space="preserve">Communities and Local Government's Transparency Code 2015, and continues to lead in proactively making </w:t>
      </w:r>
      <w:hyperlink r:id="rId14" w:history="1">
        <w:r w:rsidRPr="00035509">
          <w:rPr>
            <w:rStyle w:val="Hyperlink"/>
            <w:rFonts w:ascii="Arial" w:eastAsia="Times New Roman" w:hAnsi="Arial" w:cs="Arial"/>
            <w:sz w:val="24"/>
            <w:szCs w:val="24"/>
            <w:lang w:eastAsia="en-GB"/>
          </w:rPr>
          <w:t>datasets available</w:t>
        </w:r>
      </w:hyperlink>
      <w:r w:rsidRPr="00630B4D">
        <w:rPr>
          <w:rFonts w:ascii="Arial" w:eastAsia="Times New Roman" w:hAnsi="Arial" w:cs="Arial"/>
          <w:color w:val="000000"/>
          <w:sz w:val="24"/>
          <w:szCs w:val="24"/>
          <w:lang w:eastAsia="en-GB"/>
        </w:rPr>
        <w:t xml:space="preserve"> for re-use, via the Open Data Nottingham portal, thereby providing continued commitment to the </w:t>
      </w:r>
      <w:r w:rsidR="00903562">
        <w:rPr>
          <w:rFonts w:ascii="Arial" w:eastAsia="Times New Roman" w:hAnsi="Arial" w:cs="Arial"/>
          <w:color w:val="000000"/>
          <w:sz w:val="24"/>
          <w:szCs w:val="24"/>
          <w:lang w:eastAsia="en-GB"/>
        </w:rPr>
        <w:t>C</w:t>
      </w:r>
      <w:r w:rsidRPr="00630B4D">
        <w:rPr>
          <w:rFonts w:ascii="Arial" w:eastAsia="Times New Roman" w:hAnsi="Arial" w:cs="Arial"/>
          <w:color w:val="000000"/>
          <w:sz w:val="24"/>
          <w:szCs w:val="24"/>
          <w:lang w:eastAsia="en-GB"/>
        </w:rPr>
        <w:t>ouncil's value of being open and transparent.</w:t>
      </w:r>
    </w:p>
    <w:p w14:paraId="2A7AC1B7" w14:textId="77777777" w:rsidR="00517226" w:rsidRPr="00517226" w:rsidRDefault="00517226" w:rsidP="00517226">
      <w:pPr>
        <w:numPr>
          <w:ilvl w:val="1"/>
          <w:numId w:val="1"/>
        </w:numPr>
        <w:autoSpaceDE w:val="0"/>
        <w:autoSpaceDN w:val="0"/>
        <w:adjustRightInd w:val="0"/>
        <w:spacing w:after="120" w:line="240" w:lineRule="auto"/>
        <w:ind w:left="567" w:hanging="567"/>
        <w:jc w:val="both"/>
        <w:rPr>
          <w:rFonts w:ascii="Arial" w:eastAsia="Times New Roman" w:hAnsi="Arial" w:cs="Arial"/>
          <w:color w:val="000000"/>
          <w:sz w:val="24"/>
          <w:szCs w:val="24"/>
          <w:lang w:eastAsia="en-GB"/>
        </w:rPr>
      </w:pPr>
      <w:r w:rsidRPr="00517226">
        <w:rPr>
          <w:rFonts w:ascii="Arial" w:eastAsia="Times New Roman" w:hAnsi="Arial" w:cs="Arial"/>
          <w:color w:val="000000"/>
          <w:sz w:val="24"/>
          <w:szCs w:val="24"/>
          <w:lang w:eastAsia="en-GB"/>
        </w:rPr>
        <w:t>The Register of Significant Partnerships, a mechanism of the Partnership Governance Framework, records the status of each significant partnership and is updated annually.</w:t>
      </w:r>
    </w:p>
    <w:p w14:paraId="42665A67" w14:textId="77777777" w:rsidR="00517226" w:rsidRPr="00517226" w:rsidRDefault="00517226" w:rsidP="00517226">
      <w:pPr>
        <w:numPr>
          <w:ilvl w:val="1"/>
          <w:numId w:val="1"/>
        </w:numPr>
        <w:autoSpaceDE w:val="0"/>
        <w:autoSpaceDN w:val="0"/>
        <w:adjustRightInd w:val="0"/>
        <w:spacing w:after="120" w:line="240" w:lineRule="auto"/>
        <w:ind w:left="567" w:hanging="567"/>
        <w:jc w:val="both"/>
        <w:rPr>
          <w:rFonts w:ascii="Arial" w:eastAsia="Times New Roman" w:hAnsi="Arial" w:cs="Arial"/>
          <w:color w:val="000000"/>
          <w:sz w:val="24"/>
          <w:szCs w:val="24"/>
          <w:lang w:eastAsia="en-GB"/>
        </w:rPr>
      </w:pPr>
      <w:r w:rsidRPr="00517226">
        <w:rPr>
          <w:rFonts w:ascii="Arial" w:eastAsia="Times New Roman" w:hAnsi="Arial" w:cs="Arial"/>
          <w:color w:val="000000"/>
          <w:sz w:val="24"/>
          <w:szCs w:val="24"/>
          <w:lang w:eastAsia="en-GB"/>
        </w:rPr>
        <w:t>The annual partnership health checks</w:t>
      </w:r>
      <w:r w:rsidR="00414B41">
        <w:rPr>
          <w:rFonts w:ascii="Arial" w:eastAsia="Times New Roman" w:hAnsi="Arial" w:cs="Arial"/>
          <w:color w:val="000000"/>
          <w:sz w:val="24"/>
          <w:szCs w:val="24"/>
          <w:lang w:eastAsia="en-GB"/>
        </w:rPr>
        <w:t>,</w:t>
      </w:r>
      <w:r w:rsidRPr="00517226">
        <w:rPr>
          <w:rFonts w:ascii="Arial" w:eastAsia="Times New Roman" w:hAnsi="Arial" w:cs="Arial"/>
          <w:color w:val="000000"/>
          <w:sz w:val="24"/>
          <w:szCs w:val="24"/>
          <w:lang w:eastAsia="en-GB"/>
        </w:rPr>
        <w:t xml:space="preserve"> which are carried out with support from Internal Audit</w:t>
      </w:r>
      <w:r w:rsidR="00414B41">
        <w:rPr>
          <w:rFonts w:ascii="Arial" w:eastAsia="Times New Roman" w:hAnsi="Arial" w:cs="Arial"/>
          <w:color w:val="000000"/>
          <w:sz w:val="24"/>
          <w:szCs w:val="24"/>
          <w:lang w:eastAsia="en-GB"/>
        </w:rPr>
        <w:t>,</w:t>
      </w:r>
      <w:r w:rsidRPr="00517226">
        <w:rPr>
          <w:rFonts w:ascii="Arial" w:eastAsia="Times New Roman" w:hAnsi="Arial" w:cs="Arial"/>
          <w:color w:val="000000"/>
          <w:sz w:val="24"/>
          <w:szCs w:val="24"/>
          <w:lang w:eastAsia="en-GB"/>
        </w:rPr>
        <w:t xml:space="preserve"> include a section to enable the significant partnerships to assess the robustness and clarity of their decision making and accountability, including that authority and delegations are set out in governing documents, including</w:t>
      </w:r>
    </w:p>
    <w:p w14:paraId="6BA701D9" w14:textId="77777777" w:rsidR="00517226" w:rsidRPr="00517226" w:rsidRDefault="00517226" w:rsidP="00517226">
      <w:pPr>
        <w:numPr>
          <w:ilvl w:val="1"/>
          <w:numId w:val="9"/>
        </w:numPr>
        <w:autoSpaceDE w:val="0"/>
        <w:autoSpaceDN w:val="0"/>
        <w:adjustRightInd w:val="0"/>
        <w:spacing w:after="0" w:line="240" w:lineRule="auto"/>
        <w:ind w:left="788" w:hanging="431"/>
        <w:jc w:val="both"/>
        <w:rPr>
          <w:rFonts w:ascii="Arial" w:eastAsia="Times New Roman" w:hAnsi="Arial" w:cs="Arial"/>
          <w:color w:val="000000"/>
          <w:sz w:val="24"/>
          <w:szCs w:val="24"/>
          <w:lang w:eastAsia="en-GB"/>
        </w:rPr>
      </w:pPr>
      <w:r w:rsidRPr="00517226">
        <w:rPr>
          <w:rFonts w:ascii="Arial" w:eastAsia="Times New Roman" w:hAnsi="Arial" w:cs="Arial"/>
          <w:color w:val="000000"/>
          <w:sz w:val="24"/>
          <w:szCs w:val="24"/>
          <w:lang w:eastAsia="en-GB"/>
        </w:rPr>
        <w:t>Who can make what decisions</w:t>
      </w:r>
    </w:p>
    <w:p w14:paraId="00FED946" w14:textId="77777777" w:rsidR="00517226" w:rsidRPr="00517226" w:rsidRDefault="00517226" w:rsidP="00517226">
      <w:pPr>
        <w:numPr>
          <w:ilvl w:val="1"/>
          <w:numId w:val="9"/>
        </w:numPr>
        <w:autoSpaceDE w:val="0"/>
        <w:autoSpaceDN w:val="0"/>
        <w:adjustRightInd w:val="0"/>
        <w:spacing w:after="120" w:line="240" w:lineRule="auto"/>
        <w:ind w:left="788" w:hanging="431"/>
        <w:jc w:val="both"/>
        <w:rPr>
          <w:rFonts w:ascii="Arial" w:eastAsia="Times New Roman" w:hAnsi="Arial" w:cs="Arial"/>
          <w:color w:val="000000"/>
          <w:sz w:val="24"/>
          <w:szCs w:val="24"/>
          <w:lang w:eastAsia="en-GB"/>
        </w:rPr>
      </w:pPr>
      <w:r w:rsidRPr="00517226">
        <w:rPr>
          <w:rFonts w:ascii="Arial" w:eastAsia="Times New Roman" w:hAnsi="Arial" w:cs="Arial"/>
          <w:color w:val="000000"/>
          <w:sz w:val="24"/>
          <w:szCs w:val="24"/>
          <w:lang w:eastAsia="en-GB"/>
        </w:rPr>
        <w:t>Delegated responsibilities</w:t>
      </w:r>
    </w:p>
    <w:p w14:paraId="4BE1F439" w14:textId="77777777" w:rsidR="00517226" w:rsidRPr="00517226" w:rsidRDefault="00517226" w:rsidP="00517226">
      <w:pPr>
        <w:numPr>
          <w:ilvl w:val="1"/>
          <w:numId w:val="1"/>
        </w:numPr>
        <w:autoSpaceDE w:val="0"/>
        <w:autoSpaceDN w:val="0"/>
        <w:adjustRightInd w:val="0"/>
        <w:spacing w:after="120" w:line="240" w:lineRule="auto"/>
        <w:ind w:left="567" w:hanging="567"/>
        <w:jc w:val="both"/>
        <w:rPr>
          <w:rFonts w:ascii="Arial" w:eastAsia="Times New Roman" w:hAnsi="Arial" w:cs="Arial"/>
          <w:color w:val="000000"/>
          <w:sz w:val="24"/>
          <w:szCs w:val="24"/>
          <w:lang w:eastAsia="en-GB"/>
        </w:rPr>
      </w:pPr>
      <w:r w:rsidRPr="00517226">
        <w:rPr>
          <w:rFonts w:ascii="Arial" w:eastAsia="Times New Roman" w:hAnsi="Arial" w:cs="Arial"/>
          <w:color w:val="000000"/>
          <w:sz w:val="24"/>
          <w:szCs w:val="24"/>
          <w:lang w:eastAsia="en-GB"/>
        </w:rPr>
        <w:t>A quarterly Statutory Officers meeting</w:t>
      </w:r>
      <w:r w:rsidR="00BA56A8">
        <w:rPr>
          <w:rFonts w:ascii="Arial" w:eastAsia="Times New Roman" w:hAnsi="Arial" w:cs="Arial"/>
          <w:color w:val="000000"/>
          <w:sz w:val="24"/>
          <w:szCs w:val="24"/>
          <w:lang w:eastAsia="en-GB"/>
        </w:rPr>
        <w:t>, chaired by the Head of Paid Service,</w:t>
      </w:r>
      <w:r w:rsidRPr="00517226">
        <w:rPr>
          <w:rFonts w:ascii="Arial" w:eastAsia="Times New Roman" w:hAnsi="Arial" w:cs="Arial"/>
          <w:color w:val="000000"/>
          <w:sz w:val="24"/>
          <w:szCs w:val="24"/>
          <w:lang w:eastAsia="en-GB"/>
        </w:rPr>
        <w:t xml:space="preserve"> takes place to review key issues and arr</w:t>
      </w:r>
      <w:r w:rsidR="00A210E4">
        <w:rPr>
          <w:rFonts w:ascii="Arial" w:eastAsia="Times New Roman" w:hAnsi="Arial" w:cs="Arial"/>
          <w:color w:val="000000"/>
          <w:sz w:val="24"/>
          <w:szCs w:val="24"/>
          <w:lang w:eastAsia="en-GB"/>
        </w:rPr>
        <w:t xml:space="preserve">angements. As highlighted in </w:t>
      </w:r>
      <w:r w:rsidR="00E31BA6">
        <w:rPr>
          <w:rFonts w:ascii="Arial" w:eastAsia="Times New Roman" w:hAnsi="Arial" w:cs="Arial"/>
          <w:color w:val="000000"/>
          <w:sz w:val="24"/>
          <w:szCs w:val="24"/>
          <w:lang w:eastAsia="en-GB"/>
        </w:rPr>
        <w:t>7</w:t>
      </w:r>
      <w:r w:rsidR="00A210E4" w:rsidRPr="00AC6151">
        <w:rPr>
          <w:rFonts w:ascii="Arial" w:eastAsia="Times New Roman" w:hAnsi="Arial" w:cs="Arial"/>
          <w:color w:val="000000"/>
          <w:sz w:val="24"/>
          <w:szCs w:val="24"/>
          <w:lang w:eastAsia="en-GB"/>
        </w:rPr>
        <w:t>.7</w:t>
      </w:r>
      <w:r w:rsidRPr="00517226">
        <w:rPr>
          <w:rFonts w:ascii="Arial" w:eastAsia="Times New Roman" w:hAnsi="Arial" w:cs="Arial"/>
          <w:color w:val="000000"/>
          <w:sz w:val="24"/>
          <w:szCs w:val="24"/>
          <w:lang w:eastAsia="en-GB"/>
        </w:rPr>
        <w:t xml:space="preserve"> above</w:t>
      </w:r>
      <w:r w:rsidR="00414B41">
        <w:rPr>
          <w:rFonts w:ascii="Arial" w:eastAsia="Times New Roman" w:hAnsi="Arial" w:cs="Arial"/>
          <w:color w:val="000000"/>
          <w:sz w:val="24"/>
          <w:szCs w:val="24"/>
          <w:lang w:eastAsia="en-GB"/>
        </w:rPr>
        <w:t>,</w:t>
      </w:r>
      <w:r w:rsidRPr="00517226">
        <w:rPr>
          <w:rFonts w:ascii="Arial" w:eastAsia="Times New Roman" w:hAnsi="Arial" w:cs="Arial"/>
          <w:color w:val="000000"/>
          <w:sz w:val="24"/>
          <w:szCs w:val="24"/>
          <w:lang w:eastAsia="en-GB"/>
        </w:rPr>
        <w:t xml:space="preserve"> the </w:t>
      </w:r>
      <w:r w:rsidR="00414B41">
        <w:rPr>
          <w:rFonts w:ascii="Arial" w:eastAsia="Times New Roman" w:hAnsi="Arial" w:cs="Arial"/>
          <w:color w:val="000000"/>
          <w:sz w:val="24"/>
          <w:szCs w:val="24"/>
          <w:lang w:eastAsia="en-GB"/>
        </w:rPr>
        <w:t>M</w:t>
      </w:r>
      <w:r w:rsidRPr="00517226">
        <w:rPr>
          <w:rFonts w:ascii="Arial" w:eastAsia="Times New Roman" w:hAnsi="Arial" w:cs="Arial"/>
          <w:color w:val="000000"/>
          <w:sz w:val="24"/>
          <w:szCs w:val="24"/>
          <w:lang w:eastAsia="en-GB"/>
        </w:rPr>
        <w:t>onitoring Officer and Section 151 Officer are in place and fulfil their governance roles.</w:t>
      </w:r>
    </w:p>
    <w:p w14:paraId="3663057A" w14:textId="77777777" w:rsidR="00517226" w:rsidRPr="00517226" w:rsidRDefault="00517226" w:rsidP="00517226">
      <w:pPr>
        <w:numPr>
          <w:ilvl w:val="1"/>
          <w:numId w:val="1"/>
        </w:numPr>
        <w:autoSpaceDE w:val="0"/>
        <w:autoSpaceDN w:val="0"/>
        <w:adjustRightInd w:val="0"/>
        <w:spacing w:after="120" w:line="240" w:lineRule="auto"/>
        <w:ind w:left="567" w:hanging="567"/>
        <w:jc w:val="both"/>
        <w:rPr>
          <w:rFonts w:ascii="Arial" w:eastAsia="Times New Roman" w:hAnsi="Arial" w:cs="Arial"/>
          <w:color w:val="000000"/>
          <w:sz w:val="24"/>
          <w:szCs w:val="24"/>
          <w:lang w:eastAsia="en-GB"/>
        </w:rPr>
      </w:pPr>
      <w:r w:rsidRPr="00517226">
        <w:rPr>
          <w:rFonts w:ascii="Arial" w:eastAsia="Times New Roman" w:hAnsi="Arial" w:cs="Arial"/>
          <w:color w:val="000000"/>
          <w:sz w:val="24"/>
          <w:szCs w:val="24"/>
          <w:lang w:eastAsia="en-GB"/>
        </w:rPr>
        <w:t>The Council complies with relevant statutory financial reporting processes and guidance</w:t>
      </w:r>
      <w:r w:rsidR="00414B41">
        <w:rPr>
          <w:rFonts w:ascii="Arial" w:eastAsia="Times New Roman" w:hAnsi="Arial" w:cs="Arial"/>
          <w:color w:val="000000"/>
          <w:sz w:val="24"/>
          <w:szCs w:val="24"/>
          <w:lang w:eastAsia="en-GB"/>
        </w:rPr>
        <w:t>,</w:t>
      </w:r>
      <w:r w:rsidRPr="00517226">
        <w:rPr>
          <w:rFonts w:ascii="Arial" w:eastAsia="Times New Roman" w:hAnsi="Arial" w:cs="Arial"/>
          <w:color w:val="000000"/>
          <w:sz w:val="24"/>
          <w:szCs w:val="24"/>
          <w:lang w:eastAsia="en-GB"/>
        </w:rPr>
        <w:t xml:space="preserve"> including production of a published </w:t>
      </w:r>
      <w:r w:rsidR="0071632B">
        <w:rPr>
          <w:rFonts w:ascii="Arial" w:eastAsia="Times New Roman" w:hAnsi="Arial" w:cs="Arial"/>
          <w:color w:val="000000"/>
          <w:sz w:val="24"/>
          <w:szCs w:val="24"/>
          <w:lang w:eastAsia="en-GB"/>
        </w:rPr>
        <w:t>a</w:t>
      </w:r>
      <w:r w:rsidRPr="00517226">
        <w:rPr>
          <w:rFonts w:ascii="Arial" w:eastAsia="Times New Roman" w:hAnsi="Arial" w:cs="Arial"/>
          <w:color w:val="000000"/>
          <w:sz w:val="24"/>
          <w:szCs w:val="24"/>
          <w:lang w:eastAsia="en-GB"/>
        </w:rPr>
        <w:t>nnual Statement of Accounts.</w:t>
      </w:r>
    </w:p>
    <w:p w14:paraId="0FD5E54D" w14:textId="77777777" w:rsidR="00630B4D" w:rsidRPr="00517226" w:rsidRDefault="00517226" w:rsidP="00517226">
      <w:pPr>
        <w:numPr>
          <w:ilvl w:val="1"/>
          <w:numId w:val="1"/>
        </w:numPr>
        <w:autoSpaceDE w:val="0"/>
        <w:autoSpaceDN w:val="0"/>
        <w:adjustRightInd w:val="0"/>
        <w:spacing w:after="120" w:line="240" w:lineRule="auto"/>
        <w:ind w:left="567" w:hanging="567"/>
        <w:jc w:val="both"/>
        <w:rPr>
          <w:rFonts w:ascii="Arial" w:eastAsia="Times New Roman" w:hAnsi="Arial" w:cs="Arial"/>
          <w:color w:val="000000"/>
          <w:sz w:val="24"/>
          <w:szCs w:val="24"/>
          <w:lang w:eastAsia="en-GB"/>
        </w:rPr>
      </w:pPr>
      <w:r w:rsidRPr="00517226">
        <w:rPr>
          <w:rFonts w:ascii="Arial" w:eastAsia="Times New Roman" w:hAnsi="Arial" w:cs="Arial"/>
          <w:color w:val="000000"/>
          <w:sz w:val="24"/>
          <w:szCs w:val="24"/>
          <w:lang w:eastAsia="en-GB"/>
        </w:rPr>
        <w:t xml:space="preserve">Annual performance highlights are published in </w:t>
      </w:r>
      <w:r w:rsidR="00414B41">
        <w:rPr>
          <w:rFonts w:ascii="Arial" w:eastAsia="Times New Roman" w:hAnsi="Arial" w:cs="Arial"/>
          <w:color w:val="000000"/>
          <w:sz w:val="24"/>
          <w:szCs w:val="24"/>
          <w:lang w:eastAsia="en-GB"/>
        </w:rPr>
        <w:t>t</w:t>
      </w:r>
      <w:r w:rsidRPr="00517226">
        <w:rPr>
          <w:rFonts w:ascii="Arial" w:eastAsia="Times New Roman" w:hAnsi="Arial" w:cs="Arial"/>
          <w:color w:val="000000"/>
          <w:sz w:val="24"/>
          <w:szCs w:val="24"/>
          <w:lang w:eastAsia="en-GB"/>
        </w:rPr>
        <w:t>he Nottingham Arrow</w:t>
      </w:r>
      <w:r w:rsidR="00E31BA6">
        <w:rPr>
          <w:rFonts w:ascii="Arial" w:eastAsia="Times New Roman" w:hAnsi="Arial" w:cs="Arial"/>
          <w:color w:val="000000"/>
          <w:sz w:val="24"/>
          <w:szCs w:val="24"/>
          <w:lang w:eastAsia="en-GB"/>
        </w:rPr>
        <w:t xml:space="preserve"> </w:t>
      </w:r>
      <w:r w:rsidRPr="00517226">
        <w:rPr>
          <w:rFonts w:ascii="Arial" w:eastAsia="Times New Roman" w:hAnsi="Arial" w:cs="Arial"/>
          <w:color w:val="000000"/>
          <w:sz w:val="24"/>
          <w:szCs w:val="24"/>
          <w:lang w:eastAsia="en-GB"/>
        </w:rPr>
        <w:t>in the summer with quarterly summaries published on Nottingham Insight</w:t>
      </w:r>
      <w:r w:rsidR="00314C1E">
        <w:rPr>
          <w:rFonts w:ascii="Arial" w:eastAsia="Times New Roman" w:hAnsi="Arial" w:cs="Arial"/>
          <w:color w:val="000000"/>
          <w:sz w:val="24"/>
          <w:szCs w:val="24"/>
          <w:lang w:eastAsia="en-GB"/>
        </w:rPr>
        <w:t>. The Nottingham Arrow is available online with 3 editions per year and can be printed to reach members of the community without internet access</w:t>
      </w:r>
      <w:r w:rsidRPr="00517226">
        <w:rPr>
          <w:rFonts w:ascii="Arial" w:eastAsia="Times New Roman" w:hAnsi="Arial" w:cs="Arial"/>
          <w:color w:val="000000"/>
          <w:sz w:val="24"/>
          <w:szCs w:val="24"/>
          <w:lang w:eastAsia="en-GB"/>
        </w:rPr>
        <w:t>.</w:t>
      </w:r>
      <w:r w:rsidR="00D95957" w:rsidRPr="00D95957">
        <w:rPr>
          <w:rFonts w:ascii="Arial" w:eastAsia="Times New Roman" w:hAnsi="Arial" w:cs="Arial"/>
          <w:sz w:val="24"/>
          <w:szCs w:val="24"/>
          <w:lang w:eastAsia="en-GB"/>
        </w:rPr>
        <w:t xml:space="preserve"> </w:t>
      </w:r>
      <w:r w:rsidR="00D95957" w:rsidRPr="00D95957">
        <w:rPr>
          <w:rFonts w:ascii="Arial" w:eastAsia="Times New Roman" w:hAnsi="Arial" w:cs="Arial"/>
          <w:color w:val="000000"/>
          <w:sz w:val="24"/>
          <w:szCs w:val="24"/>
          <w:lang w:eastAsia="en-GB"/>
        </w:rPr>
        <w:t>Nottingham Insight website publishes a large quantity of data and documents that are freely available to the public.</w:t>
      </w:r>
      <w:r w:rsidR="00630B4D" w:rsidRPr="00517226">
        <w:rPr>
          <w:rFonts w:ascii="Arial" w:eastAsia="Times New Roman" w:hAnsi="Arial" w:cs="Arial"/>
          <w:color w:val="000000"/>
          <w:sz w:val="24"/>
          <w:szCs w:val="24"/>
          <w:lang w:eastAsia="en-GB"/>
        </w:rPr>
        <w:t xml:space="preserve">  </w:t>
      </w:r>
    </w:p>
    <w:p w14:paraId="1BCA757F" w14:textId="77777777" w:rsidR="00630B4D" w:rsidRPr="00D95957" w:rsidRDefault="00D95957" w:rsidP="00D95957">
      <w:pPr>
        <w:numPr>
          <w:ilvl w:val="1"/>
          <w:numId w:val="1"/>
        </w:numPr>
        <w:autoSpaceDE w:val="0"/>
        <w:autoSpaceDN w:val="0"/>
        <w:adjustRightInd w:val="0"/>
        <w:spacing w:after="120" w:line="240" w:lineRule="auto"/>
        <w:ind w:left="567" w:hanging="567"/>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Council uses a performance </w:t>
      </w:r>
      <w:r w:rsidR="00414B41">
        <w:rPr>
          <w:rFonts w:ascii="Arial" w:eastAsia="Times New Roman" w:hAnsi="Arial" w:cs="Arial"/>
          <w:color w:val="000000"/>
          <w:sz w:val="24"/>
          <w:szCs w:val="24"/>
          <w:lang w:eastAsia="en-GB"/>
        </w:rPr>
        <w:t>management system to collate it</w:t>
      </w:r>
      <w:r>
        <w:rPr>
          <w:rFonts w:ascii="Arial" w:eastAsia="Times New Roman" w:hAnsi="Arial" w:cs="Arial"/>
          <w:color w:val="000000"/>
          <w:sz w:val="24"/>
          <w:szCs w:val="24"/>
          <w:lang w:eastAsia="en-GB"/>
        </w:rPr>
        <w:t xml:space="preserve">s performance information and reports are generated by Department and by Portfolio Holder. </w:t>
      </w:r>
      <w:r w:rsidRPr="00D95957">
        <w:rPr>
          <w:rFonts w:ascii="Arial" w:eastAsia="Times New Roman" w:hAnsi="Arial" w:cs="Arial"/>
          <w:color w:val="000000"/>
          <w:sz w:val="24"/>
          <w:szCs w:val="24"/>
          <w:lang w:eastAsia="en-GB"/>
        </w:rPr>
        <w:t xml:space="preserve">One-to-one support is given to each Portfolio Holder so that they understand the </w:t>
      </w:r>
      <w:r w:rsidRPr="00D95957">
        <w:rPr>
          <w:rFonts w:ascii="Arial" w:eastAsia="Times New Roman" w:hAnsi="Arial" w:cs="Arial"/>
          <w:color w:val="000000"/>
          <w:sz w:val="24"/>
          <w:szCs w:val="24"/>
          <w:lang w:eastAsia="en-GB"/>
        </w:rPr>
        <w:lastRenderedPageBreak/>
        <w:t>performance reports and slides given to them.</w:t>
      </w:r>
      <w:r>
        <w:rPr>
          <w:rFonts w:ascii="Arial" w:eastAsia="Times New Roman" w:hAnsi="Arial" w:cs="Arial"/>
          <w:color w:val="000000"/>
          <w:sz w:val="24"/>
          <w:szCs w:val="24"/>
          <w:lang w:eastAsia="en-GB"/>
        </w:rPr>
        <w:t xml:space="preserve"> Graphical information provided includes targets and data for past time periods.</w:t>
      </w:r>
    </w:p>
    <w:p w14:paraId="410A374B" w14:textId="77777777" w:rsidR="00630B4D" w:rsidRPr="00630B4D" w:rsidRDefault="00630B4D" w:rsidP="00630B4D">
      <w:pPr>
        <w:keepNext/>
        <w:keepLines/>
        <w:spacing w:before="200" w:after="0"/>
        <w:outlineLvl w:val="1"/>
        <w:rPr>
          <w:rFonts w:ascii="Cambria" w:eastAsia="Times New Roman" w:hAnsi="Cambria" w:cs="Times New Roman"/>
          <w:b/>
          <w:bCs/>
          <w:color w:val="4F81BD"/>
          <w:sz w:val="26"/>
          <w:szCs w:val="26"/>
        </w:rPr>
      </w:pPr>
      <w:r w:rsidRPr="00630B4D">
        <w:rPr>
          <w:rFonts w:ascii="Cambria" w:eastAsia="Times New Roman" w:hAnsi="Cambria" w:cs="Times New Roman"/>
          <w:b/>
          <w:bCs/>
          <w:color w:val="4F81BD"/>
          <w:sz w:val="26"/>
          <w:szCs w:val="26"/>
        </w:rPr>
        <w:t>Constitutional Bodies Dealing with Governance</w:t>
      </w:r>
      <w:r w:rsidR="007B2CBB">
        <w:rPr>
          <w:rFonts w:ascii="Cambria" w:eastAsia="Times New Roman" w:hAnsi="Cambria" w:cs="Times New Roman"/>
          <w:b/>
          <w:bCs/>
          <w:color w:val="4F81BD"/>
          <w:sz w:val="26"/>
          <w:szCs w:val="26"/>
        </w:rPr>
        <w:t xml:space="preserve"> </w:t>
      </w:r>
    </w:p>
    <w:p w14:paraId="3FF80DE4" w14:textId="77777777" w:rsidR="007B2CBB" w:rsidRPr="007B2CBB" w:rsidRDefault="007B2CBB" w:rsidP="0038335F">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Pr>
          <w:rFonts w:ascii="Arial" w:eastAsia="Times New Roman" w:hAnsi="Arial" w:cs="Times New Roman"/>
          <w:bCs/>
          <w:sz w:val="24"/>
          <w:szCs w:val="24"/>
          <w:lang w:eastAsia="en-GB"/>
        </w:rPr>
        <w:t>The Report in the Public Interest sets out the need for an overarching governance review. This is incorporated in the action plan (Appendix 2).</w:t>
      </w:r>
    </w:p>
    <w:p w14:paraId="2A39AEE8" w14:textId="77777777" w:rsidR="00630B4D" w:rsidRDefault="00414B41" w:rsidP="0038335F">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Pr>
          <w:rFonts w:ascii="Arial" w:eastAsia="Times New Roman" w:hAnsi="Arial" w:cs="Times New Roman"/>
          <w:bCs/>
          <w:sz w:val="24"/>
          <w:szCs w:val="24"/>
          <w:lang w:eastAsia="en-GB"/>
        </w:rPr>
        <w:t xml:space="preserve">The </w:t>
      </w:r>
      <w:r w:rsidR="00630B4D" w:rsidRPr="00630B4D">
        <w:rPr>
          <w:rFonts w:ascii="Arial" w:eastAsia="Times New Roman" w:hAnsi="Arial" w:cs="Times New Roman"/>
          <w:bCs/>
          <w:sz w:val="24"/>
          <w:szCs w:val="24"/>
          <w:lang w:eastAsia="en-GB"/>
        </w:rPr>
        <w:t>Overview and Scrutiny Committee</w:t>
      </w:r>
      <w:r w:rsidR="00630B4D" w:rsidRPr="00630B4D">
        <w:rPr>
          <w:rFonts w:ascii="Arial" w:eastAsia="Times New Roman" w:hAnsi="Arial" w:cs="Arial"/>
          <w:sz w:val="24"/>
          <w:szCs w:val="24"/>
          <w:lang w:eastAsia="en-GB"/>
        </w:rPr>
        <w:t xml:space="preserve"> takes an overview of key strategic issues relevant to Nottingham</w:t>
      </w:r>
      <w:r>
        <w:rPr>
          <w:rFonts w:ascii="Arial" w:eastAsia="Times New Roman" w:hAnsi="Arial" w:cs="Arial"/>
          <w:sz w:val="24"/>
          <w:szCs w:val="24"/>
          <w:lang w:eastAsia="en-GB"/>
        </w:rPr>
        <w:t>,</w:t>
      </w:r>
      <w:r w:rsidR="00630B4D" w:rsidRPr="00630B4D">
        <w:rPr>
          <w:rFonts w:ascii="Arial" w:eastAsia="Times New Roman" w:hAnsi="Arial" w:cs="Arial"/>
          <w:sz w:val="24"/>
          <w:szCs w:val="24"/>
          <w:lang w:eastAsia="en-GB"/>
        </w:rPr>
        <w:t xml:space="preserve"> ensuring decision makers are held to account for their decisions and actions.  It commissions review panels to deliver its work programme.</w:t>
      </w:r>
    </w:p>
    <w:p w14:paraId="01F7D446" w14:textId="77777777" w:rsidR="00A210E4" w:rsidRDefault="00314C1E" w:rsidP="00A210E4">
      <w:pPr>
        <w:numPr>
          <w:ilvl w:val="1"/>
          <w:numId w:val="1"/>
        </w:numPr>
        <w:autoSpaceDE w:val="0"/>
        <w:autoSpaceDN w:val="0"/>
        <w:adjustRightInd w:val="0"/>
        <w:spacing w:after="120" w:line="240" w:lineRule="auto"/>
        <w:ind w:left="567" w:hanging="567"/>
        <w:jc w:val="both"/>
        <w:rPr>
          <w:rFonts w:ascii="Arial" w:eastAsia="Times New Roman" w:hAnsi="Arial" w:cs="Times New Roman"/>
          <w:bCs/>
          <w:sz w:val="24"/>
          <w:szCs w:val="24"/>
          <w:lang w:eastAsia="en-GB"/>
        </w:rPr>
      </w:pPr>
      <w:r>
        <w:rPr>
          <w:rFonts w:ascii="Arial" w:eastAsia="Times New Roman" w:hAnsi="Arial" w:cs="Times New Roman"/>
          <w:bCs/>
          <w:sz w:val="24"/>
          <w:szCs w:val="24"/>
          <w:lang w:eastAsia="en-GB"/>
        </w:rPr>
        <w:t xml:space="preserve">The Audit Committee’s core role is to consider governance, assurance and risk and to manage the external financial reporting and review process. It also </w:t>
      </w:r>
      <w:r w:rsidR="00A210E4" w:rsidRPr="00A210E4">
        <w:rPr>
          <w:rFonts w:ascii="Arial" w:eastAsia="Times New Roman" w:hAnsi="Arial" w:cs="Times New Roman"/>
          <w:bCs/>
          <w:sz w:val="24"/>
          <w:szCs w:val="24"/>
          <w:lang w:eastAsia="en-GB"/>
        </w:rPr>
        <w:t>review</w:t>
      </w:r>
      <w:r>
        <w:rPr>
          <w:rFonts w:ascii="Arial" w:eastAsia="Times New Roman" w:hAnsi="Arial" w:cs="Times New Roman"/>
          <w:bCs/>
          <w:sz w:val="24"/>
          <w:szCs w:val="24"/>
          <w:lang w:eastAsia="en-GB"/>
        </w:rPr>
        <w:t>s</w:t>
      </w:r>
      <w:r w:rsidR="00A210E4" w:rsidRPr="00A210E4">
        <w:rPr>
          <w:rFonts w:ascii="Arial" w:eastAsia="Times New Roman" w:hAnsi="Arial" w:cs="Times New Roman"/>
          <w:bCs/>
          <w:sz w:val="24"/>
          <w:szCs w:val="24"/>
          <w:lang w:eastAsia="en-GB"/>
        </w:rPr>
        <w:t xml:space="preserve"> and recommend</w:t>
      </w:r>
      <w:r>
        <w:rPr>
          <w:rFonts w:ascii="Arial" w:eastAsia="Times New Roman" w:hAnsi="Arial" w:cs="Times New Roman"/>
          <w:bCs/>
          <w:sz w:val="24"/>
          <w:szCs w:val="24"/>
          <w:lang w:eastAsia="en-GB"/>
        </w:rPr>
        <w:t>s</w:t>
      </w:r>
      <w:r w:rsidR="00A210E4" w:rsidRPr="00A210E4">
        <w:rPr>
          <w:rFonts w:ascii="Arial" w:eastAsia="Times New Roman" w:hAnsi="Arial" w:cs="Times New Roman"/>
          <w:bCs/>
          <w:sz w:val="24"/>
          <w:szCs w:val="24"/>
          <w:lang w:eastAsia="en-GB"/>
        </w:rPr>
        <w:t xml:space="preserve"> to Council</w:t>
      </w:r>
      <w:r w:rsidR="00414B41">
        <w:rPr>
          <w:rFonts w:ascii="Arial" w:eastAsia="Times New Roman" w:hAnsi="Arial" w:cs="Times New Roman"/>
          <w:bCs/>
          <w:sz w:val="24"/>
          <w:szCs w:val="24"/>
          <w:lang w:eastAsia="en-GB"/>
        </w:rPr>
        <w:t>,</w:t>
      </w:r>
      <w:r w:rsidR="00A210E4" w:rsidRPr="00A210E4">
        <w:rPr>
          <w:rFonts w:ascii="Arial" w:eastAsia="Times New Roman" w:hAnsi="Arial" w:cs="Times New Roman"/>
          <w:bCs/>
          <w:sz w:val="24"/>
          <w:szCs w:val="24"/>
          <w:lang w:eastAsia="en-GB"/>
        </w:rPr>
        <w:t xml:space="preserve"> propos</w:t>
      </w:r>
      <w:r w:rsidR="00BA56A8">
        <w:rPr>
          <w:rFonts w:ascii="Arial" w:eastAsia="Times New Roman" w:hAnsi="Arial" w:cs="Times New Roman"/>
          <w:bCs/>
          <w:sz w:val="24"/>
          <w:szCs w:val="24"/>
          <w:lang w:eastAsia="en-GB"/>
        </w:rPr>
        <w:t>als for</w:t>
      </w:r>
      <w:r w:rsidR="00A210E4" w:rsidRPr="00A210E4">
        <w:rPr>
          <w:rFonts w:ascii="Arial" w:eastAsia="Times New Roman" w:hAnsi="Arial" w:cs="Times New Roman"/>
          <w:bCs/>
          <w:sz w:val="24"/>
          <w:szCs w:val="24"/>
          <w:lang w:eastAsia="en-GB"/>
        </w:rPr>
        <w:t xml:space="preserve"> non-executive amendments to the Constitution</w:t>
      </w:r>
      <w:r w:rsidR="00A210E4">
        <w:rPr>
          <w:rFonts w:ascii="Arial" w:eastAsia="Times New Roman" w:hAnsi="Arial" w:cs="Times New Roman"/>
          <w:bCs/>
          <w:sz w:val="24"/>
          <w:szCs w:val="24"/>
          <w:lang w:eastAsia="en-GB"/>
        </w:rPr>
        <w:t>.</w:t>
      </w:r>
    </w:p>
    <w:p w14:paraId="1B973AAD" w14:textId="77777777" w:rsidR="00A210E4" w:rsidRDefault="00414B41" w:rsidP="00FC63D8">
      <w:pPr>
        <w:numPr>
          <w:ilvl w:val="1"/>
          <w:numId w:val="1"/>
        </w:numPr>
        <w:autoSpaceDE w:val="0"/>
        <w:autoSpaceDN w:val="0"/>
        <w:adjustRightInd w:val="0"/>
        <w:spacing w:after="120" w:line="240" w:lineRule="auto"/>
        <w:ind w:left="567" w:hanging="567"/>
        <w:jc w:val="both"/>
        <w:rPr>
          <w:rFonts w:ascii="Arial" w:eastAsia="Times New Roman" w:hAnsi="Arial" w:cs="Times New Roman"/>
          <w:bCs/>
          <w:sz w:val="24"/>
          <w:szCs w:val="24"/>
          <w:lang w:eastAsia="en-GB"/>
        </w:rPr>
      </w:pPr>
      <w:r>
        <w:rPr>
          <w:rFonts w:ascii="Arial" w:eastAsia="Times New Roman" w:hAnsi="Arial" w:cs="Times New Roman"/>
          <w:bCs/>
          <w:sz w:val="24"/>
          <w:szCs w:val="24"/>
          <w:lang w:eastAsia="en-GB"/>
        </w:rPr>
        <w:t xml:space="preserve">The </w:t>
      </w:r>
      <w:r w:rsidR="00A210E4" w:rsidRPr="00E32F37">
        <w:rPr>
          <w:rFonts w:ascii="Arial" w:eastAsia="Times New Roman" w:hAnsi="Arial" w:cs="Times New Roman"/>
          <w:bCs/>
          <w:sz w:val="24"/>
          <w:szCs w:val="24"/>
          <w:lang w:eastAsia="en-GB"/>
        </w:rPr>
        <w:t>Standards Committee</w:t>
      </w:r>
      <w:r w:rsidR="0080157F" w:rsidRPr="00E32F37">
        <w:rPr>
          <w:rFonts w:ascii="Arial" w:eastAsia="Times New Roman" w:hAnsi="Arial" w:cs="Times New Roman"/>
          <w:bCs/>
          <w:sz w:val="24"/>
          <w:szCs w:val="24"/>
          <w:lang w:eastAsia="en-GB"/>
        </w:rPr>
        <w:t>’s main functions concern</w:t>
      </w:r>
      <w:r w:rsidR="00A210E4" w:rsidRPr="00E32F37">
        <w:rPr>
          <w:rFonts w:ascii="Arial" w:eastAsia="Times New Roman" w:hAnsi="Arial" w:cs="Times New Roman"/>
          <w:bCs/>
          <w:sz w:val="24"/>
          <w:szCs w:val="24"/>
          <w:lang w:eastAsia="en-GB"/>
        </w:rPr>
        <w:t xml:space="preserve"> promot</w:t>
      </w:r>
      <w:r w:rsidR="0080157F" w:rsidRPr="00E32F37">
        <w:rPr>
          <w:rFonts w:ascii="Arial" w:eastAsia="Times New Roman" w:hAnsi="Arial" w:cs="Times New Roman"/>
          <w:bCs/>
          <w:sz w:val="24"/>
          <w:szCs w:val="24"/>
          <w:lang w:eastAsia="en-GB"/>
        </w:rPr>
        <w:t>ing</w:t>
      </w:r>
      <w:r w:rsidR="00A210E4" w:rsidRPr="00E32F37">
        <w:rPr>
          <w:rFonts w:ascii="Arial" w:eastAsia="Times New Roman" w:hAnsi="Arial" w:cs="Times New Roman"/>
          <w:bCs/>
          <w:sz w:val="24"/>
          <w:szCs w:val="24"/>
          <w:lang w:eastAsia="en-GB"/>
        </w:rPr>
        <w:t xml:space="preserve"> and maintain</w:t>
      </w:r>
      <w:r w:rsidR="0080157F" w:rsidRPr="00E32F37">
        <w:rPr>
          <w:rFonts w:ascii="Arial" w:eastAsia="Times New Roman" w:hAnsi="Arial" w:cs="Times New Roman"/>
          <w:bCs/>
          <w:sz w:val="24"/>
          <w:szCs w:val="24"/>
          <w:lang w:eastAsia="en-GB"/>
        </w:rPr>
        <w:t>ing</w:t>
      </w:r>
      <w:r w:rsidR="00A210E4" w:rsidRPr="00E32F37">
        <w:rPr>
          <w:rFonts w:ascii="Arial" w:eastAsia="Times New Roman" w:hAnsi="Arial" w:cs="Times New Roman"/>
          <w:bCs/>
          <w:sz w:val="24"/>
          <w:szCs w:val="24"/>
          <w:lang w:eastAsia="en-GB"/>
        </w:rPr>
        <w:t xml:space="preserve"> high standards of conduct by Councillors and co-opted members</w:t>
      </w:r>
      <w:r w:rsidR="0080157F" w:rsidRPr="00E32F37">
        <w:rPr>
          <w:rFonts w:ascii="Arial" w:eastAsia="Times New Roman" w:hAnsi="Arial" w:cs="Times New Roman"/>
          <w:bCs/>
          <w:sz w:val="24"/>
          <w:szCs w:val="24"/>
          <w:lang w:eastAsia="en-GB"/>
        </w:rPr>
        <w:t>, including in relation to the Code of Conduct, Confidential Reporting Code and issues referred to it by the Monitoring Officer. It can also</w:t>
      </w:r>
      <w:r w:rsidR="00A210E4" w:rsidRPr="00E32F37">
        <w:rPr>
          <w:rFonts w:ascii="Arial" w:eastAsia="Times New Roman" w:hAnsi="Arial" w:cs="Times New Roman"/>
          <w:bCs/>
          <w:sz w:val="24"/>
          <w:szCs w:val="24"/>
          <w:lang w:eastAsia="en-GB"/>
        </w:rPr>
        <w:t xml:space="preserve"> make recommendations regarding the settlement of cases of maladministration.  </w:t>
      </w:r>
    </w:p>
    <w:p w14:paraId="13B2D000" w14:textId="77777777" w:rsidR="005D0948" w:rsidRPr="00E32F37" w:rsidRDefault="005D0948" w:rsidP="00FC63D8">
      <w:pPr>
        <w:numPr>
          <w:ilvl w:val="1"/>
          <w:numId w:val="1"/>
        </w:numPr>
        <w:autoSpaceDE w:val="0"/>
        <w:autoSpaceDN w:val="0"/>
        <w:adjustRightInd w:val="0"/>
        <w:spacing w:after="120" w:line="240" w:lineRule="auto"/>
        <w:ind w:left="567" w:hanging="567"/>
        <w:jc w:val="both"/>
        <w:rPr>
          <w:rFonts w:ascii="Arial" w:eastAsia="Times New Roman" w:hAnsi="Arial" w:cs="Times New Roman"/>
          <w:bCs/>
          <w:sz w:val="24"/>
          <w:szCs w:val="24"/>
          <w:lang w:eastAsia="en-GB"/>
        </w:rPr>
      </w:pPr>
      <w:r>
        <w:rPr>
          <w:rFonts w:ascii="Arial" w:eastAsia="Times New Roman" w:hAnsi="Arial" w:cs="Times New Roman"/>
          <w:bCs/>
          <w:sz w:val="24"/>
          <w:szCs w:val="24"/>
          <w:lang w:eastAsia="en-GB"/>
        </w:rPr>
        <w:t xml:space="preserve">The Companies Governance Executive Sub-Committee was </w:t>
      </w:r>
      <w:r w:rsidR="00314C1E">
        <w:rPr>
          <w:rFonts w:ascii="Arial" w:eastAsia="Times New Roman" w:hAnsi="Arial" w:cs="Times New Roman"/>
          <w:bCs/>
          <w:sz w:val="24"/>
          <w:szCs w:val="24"/>
          <w:lang w:eastAsia="en-GB"/>
        </w:rPr>
        <w:t>establish</w:t>
      </w:r>
      <w:r>
        <w:rPr>
          <w:rFonts w:ascii="Arial" w:eastAsia="Times New Roman" w:hAnsi="Arial" w:cs="Times New Roman"/>
          <w:bCs/>
          <w:sz w:val="24"/>
          <w:szCs w:val="24"/>
          <w:lang w:eastAsia="en-GB"/>
        </w:rPr>
        <w:t>ed by the Leader during 2019-20, and deals with the Council’s activity as shareholder in its companies, and aims to support the good governance of those companies.</w:t>
      </w:r>
    </w:p>
    <w:p w14:paraId="4DE24F9D" w14:textId="77777777" w:rsidR="00630B4D" w:rsidRPr="00630B4D" w:rsidRDefault="00630B4D" w:rsidP="00630B4D">
      <w:pPr>
        <w:keepNext/>
        <w:keepLines/>
        <w:spacing w:before="200" w:after="0"/>
        <w:outlineLvl w:val="1"/>
        <w:rPr>
          <w:rFonts w:ascii="Cambria" w:eastAsia="Times New Roman" w:hAnsi="Cambria" w:cs="Times New Roman"/>
          <w:b/>
          <w:bCs/>
          <w:color w:val="4F81BD"/>
          <w:sz w:val="26"/>
          <w:szCs w:val="26"/>
        </w:rPr>
      </w:pPr>
      <w:r w:rsidRPr="00630B4D">
        <w:rPr>
          <w:rFonts w:ascii="Cambria" w:eastAsia="Times New Roman" w:hAnsi="Cambria" w:cs="Times New Roman"/>
          <w:b/>
          <w:bCs/>
          <w:color w:val="4F81BD"/>
          <w:sz w:val="26"/>
          <w:szCs w:val="26"/>
        </w:rPr>
        <w:t>Audit Committee</w:t>
      </w:r>
    </w:p>
    <w:p w14:paraId="7E151C0A" w14:textId="77777777" w:rsidR="007B2CBB" w:rsidRPr="007B2CBB" w:rsidRDefault="007B2CBB" w:rsidP="0038335F">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Pr>
          <w:rFonts w:ascii="Arial" w:eastAsia="Times New Roman" w:hAnsi="Arial" w:cs="Times New Roman"/>
          <w:bCs/>
          <w:sz w:val="24"/>
          <w:szCs w:val="24"/>
          <w:lang w:eastAsia="en-GB"/>
        </w:rPr>
        <w:t>The Report in the Public Interest sets out the need for an overarching governance review. This is incorporated in the action plan (Appendix 2).</w:t>
      </w:r>
    </w:p>
    <w:p w14:paraId="0AE19BF4" w14:textId="77777777" w:rsidR="00630B4D" w:rsidRPr="00630B4D" w:rsidRDefault="00630B4D" w:rsidP="0038335F">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630B4D">
        <w:rPr>
          <w:rFonts w:ascii="Arial" w:eastAsia="Times New Roman" w:hAnsi="Arial" w:cs="Arial"/>
          <w:sz w:val="24"/>
          <w:szCs w:val="24"/>
          <w:lang w:eastAsia="en-GB"/>
        </w:rPr>
        <w:t>The Audit Committee regularly updates its programme of work in accordance with its terms of reference. It complies with CiPFA guidance on the role of Audit Committees. It monitors and approves arrangements for Internal Audit and Risk Management</w:t>
      </w:r>
    </w:p>
    <w:p w14:paraId="0C289DE9" w14:textId="77777777" w:rsidR="00630B4D" w:rsidRPr="00E32F37" w:rsidRDefault="00630B4D" w:rsidP="0038335F">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E32F37">
        <w:rPr>
          <w:rFonts w:ascii="Arial" w:eastAsia="Times New Roman" w:hAnsi="Arial" w:cs="Arial"/>
          <w:sz w:val="24"/>
          <w:szCs w:val="24"/>
          <w:lang w:eastAsia="en-GB"/>
        </w:rPr>
        <w:t xml:space="preserve">The Audit Committee also </w:t>
      </w:r>
      <w:r w:rsidR="00517226" w:rsidRPr="00E32F37">
        <w:rPr>
          <w:rFonts w:ascii="Arial" w:eastAsia="Times New Roman" w:hAnsi="Arial" w:cs="Arial"/>
          <w:sz w:val="24"/>
          <w:szCs w:val="24"/>
          <w:lang w:eastAsia="en-GB"/>
        </w:rPr>
        <w:t xml:space="preserve">receives </w:t>
      </w:r>
      <w:r w:rsidR="00E32F37" w:rsidRPr="00E32F37">
        <w:rPr>
          <w:rFonts w:ascii="Arial" w:eastAsia="Times New Roman" w:hAnsi="Arial" w:cs="Arial"/>
          <w:sz w:val="24"/>
          <w:szCs w:val="24"/>
          <w:lang w:eastAsia="en-GB"/>
        </w:rPr>
        <w:t xml:space="preserve">a summary of </w:t>
      </w:r>
      <w:r w:rsidRPr="00E32F37">
        <w:rPr>
          <w:rFonts w:ascii="Arial" w:eastAsia="Times New Roman" w:hAnsi="Arial" w:cs="Arial"/>
          <w:sz w:val="24"/>
          <w:szCs w:val="24"/>
          <w:lang w:eastAsia="en-GB"/>
        </w:rPr>
        <w:t>external sources of assurance</w:t>
      </w:r>
      <w:r w:rsidR="00E32F37" w:rsidRPr="00E32F37">
        <w:rPr>
          <w:rFonts w:ascii="Arial" w:eastAsia="Times New Roman" w:hAnsi="Arial" w:cs="Arial"/>
          <w:sz w:val="24"/>
          <w:szCs w:val="24"/>
          <w:lang w:eastAsia="en-GB"/>
        </w:rPr>
        <w:t xml:space="preserve"> in the Internal Audit Annual Report</w:t>
      </w:r>
      <w:r w:rsidRPr="00E32F37">
        <w:rPr>
          <w:rFonts w:ascii="Arial" w:eastAsia="Times New Roman" w:hAnsi="Arial" w:cs="Arial"/>
          <w:sz w:val="24"/>
          <w:szCs w:val="24"/>
          <w:lang w:eastAsia="en-GB"/>
        </w:rPr>
        <w:t>,</w:t>
      </w:r>
      <w:r w:rsidR="0071632B">
        <w:rPr>
          <w:rFonts w:ascii="Arial" w:eastAsia="Times New Roman" w:hAnsi="Arial" w:cs="Arial"/>
          <w:sz w:val="24"/>
          <w:szCs w:val="24"/>
          <w:lang w:eastAsia="en-GB"/>
        </w:rPr>
        <w:t xml:space="preserve"> and during the year</w:t>
      </w:r>
      <w:r w:rsidR="00E32F37" w:rsidRPr="00E32F37">
        <w:rPr>
          <w:rFonts w:ascii="Arial" w:eastAsia="Times New Roman" w:hAnsi="Arial" w:cs="Arial"/>
          <w:sz w:val="24"/>
          <w:szCs w:val="24"/>
          <w:lang w:eastAsia="en-GB"/>
        </w:rPr>
        <w:t xml:space="preserve"> receives information about</w:t>
      </w:r>
      <w:r w:rsidRPr="00E32F37">
        <w:rPr>
          <w:rFonts w:ascii="Arial" w:eastAsia="Times New Roman" w:hAnsi="Arial" w:cs="Arial"/>
          <w:sz w:val="24"/>
          <w:szCs w:val="24"/>
          <w:lang w:eastAsia="en-GB"/>
        </w:rPr>
        <w:t xml:space="preserve"> departmental arrangements for assurance, risk management, key systems, governance audits, companies, pa</w:t>
      </w:r>
      <w:r w:rsidR="00414B41">
        <w:rPr>
          <w:rFonts w:ascii="Arial" w:eastAsia="Times New Roman" w:hAnsi="Arial" w:cs="Arial"/>
          <w:sz w:val="24"/>
          <w:szCs w:val="24"/>
          <w:lang w:eastAsia="en-GB"/>
        </w:rPr>
        <w:t>rtnerships, departmental audits and</w:t>
      </w:r>
      <w:r w:rsidRPr="00E32F37">
        <w:rPr>
          <w:rFonts w:ascii="Arial" w:eastAsia="Times New Roman" w:hAnsi="Arial" w:cs="Arial"/>
          <w:sz w:val="24"/>
          <w:szCs w:val="24"/>
          <w:lang w:eastAsia="en-GB"/>
        </w:rPr>
        <w:t xml:space="preserve"> fraud</w:t>
      </w:r>
      <w:r w:rsidR="00C627B8" w:rsidRPr="00E32F37">
        <w:rPr>
          <w:rFonts w:ascii="Arial" w:eastAsia="Times New Roman" w:hAnsi="Arial" w:cs="Arial"/>
          <w:sz w:val="24"/>
          <w:szCs w:val="24"/>
          <w:lang w:eastAsia="en-GB"/>
        </w:rPr>
        <w:t>.</w:t>
      </w:r>
    </w:p>
    <w:p w14:paraId="0D3EA4F3" w14:textId="77777777" w:rsidR="00630B4D" w:rsidRPr="00630B4D" w:rsidRDefault="00630B4D" w:rsidP="0038335F">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630B4D">
        <w:rPr>
          <w:rFonts w:ascii="Arial" w:eastAsia="Times New Roman" w:hAnsi="Arial" w:cs="Arial"/>
          <w:sz w:val="24"/>
          <w:szCs w:val="24"/>
          <w:lang w:eastAsia="en-GB"/>
        </w:rPr>
        <w:t>A regular programme of work is carried out by Internal Audit</w:t>
      </w:r>
      <w:r w:rsidR="00414B41">
        <w:rPr>
          <w:rFonts w:ascii="Arial" w:eastAsia="Times New Roman" w:hAnsi="Arial" w:cs="Arial"/>
          <w:sz w:val="24"/>
          <w:szCs w:val="24"/>
          <w:lang w:eastAsia="en-GB"/>
        </w:rPr>
        <w:t>,</w:t>
      </w:r>
      <w:r w:rsidRPr="00630B4D">
        <w:rPr>
          <w:rFonts w:ascii="Arial" w:eastAsia="Times New Roman" w:hAnsi="Arial" w:cs="Arial"/>
          <w:sz w:val="24"/>
          <w:szCs w:val="24"/>
          <w:lang w:eastAsia="en-GB"/>
        </w:rPr>
        <w:t xml:space="preserve"> and additional scrutiny committees, external audit and external inspection contribute to compliance with Council policies, procedures, laws and regulations. </w:t>
      </w:r>
      <w:r w:rsidR="00517226">
        <w:rPr>
          <w:rFonts w:ascii="Arial" w:eastAsia="Times New Roman" w:hAnsi="Arial" w:cs="Arial"/>
          <w:sz w:val="24"/>
          <w:szCs w:val="24"/>
          <w:lang w:eastAsia="en-GB"/>
        </w:rPr>
        <w:t>T</w:t>
      </w:r>
      <w:r w:rsidR="00517226" w:rsidRPr="00630B4D">
        <w:rPr>
          <w:rFonts w:ascii="Arial" w:eastAsia="Times New Roman" w:hAnsi="Arial" w:cs="Arial"/>
          <w:sz w:val="24"/>
          <w:szCs w:val="24"/>
          <w:lang w:eastAsia="en-GB"/>
        </w:rPr>
        <w:t>he Council’s arrangements for Internal Audit were externally assessed against Public Sector Internal Audit Standards</w:t>
      </w:r>
      <w:r w:rsidR="00517226">
        <w:rPr>
          <w:rFonts w:ascii="Arial" w:eastAsia="Times New Roman" w:hAnsi="Arial" w:cs="Arial"/>
          <w:sz w:val="24"/>
          <w:szCs w:val="24"/>
          <w:lang w:eastAsia="en-GB"/>
        </w:rPr>
        <w:t xml:space="preserve"> in 2017 and the next external assessment is due in 2022</w:t>
      </w:r>
    </w:p>
    <w:p w14:paraId="374AC5AF" w14:textId="77777777" w:rsidR="00630B4D" w:rsidRPr="00630B4D" w:rsidRDefault="00630B4D" w:rsidP="004C1D8C">
      <w:pPr>
        <w:keepNext/>
        <w:keepLines/>
        <w:numPr>
          <w:ilvl w:val="0"/>
          <w:numId w:val="1"/>
        </w:numPr>
        <w:spacing w:before="240" w:after="0" w:line="240" w:lineRule="auto"/>
        <w:ind w:left="567" w:hanging="567"/>
        <w:outlineLvl w:val="0"/>
        <w:rPr>
          <w:rFonts w:ascii="Cambria" w:eastAsia="Times New Roman" w:hAnsi="Cambria" w:cs="Times New Roman"/>
          <w:b/>
          <w:bCs/>
          <w:color w:val="365F91"/>
          <w:sz w:val="28"/>
          <w:szCs w:val="28"/>
        </w:rPr>
      </w:pPr>
      <w:r w:rsidRPr="00630B4D">
        <w:rPr>
          <w:rFonts w:ascii="Cambria" w:eastAsia="Times New Roman" w:hAnsi="Cambria" w:cs="Times New Roman"/>
          <w:b/>
          <w:bCs/>
          <w:color w:val="365F91"/>
          <w:sz w:val="28"/>
          <w:szCs w:val="28"/>
        </w:rPr>
        <w:t>Review of Effectiveness</w:t>
      </w:r>
    </w:p>
    <w:p w14:paraId="4A8EA862" w14:textId="77777777" w:rsidR="00630B4D" w:rsidRPr="00630B4D" w:rsidRDefault="00630B4D" w:rsidP="004C1D8C">
      <w:pPr>
        <w:keepNext/>
        <w:keepLines/>
        <w:spacing w:after="0"/>
        <w:outlineLvl w:val="1"/>
        <w:rPr>
          <w:rFonts w:ascii="Cambria" w:eastAsia="Times New Roman" w:hAnsi="Cambria" w:cs="Times New Roman"/>
          <w:b/>
          <w:bCs/>
          <w:color w:val="4F81BD"/>
          <w:sz w:val="26"/>
          <w:szCs w:val="26"/>
        </w:rPr>
      </w:pPr>
      <w:r w:rsidRPr="00630B4D">
        <w:rPr>
          <w:rFonts w:ascii="Cambria" w:eastAsia="Times New Roman" w:hAnsi="Cambria" w:cs="Times New Roman"/>
          <w:b/>
          <w:bCs/>
          <w:color w:val="4F81BD"/>
          <w:sz w:val="26"/>
          <w:szCs w:val="26"/>
        </w:rPr>
        <w:t>Review Process</w:t>
      </w:r>
    </w:p>
    <w:p w14:paraId="5DDEA153" w14:textId="77777777" w:rsidR="00630B4D" w:rsidRPr="00630B4D" w:rsidRDefault="00630B4D" w:rsidP="0038335F">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630B4D">
        <w:rPr>
          <w:rFonts w:ascii="Arial" w:eastAsia="Times New Roman" w:hAnsi="Arial" w:cs="Arial"/>
          <w:sz w:val="24"/>
          <w:szCs w:val="24"/>
          <w:lang w:eastAsia="en-GB"/>
        </w:rPr>
        <w:t xml:space="preserve">The Council has responsibility for conducting, at least annually, a review of the effectiveness of its governance framework, including the system of internal control. The review of effectiveness is informed by the work of the Corporate </w:t>
      </w:r>
      <w:r w:rsidRPr="00630B4D">
        <w:rPr>
          <w:rFonts w:ascii="Arial" w:eastAsia="Times New Roman" w:hAnsi="Arial" w:cs="Arial"/>
          <w:sz w:val="24"/>
          <w:szCs w:val="24"/>
          <w:lang w:eastAsia="en-GB"/>
        </w:rPr>
        <w:lastRenderedPageBreak/>
        <w:t>Directors within the Council who have responsibility for the development and maintenance of the governance environment, Statutory Officers, key colleagues, the Head of Internal Audit’s annual report, and by comments made by the external auditors and other review agencies and inspectorates. The review also looks at governance arrangements undertaken within its significant partnerships and within its group members.</w:t>
      </w:r>
    </w:p>
    <w:p w14:paraId="40DFD24E" w14:textId="77777777" w:rsidR="00630B4D" w:rsidRPr="00630B4D" w:rsidRDefault="00630B4D" w:rsidP="00630B4D">
      <w:pPr>
        <w:keepNext/>
        <w:keepLines/>
        <w:spacing w:before="200" w:after="0"/>
        <w:outlineLvl w:val="1"/>
        <w:rPr>
          <w:rFonts w:ascii="Cambria" w:eastAsia="Times New Roman" w:hAnsi="Cambria" w:cs="Times New Roman"/>
          <w:b/>
          <w:bCs/>
          <w:color w:val="4F81BD"/>
          <w:sz w:val="26"/>
          <w:szCs w:val="26"/>
        </w:rPr>
      </w:pPr>
      <w:r w:rsidRPr="00630B4D">
        <w:rPr>
          <w:rFonts w:ascii="Cambria" w:eastAsia="Times New Roman" w:hAnsi="Cambria" w:cs="Times New Roman"/>
          <w:b/>
          <w:bCs/>
          <w:color w:val="4F81BD"/>
          <w:sz w:val="26"/>
          <w:szCs w:val="26"/>
        </w:rPr>
        <w:t>Internal Audit</w:t>
      </w:r>
    </w:p>
    <w:p w14:paraId="6593DC6A" w14:textId="77777777" w:rsidR="00E606C6" w:rsidRPr="00E606C6" w:rsidRDefault="00E606C6" w:rsidP="00E606C6">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E606C6">
        <w:rPr>
          <w:rFonts w:ascii="Arial" w:eastAsia="Times New Roman" w:hAnsi="Arial" w:cs="Arial"/>
          <w:sz w:val="24"/>
          <w:szCs w:val="24"/>
          <w:lang w:eastAsia="en-GB"/>
        </w:rPr>
        <w:t>Internal Audit is an independent, objective assurance and consulting activity aiding the Council in accomplishing its objectives by bringing a systematic, disciplined approach directed to evaluate and improve the Council’s control and governance processes. Using information and evidence collected during the year</w:t>
      </w:r>
      <w:r w:rsidR="00414B41">
        <w:rPr>
          <w:rFonts w:ascii="Arial" w:eastAsia="Times New Roman" w:hAnsi="Arial" w:cs="Arial"/>
          <w:sz w:val="24"/>
          <w:szCs w:val="24"/>
          <w:lang w:eastAsia="en-GB"/>
        </w:rPr>
        <w:t>,</w:t>
      </w:r>
      <w:r w:rsidRPr="00E606C6">
        <w:rPr>
          <w:rFonts w:ascii="Arial" w:eastAsia="Times New Roman" w:hAnsi="Arial" w:cs="Arial"/>
          <w:sz w:val="24"/>
          <w:szCs w:val="24"/>
          <w:lang w:eastAsia="en-GB"/>
        </w:rPr>
        <w:t xml:space="preserve"> the Head of Audit &amp; Risk (HoIA) produces an annual audit report and opinion summarising the effectiveness of the governance arrangements in place.</w:t>
      </w:r>
    </w:p>
    <w:p w14:paraId="747BC5CA" w14:textId="77777777" w:rsidR="00E606C6" w:rsidRPr="00E606C6" w:rsidRDefault="00E606C6" w:rsidP="00E606C6">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E606C6">
        <w:rPr>
          <w:rFonts w:ascii="Arial" w:eastAsia="Times New Roman" w:hAnsi="Arial" w:cs="Arial"/>
          <w:sz w:val="24"/>
          <w:szCs w:val="24"/>
          <w:lang w:eastAsia="en-GB"/>
        </w:rPr>
        <w:t xml:space="preserve">In </w:t>
      </w:r>
      <w:r w:rsidR="00F46F49">
        <w:rPr>
          <w:rFonts w:ascii="Arial" w:eastAsia="Times New Roman" w:hAnsi="Arial" w:cs="Arial"/>
          <w:sz w:val="24"/>
          <w:szCs w:val="24"/>
          <w:lang w:eastAsia="en-GB"/>
        </w:rPr>
        <w:t>2019/20</w:t>
      </w:r>
      <w:r w:rsidRPr="00E606C6">
        <w:rPr>
          <w:rFonts w:ascii="Arial" w:eastAsia="Times New Roman" w:hAnsi="Arial" w:cs="Arial"/>
          <w:sz w:val="24"/>
          <w:szCs w:val="24"/>
          <w:lang w:eastAsia="en-GB"/>
        </w:rPr>
        <w:t>, the HoIA maintained processes complying with the governance requirements set down in the CIPFA Statement on the role of the Head of Internal Audit. The service met the requirements of the Account and Audit Regulations 2015 and associated regulations. An independent review in 2017 confirmed the service mostly conformed to the detailed principles contained in the Public Sector Internal Audit Standards (PSIAS). An annual self-assessment process operates to maintain an</w:t>
      </w:r>
      <w:r w:rsidR="00424428">
        <w:rPr>
          <w:rFonts w:ascii="Arial" w:eastAsia="Times New Roman" w:hAnsi="Arial" w:cs="Arial"/>
          <w:sz w:val="24"/>
          <w:szCs w:val="24"/>
          <w:lang w:eastAsia="en-GB"/>
        </w:rPr>
        <w:t>d improve compliance with PSIAS.</w:t>
      </w:r>
    </w:p>
    <w:p w14:paraId="4B5FDD2E" w14:textId="77777777" w:rsidR="0025491D" w:rsidRDefault="00E606C6" w:rsidP="00E606C6">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E606C6">
        <w:rPr>
          <w:rFonts w:ascii="Arial" w:eastAsia="Times New Roman" w:hAnsi="Arial" w:cs="Arial"/>
          <w:sz w:val="24"/>
          <w:szCs w:val="24"/>
          <w:lang w:eastAsia="en-GB"/>
        </w:rPr>
        <w:t xml:space="preserve">The HoIA reports to Corporate Directors and stakeholders who are responsible for ensuring that proper standards of internal control operate within their areas of responsibility. Internal Audit has reviewed the controls and given an opinion in respect of the systems and processes found in place. The </w:t>
      </w:r>
      <w:r w:rsidR="00F46F49">
        <w:rPr>
          <w:rFonts w:ascii="Arial" w:eastAsia="Times New Roman" w:hAnsi="Arial" w:cs="Arial"/>
          <w:sz w:val="24"/>
          <w:szCs w:val="24"/>
          <w:lang w:eastAsia="en-GB"/>
        </w:rPr>
        <w:t>2019/20</w:t>
      </w:r>
      <w:r w:rsidRPr="00E606C6">
        <w:rPr>
          <w:rFonts w:ascii="Arial" w:eastAsia="Times New Roman" w:hAnsi="Arial" w:cs="Arial"/>
          <w:sz w:val="24"/>
          <w:szCs w:val="24"/>
          <w:lang w:eastAsia="en-GB"/>
        </w:rPr>
        <w:t xml:space="preserve"> Audit Plan, as agreed by the Audit Committee and Corporate Directors and key stakeholders, was completed in accordance with the professional standards. </w:t>
      </w:r>
    </w:p>
    <w:p w14:paraId="37B4FEDC" w14:textId="77777777" w:rsidR="00630B4D" w:rsidRPr="00630B4D" w:rsidRDefault="00E606C6" w:rsidP="00E606C6">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E606C6">
        <w:rPr>
          <w:rFonts w:ascii="Arial" w:eastAsia="Times New Roman" w:hAnsi="Arial" w:cs="Arial"/>
          <w:sz w:val="24"/>
          <w:szCs w:val="24"/>
          <w:lang w:eastAsia="en-GB"/>
        </w:rPr>
        <w:t xml:space="preserve">The HoIA has also overseen those policies and procedures in place addressing the risk of fraud and irregularity, and is of the opinion that they align with best practice as described in the CIPFA Code </w:t>
      </w:r>
      <w:r w:rsidR="00414B41">
        <w:rPr>
          <w:rFonts w:ascii="Arial" w:eastAsia="Times New Roman" w:hAnsi="Arial" w:cs="Arial"/>
          <w:sz w:val="24"/>
          <w:szCs w:val="24"/>
          <w:lang w:eastAsia="en-GB"/>
        </w:rPr>
        <w:t xml:space="preserve">of Practice </w:t>
      </w:r>
      <w:r w:rsidRPr="00E606C6">
        <w:rPr>
          <w:rFonts w:ascii="Arial" w:eastAsia="Times New Roman" w:hAnsi="Arial" w:cs="Arial"/>
          <w:sz w:val="24"/>
          <w:szCs w:val="24"/>
          <w:lang w:eastAsia="en-GB"/>
        </w:rPr>
        <w:t xml:space="preserve">for </w:t>
      </w:r>
      <w:r w:rsidR="00414B41">
        <w:rPr>
          <w:rFonts w:ascii="Arial" w:eastAsia="Times New Roman" w:hAnsi="Arial" w:cs="Arial"/>
          <w:sz w:val="24"/>
          <w:szCs w:val="24"/>
          <w:lang w:eastAsia="en-GB"/>
        </w:rPr>
        <w:t>m</w:t>
      </w:r>
      <w:r w:rsidRPr="00E606C6">
        <w:rPr>
          <w:rFonts w:ascii="Arial" w:eastAsia="Times New Roman" w:hAnsi="Arial" w:cs="Arial"/>
          <w:sz w:val="24"/>
          <w:szCs w:val="24"/>
          <w:lang w:eastAsia="en-GB"/>
        </w:rPr>
        <w:t xml:space="preserve">anaging the </w:t>
      </w:r>
      <w:r w:rsidR="00414B41">
        <w:rPr>
          <w:rFonts w:ascii="Arial" w:eastAsia="Times New Roman" w:hAnsi="Arial" w:cs="Arial"/>
          <w:sz w:val="24"/>
          <w:szCs w:val="24"/>
          <w:lang w:eastAsia="en-GB"/>
        </w:rPr>
        <w:t>r</w:t>
      </w:r>
      <w:r w:rsidRPr="00E606C6">
        <w:rPr>
          <w:rFonts w:ascii="Arial" w:eastAsia="Times New Roman" w:hAnsi="Arial" w:cs="Arial"/>
          <w:sz w:val="24"/>
          <w:szCs w:val="24"/>
          <w:lang w:eastAsia="en-GB"/>
        </w:rPr>
        <w:t>isk of fraud and corruption. The HoIA has continued to develop the use of a corporate team to strengthen the counter fraud function.</w:t>
      </w:r>
    </w:p>
    <w:p w14:paraId="35A20CE6" w14:textId="77777777" w:rsidR="00630B4D" w:rsidRPr="00630B4D" w:rsidRDefault="00630B4D" w:rsidP="00630B4D">
      <w:pPr>
        <w:keepNext/>
        <w:keepLines/>
        <w:spacing w:before="200" w:after="0"/>
        <w:outlineLvl w:val="1"/>
        <w:rPr>
          <w:rFonts w:ascii="Cambria" w:eastAsia="Times New Roman" w:hAnsi="Cambria" w:cs="Times New Roman"/>
          <w:b/>
          <w:bCs/>
          <w:color w:val="4F81BD"/>
          <w:sz w:val="26"/>
          <w:szCs w:val="26"/>
        </w:rPr>
      </w:pPr>
      <w:r w:rsidRPr="00630B4D">
        <w:rPr>
          <w:rFonts w:ascii="Cambria" w:eastAsia="Times New Roman" w:hAnsi="Cambria" w:cs="Times New Roman"/>
          <w:b/>
          <w:bCs/>
          <w:color w:val="4F81BD"/>
          <w:sz w:val="26"/>
          <w:szCs w:val="26"/>
        </w:rPr>
        <w:t>Head of Audit &amp; Risk (HoIA) Opinion</w:t>
      </w:r>
    </w:p>
    <w:p w14:paraId="24D59844" w14:textId="77777777" w:rsidR="00630B4D" w:rsidRPr="00630B4D" w:rsidRDefault="00630B4D" w:rsidP="0038335F">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630B4D">
        <w:rPr>
          <w:rFonts w:ascii="Arial" w:eastAsia="Times New Roman" w:hAnsi="Arial" w:cs="Arial"/>
          <w:sz w:val="24"/>
          <w:szCs w:val="24"/>
          <w:lang w:eastAsia="en-GB"/>
        </w:rPr>
        <w:t>The mandatory Public Sector Internal Audit Standards require the HoIA to give an opinion and report to support the City Council’s Annual Governance Statement.  Corporate Directors are responsible for ensuring that proper standards of internal control operate within their directorates. IA reviews these controls and gives an opinion in respect of the systems and processes put in place.  The audit work concludes with a report detailing the findings and giving an overall level of assurance.</w:t>
      </w:r>
    </w:p>
    <w:p w14:paraId="313F31D6" w14:textId="77777777" w:rsidR="00630B4D" w:rsidRPr="00630B4D" w:rsidRDefault="00630B4D" w:rsidP="0038335F">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630B4D">
        <w:rPr>
          <w:rFonts w:ascii="Arial" w:eastAsia="Times New Roman" w:hAnsi="Arial" w:cs="Arial"/>
          <w:sz w:val="24"/>
          <w:szCs w:val="24"/>
          <w:lang w:eastAsia="en-GB"/>
        </w:rPr>
        <w:t xml:space="preserve">The IA service works to a risk based Audit Plan agreed with Corporate Directors and agreed by the Committee. The </w:t>
      </w:r>
      <w:r w:rsidR="00F46F49">
        <w:rPr>
          <w:rFonts w:ascii="Arial" w:eastAsia="Times New Roman" w:hAnsi="Arial" w:cs="Arial"/>
          <w:sz w:val="24"/>
          <w:szCs w:val="24"/>
          <w:lang w:eastAsia="en-GB"/>
        </w:rPr>
        <w:t>2019/20</w:t>
      </w:r>
      <w:r w:rsidRPr="00630B4D">
        <w:rPr>
          <w:rFonts w:ascii="Arial" w:eastAsia="Times New Roman" w:hAnsi="Arial" w:cs="Arial"/>
          <w:sz w:val="24"/>
          <w:szCs w:val="24"/>
          <w:lang w:eastAsia="en-GB"/>
        </w:rPr>
        <w:t xml:space="preserve"> Audit Plan has been completed in accordance with the PSIAS and other professional standards applicable to the service. The IA service has undertaken reviews of the internal control procedures in respect of the key systems and processes of the Council and its partners, where appropriate. The service has operated within professional standards as</w:t>
      </w:r>
      <w:r w:rsidR="00142E88">
        <w:rPr>
          <w:rFonts w:ascii="Arial" w:eastAsia="Times New Roman" w:hAnsi="Arial" w:cs="Arial"/>
          <w:sz w:val="24"/>
          <w:szCs w:val="24"/>
          <w:lang w:eastAsia="en-GB"/>
        </w:rPr>
        <w:t xml:space="preserve"> set out in</w:t>
      </w:r>
      <w:r w:rsidRPr="00630B4D">
        <w:rPr>
          <w:rFonts w:ascii="Arial" w:eastAsia="Times New Roman" w:hAnsi="Arial" w:cs="Arial"/>
          <w:sz w:val="24"/>
          <w:szCs w:val="24"/>
          <w:lang w:eastAsia="en-GB"/>
        </w:rPr>
        <w:t xml:space="preserve"> PSIAS.</w:t>
      </w:r>
    </w:p>
    <w:p w14:paraId="60679D02" w14:textId="77777777" w:rsidR="00630B4D" w:rsidRPr="00630B4D" w:rsidRDefault="00630B4D" w:rsidP="0038335F">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630B4D">
        <w:rPr>
          <w:rFonts w:ascii="Arial" w:eastAsia="Times New Roman" w:hAnsi="Arial" w:cs="Arial"/>
          <w:sz w:val="24"/>
          <w:szCs w:val="24"/>
          <w:lang w:eastAsia="en-GB"/>
        </w:rPr>
        <w:lastRenderedPageBreak/>
        <w:t xml:space="preserve">Planned work has been supplemented by ad hoc reviews in respect of irregularities and other work commissioned by Corporate Directors or the partners of the City Council and the work undertaken by external review agencies. Reports in respect of all reviews have been issued to the responsible colleagues, together with recommendations and agreed action plans. Further, a list of reports has been sent </w:t>
      </w:r>
      <w:r w:rsidR="00ED14E3">
        <w:rPr>
          <w:rFonts w:ascii="Arial" w:eastAsia="Times New Roman" w:hAnsi="Arial" w:cs="Arial"/>
          <w:sz w:val="24"/>
          <w:szCs w:val="24"/>
          <w:lang w:eastAsia="en-GB"/>
        </w:rPr>
        <w:t xml:space="preserve">regularly </w:t>
      </w:r>
      <w:r w:rsidRPr="00630B4D">
        <w:rPr>
          <w:rFonts w:ascii="Arial" w:eastAsia="Times New Roman" w:hAnsi="Arial" w:cs="Arial"/>
          <w:sz w:val="24"/>
          <w:szCs w:val="24"/>
          <w:lang w:eastAsia="en-GB"/>
        </w:rPr>
        <w:t>to the Committee for consideration.</w:t>
      </w:r>
    </w:p>
    <w:p w14:paraId="01FF2D66" w14:textId="7C776056" w:rsidR="00630B4D" w:rsidRPr="00630B4D" w:rsidRDefault="00630B4D" w:rsidP="0038335F">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630B4D">
        <w:rPr>
          <w:rFonts w:ascii="Arial" w:eastAsia="Times New Roman" w:hAnsi="Arial" w:cs="Arial"/>
          <w:sz w:val="24"/>
          <w:szCs w:val="24"/>
          <w:lang w:eastAsia="en-GB"/>
        </w:rPr>
        <w:t xml:space="preserve">Throughout </w:t>
      </w:r>
      <w:r w:rsidR="00F46F49">
        <w:rPr>
          <w:rFonts w:ascii="Arial" w:eastAsia="Times New Roman" w:hAnsi="Arial" w:cs="Arial"/>
          <w:sz w:val="24"/>
          <w:szCs w:val="24"/>
          <w:lang w:eastAsia="en-GB"/>
        </w:rPr>
        <w:t>2019/20</w:t>
      </w:r>
      <w:r w:rsidRPr="00630B4D">
        <w:rPr>
          <w:rFonts w:ascii="Arial" w:eastAsia="Times New Roman" w:hAnsi="Arial" w:cs="Arial"/>
          <w:sz w:val="24"/>
          <w:szCs w:val="24"/>
          <w:lang w:eastAsia="en-GB"/>
        </w:rPr>
        <w:t xml:space="preserve">, the HoIA has continuously reviewed the significant challenges and risks associated with the Council’s operations and has allocated the necessary resources, via the </w:t>
      </w:r>
      <w:r w:rsidR="00142E88">
        <w:rPr>
          <w:rFonts w:ascii="Arial" w:eastAsia="Times New Roman" w:hAnsi="Arial" w:cs="Arial"/>
          <w:sz w:val="24"/>
          <w:szCs w:val="24"/>
          <w:lang w:eastAsia="en-GB"/>
        </w:rPr>
        <w:t>Internal A</w:t>
      </w:r>
      <w:r w:rsidRPr="00630B4D">
        <w:rPr>
          <w:rFonts w:ascii="Arial" w:eastAsia="Times New Roman" w:hAnsi="Arial" w:cs="Arial"/>
          <w:sz w:val="24"/>
          <w:szCs w:val="24"/>
          <w:lang w:eastAsia="en-GB"/>
        </w:rPr>
        <w:t xml:space="preserve">udit </w:t>
      </w:r>
      <w:r w:rsidR="00142E88">
        <w:rPr>
          <w:rFonts w:ascii="Arial" w:eastAsia="Times New Roman" w:hAnsi="Arial" w:cs="Arial"/>
          <w:sz w:val="24"/>
          <w:szCs w:val="24"/>
          <w:lang w:eastAsia="en-GB"/>
        </w:rPr>
        <w:t>P</w:t>
      </w:r>
      <w:r w:rsidRPr="00630B4D">
        <w:rPr>
          <w:rFonts w:ascii="Arial" w:eastAsia="Times New Roman" w:hAnsi="Arial" w:cs="Arial"/>
          <w:sz w:val="24"/>
          <w:szCs w:val="24"/>
          <w:lang w:eastAsia="en-GB"/>
        </w:rPr>
        <w:t xml:space="preserve">lan, to form his opinion on the Council’s governance arrangements. In forming his opinion, the HoIA has reviewed all the IA reports issued in </w:t>
      </w:r>
      <w:r w:rsidR="00F46F49">
        <w:rPr>
          <w:rFonts w:ascii="Arial" w:eastAsia="Times New Roman" w:hAnsi="Arial" w:cs="Arial"/>
          <w:sz w:val="24"/>
          <w:szCs w:val="24"/>
          <w:lang w:eastAsia="en-GB"/>
        </w:rPr>
        <w:t>2019/20</w:t>
      </w:r>
      <w:r w:rsidRPr="00630B4D">
        <w:rPr>
          <w:rFonts w:ascii="Arial" w:eastAsia="Times New Roman" w:hAnsi="Arial" w:cs="Arial"/>
          <w:sz w:val="24"/>
          <w:szCs w:val="24"/>
          <w:lang w:eastAsia="en-GB"/>
        </w:rPr>
        <w:t>, which has included ICT work</w:t>
      </w:r>
      <w:r w:rsidR="00142E88">
        <w:rPr>
          <w:rFonts w:ascii="Arial" w:eastAsia="Times New Roman" w:hAnsi="Arial" w:cs="Arial"/>
          <w:sz w:val="24"/>
          <w:szCs w:val="24"/>
          <w:lang w:eastAsia="en-GB"/>
        </w:rPr>
        <w:t>,</w:t>
      </w:r>
      <w:r w:rsidRPr="00630B4D">
        <w:rPr>
          <w:rFonts w:ascii="Arial" w:eastAsia="Times New Roman" w:hAnsi="Arial" w:cs="Arial"/>
          <w:sz w:val="24"/>
          <w:szCs w:val="24"/>
          <w:lang w:eastAsia="en-GB"/>
        </w:rPr>
        <w:t xml:space="preserve"> and</w:t>
      </w:r>
      <w:r w:rsidR="00142E88">
        <w:rPr>
          <w:rFonts w:ascii="Arial" w:eastAsia="Times New Roman" w:hAnsi="Arial" w:cs="Arial"/>
          <w:sz w:val="24"/>
          <w:szCs w:val="24"/>
          <w:lang w:eastAsia="en-GB"/>
        </w:rPr>
        <w:t xml:space="preserve"> he has</w:t>
      </w:r>
      <w:r w:rsidRPr="00630B4D">
        <w:rPr>
          <w:rFonts w:ascii="Arial" w:eastAsia="Times New Roman" w:hAnsi="Arial" w:cs="Arial"/>
          <w:sz w:val="24"/>
          <w:szCs w:val="24"/>
          <w:lang w:eastAsia="en-GB"/>
        </w:rPr>
        <w:t xml:space="preserve"> drawn upon available external sources of assurance from independent review bodies and internal assurance mechanisms to help him identify and assess the key control risks to the Council’s objectives. Other sources of assurance ha</w:t>
      </w:r>
      <w:r w:rsidR="00222677">
        <w:rPr>
          <w:rFonts w:ascii="Arial" w:eastAsia="Times New Roman" w:hAnsi="Arial" w:cs="Arial"/>
          <w:sz w:val="24"/>
          <w:szCs w:val="24"/>
          <w:lang w:eastAsia="en-GB"/>
        </w:rPr>
        <w:t xml:space="preserve">ve </w:t>
      </w:r>
      <w:r w:rsidRPr="00630B4D">
        <w:rPr>
          <w:rFonts w:ascii="Arial" w:eastAsia="Times New Roman" w:hAnsi="Arial" w:cs="Arial"/>
          <w:sz w:val="24"/>
          <w:szCs w:val="24"/>
          <w:lang w:eastAsia="en-GB"/>
        </w:rPr>
        <w:t xml:space="preserve">included the AGS Statement, </w:t>
      </w:r>
      <w:r w:rsidR="00142E88">
        <w:rPr>
          <w:rFonts w:ascii="Arial" w:eastAsia="Times New Roman" w:hAnsi="Arial" w:cs="Arial"/>
          <w:sz w:val="24"/>
          <w:szCs w:val="24"/>
          <w:lang w:eastAsia="en-GB"/>
        </w:rPr>
        <w:t xml:space="preserve">the </w:t>
      </w:r>
      <w:r w:rsidRPr="00630B4D">
        <w:rPr>
          <w:rFonts w:ascii="Arial" w:eastAsia="Times New Roman" w:hAnsi="Arial" w:cs="Arial"/>
          <w:sz w:val="24"/>
          <w:szCs w:val="24"/>
          <w:lang w:eastAsia="en-GB"/>
        </w:rPr>
        <w:t xml:space="preserve">Ombudsman Report, </w:t>
      </w:r>
      <w:r w:rsidR="00B61946">
        <w:rPr>
          <w:rFonts w:ascii="Arial" w:eastAsia="Times New Roman" w:hAnsi="Arial" w:cs="Arial"/>
          <w:sz w:val="24"/>
          <w:szCs w:val="24"/>
          <w:lang w:eastAsia="en-GB"/>
        </w:rPr>
        <w:t>Grant Thornton</w:t>
      </w:r>
      <w:r w:rsidRPr="00630B4D">
        <w:rPr>
          <w:rFonts w:ascii="Arial" w:eastAsia="Times New Roman" w:hAnsi="Arial" w:cs="Arial"/>
          <w:sz w:val="24"/>
          <w:szCs w:val="24"/>
          <w:lang w:eastAsia="en-GB"/>
        </w:rPr>
        <w:t xml:space="preserve"> </w:t>
      </w:r>
      <w:r w:rsidR="00506652">
        <w:rPr>
          <w:rFonts w:ascii="Arial" w:eastAsia="Times New Roman" w:hAnsi="Arial" w:cs="Arial"/>
          <w:sz w:val="24"/>
          <w:szCs w:val="24"/>
          <w:lang w:eastAsia="en-GB"/>
        </w:rPr>
        <w:t>(</w:t>
      </w:r>
      <w:r w:rsidRPr="00630B4D">
        <w:rPr>
          <w:rFonts w:ascii="Arial" w:eastAsia="Times New Roman" w:hAnsi="Arial" w:cs="Arial"/>
          <w:sz w:val="24"/>
          <w:szCs w:val="24"/>
          <w:lang w:eastAsia="en-GB"/>
        </w:rPr>
        <w:t>the Council’s external auditor</w:t>
      </w:r>
      <w:r w:rsidR="00506652">
        <w:rPr>
          <w:rFonts w:ascii="Arial" w:eastAsia="Times New Roman" w:hAnsi="Arial" w:cs="Arial"/>
          <w:sz w:val="24"/>
          <w:szCs w:val="24"/>
          <w:lang w:eastAsia="en-GB"/>
        </w:rPr>
        <w:t>)</w:t>
      </w:r>
      <w:r w:rsidRPr="00630B4D">
        <w:rPr>
          <w:rFonts w:ascii="Arial" w:eastAsia="Times New Roman" w:hAnsi="Arial" w:cs="Arial"/>
          <w:sz w:val="24"/>
          <w:szCs w:val="24"/>
          <w:lang w:eastAsia="en-GB"/>
        </w:rPr>
        <w:t>, and the partnership health check review</w:t>
      </w:r>
      <w:r w:rsidR="00E82284">
        <w:rPr>
          <w:rFonts w:ascii="Arial" w:eastAsia="Times New Roman" w:hAnsi="Arial" w:cs="Arial"/>
          <w:sz w:val="24"/>
          <w:szCs w:val="24"/>
          <w:lang w:eastAsia="en-GB"/>
        </w:rPr>
        <w:t>.</w:t>
      </w:r>
      <w:r w:rsidR="00E82284" w:rsidRPr="00E82284">
        <w:rPr>
          <w:rFonts w:ascii="Arial" w:eastAsia="Times New Roman" w:hAnsi="Arial" w:cs="Arial"/>
          <w:sz w:val="24"/>
          <w:szCs w:val="24"/>
          <w:lang w:eastAsia="en-GB"/>
        </w:rPr>
        <w:t xml:space="preserve"> </w:t>
      </w:r>
      <w:r w:rsidR="00E82284">
        <w:rPr>
          <w:rFonts w:ascii="Arial" w:eastAsia="Times New Roman" w:hAnsi="Arial" w:cs="Arial"/>
          <w:sz w:val="24"/>
          <w:szCs w:val="24"/>
          <w:lang w:eastAsia="en-GB"/>
        </w:rPr>
        <w:t xml:space="preserve">External assurance sources such as OFSTED, </w:t>
      </w:r>
      <w:r w:rsidR="00E32F37">
        <w:rPr>
          <w:rFonts w:ascii="Arial" w:eastAsia="Times New Roman" w:hAnsi="Arial" w:cs="Arial"/>
          <w:sz w:val="24"/>
          <w:szCs w:val="24"/>
          <w:lang w:eastAsia="en-GB"/>
        </w:rPr>
        <w:t xml:space="preserve">and </w:t>
      </w:r>
      <w:r w:rsidR="00142E88">
        <w:rPr>
          <w:rFonts w:ascii="Arial" w:eastAsia="Times New Roman" w:hAnsi="Arial" w:cs="Arial"/>
          <w:sz w:val="24"/>
          <w:szCs w:val="24"/>
          <w:lang w:eastAsia="en-GB"/>
        </w:rPr>
        <w:t xml:space="preserve">the </w:t>
      </w:r>
      <w:r w:rsidR="00E82284">
        <w:rPr>
          <w:rFonts w:ascii="Arial" w:eastAsia="Times New Roman" w:hAnsi="Arial" w:cs="Arial"/>
          <w:sz w:val="24"/>
          <w:szCs w:val="24"/>
          <w:lang w:eastAsia="en-GB"/>
        </w:rPr>
        <w:t>Care Quality Commission have been reviewed</w:t>
      </w:r>
      <w:r w:rsidR="00142E88">
        <w:rPr>
          <w:rFonts w:ascii="Arial" w:eastAsia="Times New Roman" w:hAnsi="Arial" w:cs="Arial"/>
          <w:sz w:val="24"/>
          <w:szCs w:val="24"/>
          <w:lang w:eastAsia="en-GB"/>
        </w:rPr>
        <w:t>,</w:t>
      </w:r>
      <w:r w:rsidR="00E82284">
        <w:rPr>
          <w:rFonts w:ascii="Arial" w:eastAsia="Times New Roman" w:hAnsi="Arial" w:cs="Arial"/>
          <w:sz w:val="24"/>
          <w:szCs w:val="24"/>
          <w:lang w:eastAsia="en-GB"/>
        </w:rPr>
        <w:t xml:space="preserve"> and where necessary further information </w:t>
      </w:r>
      <w:r w:rsidR="00142E88">
        <w:rPr>
          <w:rFonts w:ascii="Arial" w:eastAsia="Times New Roman" w:hAnsi="Arial" w:cs="Arial"/>
          <w:sz w:val="24"/>
          <w:szCs w:val="24"/>
          <w:lang w:eastAsia="en-GB"/>
        </w:rPr>
        <w:t xml:space="preserve">has been </w:t>
      </w:r>
      <w:r w:rsidR="00E82284">
        <w:rPr>
          <w:rFonts w:ascii="Arial" w:eastAsia="Times New Roman" w:hAnsi="Arial" w:cs="Arial"/>
          <w:sz w:val="24"/>
          <w:szCs w:val="24"/>
          <w:lang w:eastAsia="en-GB"/>
        </w:rPr>
        <w:t>sought</w:t>
      </w:r>
      <w:r w:rsidR="00142E88">
        <w:rPr>
          <w:rFonts w:ascii="Arial" w:eastAsia="Times New Roman" w:hAnsi="Arial" w:cs="Arial"/>
          <w:sz w:val="24"/>
          <w:szCs w:val="24"/>
          <w:lang w:eastAsia="en-GB"/>
        </w:rPr>
        <w:t>,</w:t>
      </w:r>
      <w:r w:rsidR="00E82284">
        <w:rPr>
          <w:rFonts w:ascii="Arial" w:eastAsia="Times New Roman" w:hAnsi="Arial" w:cs="Arial"/>
          <w:sz w:val="24"/>
          <w:szCs w:val="24"/>
          <w:lang w:eastAsia="en-GB"/>
        </w:rPr>
        <w:t xml:space="preserve"> in order to assess these assurances.</w:t>
      </w:r>
    </w:p>
    <w:p w14:paraId="357D4319" w14:textId="77777777" w:rsidR="003070AC" w:rsidRPr="0071632B" w:rsidRDefault="00B93C26" w:rsidP="00EE068C">
      <w:pPr>
        <w:keepLines/>
        <w:numPr>
          <w:ilvl w:val="1"/>
          <w:numId w:val="1"/>
        </w:numPr>
        <w:autoSpaceDE w:val="0"/>
        <w:autoSpaceDN w:val="0"/>
        <w:adjustRightInd w:val="0"/>
        <w:spacing w:before="200" w:after="0" w:line="240" w:lineRule="auto"/>
        <w:ind w:left="567" w:hanging="567"/>
        <w:jc w:val="both"/>
        <w:outlineLvl w:val="1"/>
        <w:rPr>
          <w:rFonts w:ascii="Arial" w:eastAsia="Times New Roman" w:hAnsi="Arial" w:cs="Arial"/>
          <w:sz w:val="24"/>
          <w:szCs w:val="24"/>
          <w:lang w:eastAsia="en-GB"/>
        </w:rPr>
      </w:pPr>
      <w:r>
        <w:rPr>
          <w:rFonts w:ascii="Arial" w:eastAsia="Times New Roman" w:hAnsi="Arial" w:cs="Arial"/>
          <w:sz w:val="24"/>
          <w:szCs w:val="24"/>
          <w:lang w:eastAsia="en-GB"/>
        </w:rPr>
        <w:t xml:space="preserve">Based on the post balance sheet events the HoIA has given an overall </w:t>
      </w:r>
      <w:r w:rsidRPr="000B0B40">
        <w:rPr>
          <w:rFonts w:ascii="Arial" w:eastAsia="Times New Roman" w:hAnsi="Arial" w:cs="Arial"/>
          <w:sz w:val="24"/>
          <w:szCs w:val="24"/>
          <w:lang w:eastAsia="en-GB"/>
        </w:rPr>
        <w:t>limited level</w:t>
      </w:r>
      <w:r>
        <w:rPr>
          <w:rFonts w:ascii="Arial" w:eastAsia="Times New Roman" w:hAnsi="Arial" w:cs="Arial"/>
          <w:sz w:val="24"/>
          <w:szCs w:val="24"/>
          <w:lang w:eastAsia="en-GB"/>
        </w:rPr>
        <w:t xml:space="preserve"> of assurance for this revised AGS. N</w:t>
      </w:r>
      <w:r w:rsidR="00630B4D" w:rsidRPr="00630B4D">
        <w:rPr>
          <w:rFonts w:ascii="Arial" w:eastAsia="Times New Roman" w:hAnsi="Arial" w:cs="Arial"/>
          <w:sz w:val="24"/>
          <w:szCs w:val="24"/>
          <w:lang w:eastAsia="en-GB"/>
        </w:rPr>
        <w:t xml:space="preserve">o systems of control can provide </w:t>
      </w:r>
      <w:r w:rsidR="00630B4D" w:rsidRPr="00024F53">
        <w:rPr>
          <w:rFonts w:ascii="Arial" w:eastAsia="Times New Roman" w:hAnsi="Arial" w:cs="Arial"/>
          <w:sz w:val="24"/>
          <w:szCs w:val="24"/>
          <w:lang w:eastAsia="en-GB"/>
        </w:rPr>
        <w:t>absolute assurance, nor</w:t>
      </w:r>
      <w:r w:rsidR="00B61946" w:rsidRPr="00024F53">
        <w:rPr>
          <w:rFonts w:ascii="Arial" w:eastAsia="Times New Roman" w:hAnsi="Arial" w:cs="Arial"/>
          <w:sz w:val="24"/>
          <w:szCs w:val="24"/>
          <w:lang w:eastAsia="en-GB"/>
        </w:rPr>
        <w:t xml:space="preserve"> can IA give that assurance, </w:t>
      </w:r>
      <w:r w:rsidRPr="00024F53">
        <w:rPr>
          <w:rFonts w:ascii="Arial" w:eastAsia="Times New Roman" w:hAnsi="Arial" w:cs="Arial"/>
          <w:sz w:val="24"/>
          <w:szCs w:val="24"/>
          <w:lang w:eastAsia="en-GB"/>
        </w:rPr>
        <w:t xml:space="preserve">significant issues (as defined in the CIPFA Code of Practice) were included in audit work undertaken and reported by IA </w:t>
      </w:r>
      <w:r w:rsidR="00506652" w:rsidRPr="00024F53">
        <w:rPr>
          <w:rFonts w:ascii="Arial" w:eastAsia="Times New Roman" w:hAnsi="Arial" w:cs="Arial"/>
          <w:sz w:val="24"/>
          <w:szCs w:val="24"/>
          <w:lang w:eastAsia="en-GB"/>
        </w:rPr>
        <w:t>as part of</w:t>
      </w:r>
      <w:r w:rsidRPr="00024F53">
        <w:rPr>
          <w:rFonts w:ascii="Arial" w:eastAsia="Times New Roman" w:hAnsi="Arial" w:cs="Arial"/>
          <w:sz w:val="24"/>
          <w:szCs w:val="24"/>
          <w:lang w:eastAsia="en-GB"/>
        </w:rPr>
        <w:t xml:space="preserve"> </w:t>
      </w:r>
      <w:r w:rsidR="00506652" w:rsidRPr="00024F53">
        <w:rPr>
          <w:rFonts w:ascii="Arial" w:eastAsia="Times New Roman" w:hAnsi="Arial" w:cs="Arial"/>
          <w:sz w:val="24"/>
          <w:szCs w:val="24"/>
          <w:lang w:eastAsia="en-GB"/>
        </w:rPr>
        <w:t xml:space="preserve">the </w:t>
      </w:r>
      <w:r w:rsidR="00F46F49" w:rsidRPr="00024F53">
        <w:rPr>
          <w:rFonts w:ascii="Arial" w:eastAsia="Times New Roman" w:hAnsi="Arial" w:cs="Arial"/>
          <w:sz w:val="24"/>
          <w:szCs w:val="24"/>
          <w:lang w:eastAsia="en-GB"/>
        </w:rPr>
        <w:t>2019/20</w:t>
      </w:r>
      <w:r w:rsidR="00506652" w:rsidRPr="00024F53">
        <w:rPr>
          <w:rFonts w:ascii="Arial" w:eastAsia="Times New Roman" w:hAnsi="Arial" w:cs="Arial"/>
          <w:sz w:val="24"/>
          <w:szCs w:val="24"/>
          <w:lang w:eastAsia="en-GB"/>
        </w:rPr>
        <w:t xml:space="preserve"> Audit Plan</w:t>
      </w:r>
      <w:r w:rsidR="00630B4D" w:rsidRPr="00024F53">
        <w:rPr>
          <w:rFonts w:ascii="Arial" w:eastAsia="Times New Roman" w:hAnsi="Arial" w:cs="Arial"/>
          <w:sz w:val="24"/>
          <w:szCs w:val="24"/>
          <w:lang w:eastAsia="en-GB"/>
        </w:rPr>
        <w:t xml:space="preserve">. </w:t>
      </w:r>
      <w:r w:rsidRPr="00024F53">
        <w:rPr>
          <w:rFonts w:ascii="Arial" w:eastAsia="Times New Roman" w:hAnsi="Arial" w:cs="Arial"/>
          <w:sz w:val="24"/>
          <w:szCs w:val="24"/>
          <w:lang w:eastAsia="en-GB"/>
        </w:rPr>
        <w:t>S</w:t>
      </w:r>
      <w:r w:rsidR="0071632B" w:rsidRPr="00024F53">
        <w:rPr>
          <w:rFonts w:ascii="Arial" w:eastAsia="Times New Roman" w:hAnsi="Arial" w:cs="Arial"/>
          <w:sz w:val="24"/>
          <w:szCs w:val="24"/>
          <w:lang w:eastAsia="en-GB"/>
        </w:rPr>
        <w:t>ubsequent I</w:t>
      </w:r>
      <w:r w:rsidR="00DB5925" w:rsidRPr="00024F53">
        <w:rPr>
          <w:rFonts w:ascii="Arial" w:eastAsia="Times New Roman" w:hAnsi="Arial" w:cs="Arial"/>
          <w:sz w:val="24"/>
          <w:szCs w:val="24"/>
          <w:lang w:eastAsia="en-GB"/>
        </w:rPr>
        <w:t>A</w:t>
      </w:r>
      <w:r w:rsidR="0071632B" w:rsidRPr="00024F53">
        <w:rPr>
          <w:rFonts w:ascii="Arial" w:eastAsia="Times New Roman" w:hAnsi="Arial" w:cs="Arial"/>
          <w:sz w:val="24"/>
          <w:szCs w:val="24"/>
          <w:lang w:eastAsia="en-GB"/>
        </w:rPr>
        <w:t xml:space="preserve"> experience</w:t>
      </w:r>
      <w:r w:rsidR="00630B4D" w:rsidRPr="00024F53">
        <w:rPr>
          <w:rFonts w:ascii="Arial" w:eastAsia="Times New Roman" w:hAnsi="Arial" w:cs="Arial"/>
          <w:sz w:val="24"/>
          <w:szCs w:val="24"/>
          <w:lang w:eastAsia="en-GB"/>
        </w:rPr>
        <w:t>,</w:t>
      </w:r>
      <w:r w:rsidR="00630B4D" w:rsidRPr="0071632B">
        <w:rPr>
          <w:rFonts w:ascii="Arial" w:eastAsia="Times New Roman" w:hAnsi="Arial" w:cs="Arial"/>
          <w:sz w:val="24"/>
          <w:szCs w:val="24"/>
          <w:lang w:eastAsia="en-GB"/>
        </w:rPr>
        <w:t xml:space="preserve"> covering financial systems, risk and governance,</w:t>
      </w:r>
      <w:r w:rsidR="00B61946" w:rsidRPr="0071632B">
        <w:rPr>
          <w:rFonts w:ascii="Arial" w:eastAsia="Times New Roman" w:hAnsi="Arial" w:cs="Arial"/>
          <w:sz w:val="24"/>
          <w:szCs w:val="24"/>
          <w:lang w:eastAsia="en-GB"/>
        </w:rPr>
        <w:t xml:space="preserve"> and based on </w:t>
      </w:r>
      <w:r w:rsidR="00820879">
        <w:rPr>
          <w:rFonts w:ascii="Arial" w:eastAsia="Times New Roman" w:hAnsi="Arial" w:cs="Arial"/>
          <w:sz w:val="24"/>
          <w:szCs w:val="24"/>
          <w:lang w:eastAsia="en-GB"/>
        </w:rPr>
        <w:t xml:space="preserve">the </w:t>
      </w:r>
      <w:r w:rsidR="00B61946" w:rsidRPr="0071632B">
        <w:rPr>
          <w:rFonts w:ascii="Arial" w:eastAsia="Times New Roman" w:hAnsi="Arial" w:cs="Arial"/>
          <w:sz w:val="24"/>
          <w:szCs w:val="24"/>
          <w:lang w:eastAsia="en-GB"/>
        </w:rPr>
        <w:t>recent Ofsted</w:t>
      </w:r>
      <w:r w:rsidR="00820879">
        <w:rPr>
          <w:rFonts w:ascii="Arial" w:eastAsia="Times New Roman" w:hAnsi="Arial" w:cs="Arial"/>
          <w:sz w:val="24"/>
          <w:szCs w:val="24"/>
          <w:lang w:eastAsia="en-GB"/>
        </w:rPr>
        <w:t xml:space="preserve"> report</w:t>
      </w:r>
      <w:r w:rsidR="00B61946" w:rsidRPr="0071632B">
        <w:rPr>
          <w:rFonts w:ascii="Arial" w:eastAsia="Times New Roman" w:hAnsi="Arial" w:cs="Arial"/>
          <w:sz w:val="24"/>
          <w:szCs w:val="24"/>
          <w:lang w:eastAsia="en-GB"/>
        </w:rPr>
        <w:t xml:space="preserve"> and </w:t>
      </w:r>
      <w:r w:rsidR="00820879">
        <w:rPr>
          <w:rFonts w:ascii="Arial" w:eastAsia="Times New Roman" w:hAnsi="Arial" w:cs="Arial"/>
          <w:sz w:val="24"/>
          <w:szCs w:val="24"/>
          <w:lang w:eastAsia="en-GB"/>
        </w:rPr>
        <w:t>the concern</w:t>
      </w:r>
      <w:r w:rsidR="00820879" w:rsidRPr="0071632B">
        <w:rPr>
          <w:rFonts w:ascii="Arial" w:eastAsia="Times New Roman" w:hAnsi="Arial" w:cs="Arial"/>
          <w:sz w:val="24"/>
          <w:szCs w:val="24"/>
          <w:lang w:eastAsia="en-GB"/>
        </w:rPr>
        <w:t xml:space="preserve">s </w:t>
      </w:r>
      <w:r w:rsidR="00820879">
        <w:rPr>
          <w:rFonts w:ascii="Arial" w:eastAsia="Times New Roman" w:hAnsi="Arial" w:cs="Arial"/>
          <w:sz w:val="24"/>
          <w:szCs w:val="24"/>
          <w:lang w:eastAsia="en-GB"/>
        </w:rPr>
        <w:t xml:space="preserve">that the </w:t>
      </w:r>
      <w:r w:rsidR="00B61946" w:rsidRPr="0071632B">
        <w:rPr>
          <w:rFonts w:ascii="Arial" w:eastAsia="Times New Roman" w:hAnsi="Arial" w:cs="Arial"/>
          <w:sz w:val="24"/>
          <w:szCs w:val="24"/>
          <w:lang w:eastAsia="en-GB"/>
        </w:rPr>
        <w:t>External Auditor</w:t>
      </w:r>
      <w:r w:rsidR="00820879">
        <w:rPr>
          <w:rFonts w:ascii="Arial" w:eastAsia="Times New Roman" w:hAnsi="Arial" w:cs="Arial"/>
          <w:sz w:val="24"/>
          <w:szCs w:val="24"/>
          <w:lang w:eastAsia="en-GB"/>
        </w:rPr>
        <w:t xml:space="preserve"> has raised during the audit of the 2018-19 Statement of Accounts</w:t>
      </w:r>
      <w:r w:rsidR="00B61946" w:rsidRPr="0071632B">
        <w:rPr>
          <w:rFonts w:ascii="Arial" w:eastAsia="Times New Roman" w:hAnsi="Arial" w:cs="Arial"/>
          <w:sz w:val="24"/>
          <w:szCs w:val="24"/>
          <w:lang w:eastAsia="en-GB"/>
        </w:rPr>
        <w:t xml:space="preserve">, together with the knowledge that the Council finances </w:t>
      </w:r>
      <w:r w:rsidR="00820879">
        <w:rPr>
          <w:rFonts w:ascii="Arial" w:eastAsia="Times New Roman" w:hAnsi="Arial" w:cs="Arial"/>
          <w:sz w:val="24"/>
          <w:szCs w:val="24"/>
          <w:lang w:eastAsia="en-GB"/>
        </w:rPr>
        <w:t xml:space="preserve">are </w:t>
      </w:r>
      <w:r w:rsidR="00B61946" w:rsidRPr="0071632B">
        <w:rPr>
          <w:rFonts w:ascii="Arial" w:eastAsia="Times New Roman" w:hAnsi="Arial" w:cs="Arial"/>
          <w:sz w:val="24"/>
          <w:szCs w:val="24"/>
          <w:lang w:eastAsia="en-GB"/>
        </w:rPr>
        <w:t>suffer</w:t>
      </w:r>
      <w:r w:rsidR="00820879">
        <w:rPr>
          <w:rFonts w:ascii="Arial" w:eastAsia="Times New Roman" w:hAnsi="Arial" w:cs="Arial"/>
          <w:sz w:val="24"/>
          <w:szCs w:val="24"/>
          <w:lang w:eastAsia="en-GB"/>
        </w:rPr>
        <w:t>ing</w:t>
      </w:r>
      <w:r w:rsidR="00B61946" w:rsidRPr="0071632B">
        <w:rPr>
          <w:rFonts w:ascii="Arial" w:eastAsia="Times New Roman" w:hAnsi="Arial" w:cs="Arial"/>
          <w:sz w:val="24"/>
          <w:szCs w:val="24"/>
          <w:lang w:eastAsia="en-GB"/>
        </w:rPr>
        <w:t xml:space="preserve"> significant stress due to the Covid-19 emergency in 2020</w:t>
      </w:r>
      <w:r w:rsidR="00630B4D" w:rsidRPr="0071632B">
        <w:rPr>
          <w:rFonts w:ascii="Arial" w:eastAsia="Times New Roman" w:hAnsi="Arial" w:cs="Arial"/>
          <w:sz w:val="24"/>
          <w:szCs w:val="24"/>
          <w:lang w:eastAsia="en-GB"/>
        </w:rPr>
        <w:t xml:space="preserve"> </w:t>
      </w:r>
      <w:r w:rsidR="006D0A11">
        <w:rPr>
          <w:rFonts w:ascii="Arial" w:eastAsia="Times New Roman" w:hAnsi="Arial" w:cs="Arial"/>
          <w:sz w:val="24"/>
          <w:szCs w:val="24"/>
          <w:lang w:eastAsia="en-GB"/>
        </w:rPr>
        <w:t xml:space="preserve">leads </w:t>
      </w:r>
      <w:r w:rsidR="00630B4D" w:rsidRPr="0071632B">
        <w:rPr>
          <w:rFonts w:ascii="Arial" w:eastAsia="Times New Roman" w:hAnsi="Arial" w:cs="Arial"/>
          <w:sz w:val="24"/>
          <w:szCs w:val="24"/>
          <w:lang w:eastAsia="en-GB"/>
        </w:rPr>
        <w:t xml:space="preserve">the HoIA </w:t>
      </w:r>
      <w:r w:rsidR="006D0A11">
        <w:rPr>
          <w:rFonts w:ascii="Arial" w:eastAsia="Times New Roman" w:hAnsi="Arial" w:cs="Arial"/>
          <w:sz w:val="24"/>
          <w:szCs w:val="24"/>
          <w:lang w:eastAsia="en-GB"/>
        </w:rPr>
        <w:t xml:space="preserve">to </w:t>
      </w:r>
      <w:r w:rsidR="00630B4D" w:rsidRPr="0071632B">
        <w:rPr>
          <w:rFonts w:ascii="Arial" w:eastAsia="Times New Roman" w:hAnsi="Arial" w:cs="Arial"/>
          <w:sz w:val="24"/>
          <w:szCs w:val="24"/>
          <w:lang w:eastAsia="en-GB"/>
        </w:rPr>
        <w:t xml:space="preserve">conclude that </w:t>
      </w:r>
      <w:r w:rsidR="00B61946" w:rsidRPr="0071632B">
        <w:rPr>
          <w:rFonts w:ascii="Arial" w:eastAsia="Times New Roman" w:hAnsi="Arial" w:cs="Arial"/>
          <w:sz w:val="24"/>
          <w:szCs w:val="24"/>
          <w:lang w:eastAsia="en-GB"/>
        </w:rPr>
        <w:t xml:space="preserve">whilst many </w:t>
      </w:r>
      <w:r w:rsidR="00630B4D" w:rsidRPr="0071632B">
        <w:rPr>
          <w:rFonts w:ascii="Arial" w:eastAsia="Times New Roman" w:hAnsi="Arial" w:cs="Arial"/>
          <w:sz w:val="24"/>
          <w:szCs w:val="24"/>
          <w:lang w:eastAsia="en-GB"/>
        </w:rPr>
        <w:t>internal control systems are operating effectively within the Council, its significant partners and associated groups</w:t>
      </w:r>
      <w:r w:rsidR="00B61946" w:rsidRPr="0071632B">
        <w:rPr>
          <w:rFonts w:ascii="Arial" w:eastAsia="Times New Roman" w:hAnsi="Arial" w:cs="Arial"/>
          <w:sz w:val="24"/>
          <w:szCs w:val="24"/>
          <w:lang w:eastAsia="en-GB"/>
        </w:rPr>
        <w:t xml:space="preserve"> – the area</w:t>
      </w:r>
      <w:r w:rsidR="00506652">
        <w:rPr>
          <w:rFonts w:ascii="Arial" w:eastAsia="Times New Roman" w:hAnsi="Arial" w:cs="Arial"/>
          <w:sz w:val="24"/>
          <w:szCs w:val="24"/>
          <w:lang w:eastAsia="en-GB"/>
        </w:rPr>
        <w:t xml:space="preserve">s of weakness identified under </w:t>
      </w:r>
      <w:r w:rsidR="00B61946" w:rsidRPr="0071632B">
        <w:rPr>
          <w:rFonts w:ascii="Arial" w:eastAsia="Times New Roman" w:hAnsi="Arial" w:cs="Arial"/>
          <w:sz w:val="24"/>
          <w:szCs w:val="24"/>
          <w:lang w:eastAsia="en-GB"/>
        </w:rPr>
        <w:t xml:space="preserve">significant items </w:t>
      </w:r>
      <w:r w:rsidR="00506652">
        <w:rPr>
          <w:rFonts w:ascii="Arial" w:eastAsia="Times New Roman" w:hAnsi="Arial" w:cs="Arial"/>
          <w:sz w:val="24"/>
          <w:szCs w:val="24"/>
          <w:lang w:eastAsia="en-GB"/>
        </w:rPr>
        <w:t>(</w:t>
      </w:r>
      <w:r w:rsidR="00B61946" w:rsidRPr="0071632B">
        <w:rPr>
          <w:rFonts w:ascii="Arial" w:eastAsia="Times New Roman" w:hAnsi="Arial" w:cs="Arial"/>
          <w:sz w:val="24"/>
          <w:szCs w:val="24"/>
          <w:lang w:eastAsia="en-GB"/>
        </w:rPr>
        <w:t>section</w:t>
      </w:r>
      <w:r w:rsidR="00506652">
        <w:rPr>
          <w:rFonts w:ascii="Arial" w:eastAsia="Times New Roman" w:hAnsi="Arial" w:cs="Arial"/>
          <w:sz w:val="24"/>
          <w:szCs w:val="24"/>
          <w:lang w:eastAsia="en-GB"/>
        </w:rPr>
        <w:t xml:space="preserve"> 2)</w:t>
      </w:r>
      <w:r w:rsidR="00B61946" w:rsidRPr="0071632B">
        <w:rPr>
          <w:rFonts w:ascii="Arial" w:eastAsia="Times New Roman" w:hAnsi="Arial" w:cs="Arial"/>
          <w:sz w:val="24"/>
          <w:szCs w:val="24"/>
          <w:lang w:eastAsia="en-GB"/>
        </w:rPr>
        <w:t xml:space="preserve"> lead to an overall limited level of assurance</w:t>
      </w:r>
      <w:r w:rsidR="00630B4D" w:rsidRPr="0071632B">
        <w:rPr>
          <w:rFonts w:ascii="Arial" w:eastAsia="Times New Roman" w:hAnsi="Arial" w:cs="Arial"/>
          <w:sz w:val="24"/>
          <w:szCs w:val="24"/>
          <w:lang w:eastAsia="en-GB"/>
        </w:rPr>
        <w:t>.</w:t>
      </w:r>
      <w:r w:rsidR="003070AC" w:rsidRPr="0071632B">
        <w:rPr>
          <w:rFonts w:ascii="Arial" w:eastAsia="Times New Roman" w:hAnsi="Arial" w:cs="Arial"/>
          <w:sz w:val="24"/>
          <w:szCs w:val="24"/>
          <w:lang w:eastAsia="en-GB"/>
        </w:rPr>
        <w:t xml:space="preserve"> </w:t>
      </w:r>
    </w:p>
    <w:p w14:paraId="2183F3E6" w14:textId="77777777" w:rsidR="00630B4D" w:rsidRPr="00510856" w:rsidRDefault="00B61946" w:rsidP="003070AC">
      <w:pPr>
        <w:keepNext/>
        <w:keepLines/>
        <w:numPr>
          <w:ilvl w:val="1"/>
          <w:numId w:val="1"/>
        </w:numPr>
        <w:autoSpaceDE w:val="0"/>
        <w:autoSpaceDN w:val="0"/>
        <w:adjustRightInd w:val="0"/>
        <w:spacing w:before="200" w:after="0" w:line="240" w:lineRule="auto"/>
        <w:ind w:left="567" w:hanging="567"/>
        <w:jc w:val="both"/>
        <w:outlineLvl w:val="1"/>
        <w:rPr>
          <w:rFonts w:ascii="Arial" w:eastAsia="Times New Roman" w:hAnsi="Arial" w:cs="Arial"/>
          <w:sz w:val="24"/>
          <w:szCs w:val="24"/>
          <w:lang w:eastAsia="en-GB"/>
        </w:rPr>
      </w:pPr>
      <w:r w:rsidRPr="0071632B">
        <w:rPr>
          <w:rFonts w:ascii="Arial" w:eastAsia="Times New Roman" w:hAnsi="Arial" w:cs="Arial"/>
          <w:sz w:val="24"/>
          <w:szCs w:val="24"/>
          <w:lang w:eastAsia="en-GB"/>
        </w:rPr>
        <w:t>I</w:t>
      </w:r>
      <w:r w:rsidR="003070AC" w:rsidRPr="0071632B">
        <w:rPr>
          <w:rFonts w:ascii="Arial" w:eastAsia="Times New Roman" w:hAnsi="Arial" w:cs="Arial"/>
          <w:sz w:val="24"/>
          <w:szCs w:val="24"/>
          <w:lang w:eastAsia="en-GB"/>
        </w:rPr>
        <w:t xml:space="preserve">t is clear from the last </w:t>
      </w:r>
      <w:r w:rsidRPr="0071632B">
        <w:rPr>
          <w:rFonts w:ascii="Arial" w:eastAsia="Times New Roman" w:hAnsi="Arial" w:cs="Arial"/>
          <w:sz w:val="24"/>
          <w:szCs w:val="24"/>
          <w:lang w:eastAsia="en-GB"/>
        </w:rPr>
        <w:t>4</w:t>
      </w:r>
      <w:r w:rsidR="003070AC" w:rsidRPr="0071632B">
        <w:rPr>
          <w:rFonts w:ascii="Arial" w:eastAsia="Times New Roman" w:hAnsi="Arial" w:cs="Arial"/>
          <w:sz w:val="24"/>
          <w:szCs w:val="24"/>
          <w:lang w:eastAsia="en-GB"/>
        </w:rPr>
        <w:t xml:space="preserve"> years’ budget outturns </w:t>
      </w:r>
      <w:r w:rsidR="00D44AA3" w:rsidRPr="0071632B">
        <w:rPr>
          <w:rFonts w:ascii="Arial" w:eastAsia="Times New Roman" w:hAnsi="Arial" w:cs="Arial"/>
          <w:sz w:val="24"/>
          <w:szCs w:val="24"/>
          <w:lang w:eastAsia="en-GB"/>
        </w:rPr>
        <w:t xml:space="preserve">and the 2020-21 projected overspend </w:t>
      </w:r>
      <w:r w:rsidR="003070AC" w:rsidRPr="0071632B">
        <w:rPr>
          <w:rFonts w:ascii="Arial" w:eastAsia="Times New Roman" w:hAnsi="Arial" w:cs="Arial"/>
          <w:sz w:val="24"/>
          <w:szCs w:val="24"/>
          <w:lang w:eastAsia="en-GB"/>
        </w:rPr>
        <w:t>that the financial control framework</w:t>
      </w:r>
      <w:r w:rsidR="00142E88" w:rsidRPr="0071632B">
        <w:rPr>
          <w:rFonts w:ascii="Arial" w:eastAsia="Times New Roman" w:hAnsi="Arial" w:cs="Arial"/>
          <w:sz w:val="24"/>
          <w:szCs w:val="24"/>
          <w:lang w:eastAsia="en-GB"/>
        </w:rPr>
        <w:t>,</w:t>
      </w:r>
      <w:r w:rsidR="003070AC" w:rsidRPr="0071632B">
        <w:rPr>
          <w:rFonts w:ascii="Arial" w:eastAsia="Times New Roman" w:hAnsi="Arial" w:cs="Arial"/>
          <w:sz w:val="24"/>
          <w:szCs w:val="24"/>
          <w:lang w:eastAsia="en-GB"/>
        </w:rPr>
        <w:t xml:space="preserve"> is under stress.</w:t>
      </w:r>
      <w:r w:rsidR="003070AC" w:rsidRPr="00510856">
        <w:rPr>
          <w:rFonts w:ascii="Arial" w:eastAsia="Times New Roman" w:hAnsi="Arial" w:cs="Arial"/>
          <w:sz w:val="24"/>
          <w:szCs w:val="24"/>
          <w:lang w:eastAsia="en-GB"/>
        </w:rPr>
        <w:t xml:space="preserve"> </w:t>
      </w:r>
      <w:r w:rsidR="00AB1558">
        <w:rPr>
          <w:rFonts w:ascii="Arial" w:eastAsia="Times New Roman" w:hAnsi="Arial" w:cs="Arial"/>
          <w:sz w:val="24"/>
          <w:szCs w:val="24"/>
          <w:lang w:eastAsia="en-GB"/>
        </w:rPr>
        <w:t>IA</w:t>
      </w:r>
      <w:r w:rsidR="003070AC" w:rsidRPr="00510856">
        <w:rPr>
          <w:rFonts w:ascii="Arial" w:eastAsia="Times New Roman" w:hAnsi="Arial" w:cs="Arial"/>
          <w:sz w:val="24"/>
          <w:szCs w:val="24"/>
          <w:lang w:eastAsia="en-GB"/>
        </w:rPr>
        <w:t xml:space="preserve"> will prioritise additional activity in 20</w:t>
      </w:r>
      <w:r>
        <w:rPr>
          <w:rFonts w:ascii="Arial" w:eastAsia="Times New Roman" w:hAnsi="Arial" w:cs="Arial"/>
          <w:sz w:val="24"/>
          <w:szCs w:val="24"/>
          <w:lang w:eastAsia="en-GB"/>
        </w:rPr>
        <w:t>20</w:t>
      </w:r>
      <w:r w:rsidR="003070AC" w:rsidRPr="00510856">
        <w:rPr>
          <w:rFonts w:ascii="Arial" w:eastAsia="Times New Roman" w:hAnsi="Arial" w:cs="Arial"/>
          <w:sz w:val="24"/>
          <w:szCs w:val="24"/>
          <w:lang w:eastAsia="en-GB"/>
        </w:rPr>
        <w:t>-</w:t>
      </w:r>
      <w:r>
        <w:rPr>
          <w:rFonts w:ascii="Arial" w:eastAsia="Times New Roman" w:hAnsi="Arial" w:cs="Arial"/>
          <w:sz w:val="24"/>
          <w:szCs w:val="24"/>
          <w:lang w:eastAsia="en-GB"/>
        </w:rPr>
        <w:t>21</w:t>
      </w:r>
      <w:r w:rsidR="003070AC" w:rsidRPr="00510856">
        <w:rPr>
          <w:rFonts w:ascii="Arial" w:eastAsia="Times New Roman" w:hAnsi="Arial" w:cs="Arial"/>
          <w:sz w:val="24"/>
          <w:szCs w:val="24"/>
          <w:lang w:eastAsia="en-GB"/>
        </w:rPr>
        <w:t xml:space="preserve"> to identify issues within financial control to assist management in maintaining the effectiveness of the framework. As might be expected in an era of frequent change, reorganisations and cuts, </w:t>
      </w:r>
      <w:r w:rsidR="00AB1558">
        <w:rPr>
          <w:rFonts w:ascii="Arial" w:eastAsia="Times New Roman" w:hAnsi="Arial" w:cs="Arial"/>
          <w:sz w:val="24"/>
          <w:szCs w:val="24"/>
          <w:lang w:eastAsia="en-GB"/>
        </w:rPr>
        <w:t xml:space="preserve">internal </w:t>
      </w:r>
      <w:r w:rsidR="003070AC" w:rsidRPr="00510856">
        <w:rPr>
          <w:rFonts w:ascii="Arial" w:eastAsia="Times New Roman" w:hAnsi="Arial" w:cs="Arial"/>
          <w:sz w:val="24"/>
          <w:szCs w:val="24"/>
          <w:lang w:eastAsia="en-GB"/>
        </w:rPr>
        <w:t xml:space="preserve">audits have highlighted system weaknesses in some areas and </w:t>
      </w:r>
      <w:r w:rsidR="00BA56A8">
        <w:rPr>
          <w:rFonts w:ascii="Arial" w:eastAsia="Times New Roman" w:hAnsi="Arial" w:cs="Arial"/>
          <w:sz w:val="24"/>
          <w:szCs w:val="24"/>
          <w:lang w:eastAsia="en-GB"/>
        </w:rPr>
        <w:t xml:space="preserve">governance and </w:t>
      </w:r>
      <w:r w:rsidR="003070AC" w:rsidRPr="00510856">
        <w:rPr>
          <w:rFonts w:ascii="Arial" w:eastAsia="Times New Roman" w:hAnsi="Arial" w:cs="Arial"/>
          <w:sz w:val="24"/>
          <w:szCs w:val="24"/>
          <w:lang w:eastAsia="en-GB"/>
        </w:rPr>
        <w:t xml:space="preserve">compliance issues. </w:t>
      </w:r>
      <w:r w:rsidR="00AB1558">
        <w:rPr>
          <w:rFonts w:ascii="Arial" w:eastAsia="Times New Roman" w:hAnsi="Arial" w:cs="Arial"/>
          <w:sz w:val="24"/>
          <w:szCs w:val="24"/>
          <w:lang w:eastAsia="en-GB"/>
        </w:rPr>
        <w:t>IA</w:t>
      </w:r>
      <w:r w:rsidR="003070AC" w:rsidRPr="00510856">
        <w:rPr>
          <w:rFonts w:ascii="Arial" w:eastAsia="Times New Roman" w:hAnsi="Arial" w:cs="Arial"/>
          <w:sz w:val="24"/>
          <w:szCs w:val="24"/>
          <w:lang w:eastAsia="en-GB"/>
        </w:rPr>
        <w:t xml:space="preserve"> will aim to review </w:t>
      </w:r>
      <w:r w:rsidR="00BA56A8">
        <w:rPr>
          <w:rFonts w:ascii="Arial" w:eastAsia="Times New Roman" w:hAnsi="Arial" w:cs="Arial"/>
          <w:sz w:val="24"/>
          <w:szCs w:val="24"/>
          <w:lang w:eastAsia="en-GB"/>
        </w:rPr>
        <w:t xml:space="preserve">these </w:t>
      </w:r>
      <w:r w:rsidR="003070AC" w:rsidRPr="00510856">
        <w:rPr>
          <w:rFonts w:ascii="Arial" w:eastAsia="Times New Roman" w:hAnsi="Arial" w:cs="Arial"/>
          <w:sz w:val="24"/>
          <w:szCs w:val="24"/>
          <w:lang w:eastAsia="en-GB"/>
        </w:rPr>
        <w:t>key areas during 20</w:t>
      </w:r>
      <w:r>
        <w:rPr>
          <w:rFonts w:ascii="Arial" w:eastAsia="Times New Roman" w:hAnsi="Arial" w:cs="Arial"/>
          <w:sz w:val="24"/>
          <w:szCs w:val="24"/>
          <w:lang w:eastAsia="en-GB"/>
        </w:rPr>
        <w:t>20</w:t>
      </w:r>
      <w:r w:rsidR="00A01341">
        <w:rPr>
          <w:rFonts w:ascii="Arial" w:eastAsia="Times New Roman" w:hAnsi="Arial" w:cs="Arial"/>
          <w:sz w:val="24"/>
          <w:szCs w:val="24"/>
          <w:lang w:eastAsia="en-GB"/>
        </w:rPr>
        <w:t>-</w:t>
      </w:r>
      <w:r>
        <w:rPr>
          <w:rFonts w:ascii="Arial" w:eastAsia="Times New Roman" w:hAnsi="Arial" w:cs="Arial"/>
          <w:sz w:val="24"/>
          <w:szCs w:val="24"/>
          <w:lang w:eastAsia="en-GB"/>
        </w:rPr>
        <w:t>21</w:t>
      </w:r>
      <w:r w:rsidR="003070AC" w:rsidRPr="00510856">
        <w:rPr>
          <w:rFonts w:ascii="Arial" w:eastAsia="Times New Roman" w:hAnsi="Arial" w:cs="Arial"/>
          <w:sz w:val="24"/>
          <w:szCs w:val="24"/>
          <w:lang w:eastAsia="en-GB"/>
        </w:rPr>
        <w:t>.</w:t>
      </w:r>
    </w:p>
    <w:p w14:paraId="5E30728E" w14:textId="77777777" w:rsidR="00630B4D" w:rsidRPr="00630B4D" w:rsidRDefault="00630B4D" w:rsidP="00630B4D">
      <w:pPr>
        <w:keepNext/>
        <w:keepLines/>
        <w:spacing w:before="200" w:after="0"/>
        <w:outlineLvl w:val="1"/>
        <w:rPr>
          <w:rFonts w:ascii="Cambria" w:eastAsia="Times New Roman" w:hAnsi="Cambria" w:cs="Times New Roman"/>
          <w:b/>
          <w:bCs/>
          <w:color w:val="4F81BD"/>
          <w:sz w:val="26"/>
          <w:szCs w:val="26"/>
        </w:rPr>
      </w:pPr>
      <w:r w:rsidRPr="00630B4D">
        <w:rPr>
          <w:rFonts w:ascii="Cambria" w:eastAsia="Times New Roman" w:hAnsi="Cambria" w:cs="Times New Roman"/>
          <w:b/>
          <w:bCs/>
          <w:color w:val="4F81BD"/>
          <w:sz w:val="26"/>
          <w:szCs w:val="26"/>
        </w:rPr>
        <w:t>Other Assurance Activities</w:t>
      </w:r>
    </w:p>
    <w:p w14:paraId="03A78DAD" w14:textId="77777777" w:rsidR="00E606C6" w:rsidRPr="00E606C6" w:rsidRDefault="00E606C6" w:rsidP="00E606C6">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E606C6">
        <w:rPr>
          <w:rFonts w:ascii="Arial" w:eastAsia="Times New Roman" w:hAnsi="Arial" w:cs="Arial"/>
          <w:sz w:val="24"/>
          <w:szCs w:val="24"/>
          <w:lang w:eastAsia="en-GB"/>
        </w:rPr>
        <w:t xml:space="preserve">Corporate Directors and statutory officers </w:t>
      </w:r>
      <w:r w:rsidR="00F46F49">
        <w:rPr>
          <w:rFonts w:ascii="Arial" w:eastAsia="Times New Roman" w:hAnsi="Arial" w:cs="Arial"/>
          <w:sz w:val="24"/>
          <w:szCs w:val="24"/>
          <w:lang w:eastAsia="en-GB"/>
        </w:rPr>
        <w:t>will be asked to</w:t>
      </w:r>
      <w:r w:rsidRPr="00E606C6">
        <w:rPr>
          <w:rFonts w:ascii="Arial" w:eastAsia="Times New Roman" w:hAnsi="Arial" w:cs="Arial"/>
          <w:sz w:val="24"/>
          <w:szCs w:val="24"/>
          <w:lang w:eastAsia="en-GB"/>
        </w:rPr>
        <w:t xml:space="preserve"> provide an assurance statement supporting the </w:t>
      </w:r>
      <w:r w:rsidR="00F46F49">
        <w:rPr>
          <w:rFonts w:ascii="Arial" w:eastAsia="Times New Roman" w:hAnsi="Arial" w:cs="Arial"/>
          <w:sz w:val="24"/>
          <w:szCs w:val="24"/>
          <w:lang w:eastAsia="en-GB"/>
        </w:rPr>
        <w:t xml:space="preserve">final </w:t>
      </w:r>
      <w:r w:rsidRPr="00E606C6">
        <w:rPr>
          <w:rFonts w:ascii="Arial" w:eastAsia="Times New Roman" w:hAnsi="Arial" w:cs="Arial"/>
          <w:sz w:val="24"/>
          <w:szCs w:val="24"/>
          <w:lang w:eastAsia="en-GB"/>
        </w:rPr>
        <w:t xml:space="preserve">AGS for </w:t>
      </w:r>
      <w:r w:rsidR="00F46F49">
        <w:rPr>
          <w:rFonts w:ascii="Arial" w:eastAsia="Times New Roman" w:hAnsi="Arial" w:cs="Arial"/>
          <w:sz w:val="24"/>
          <w:szCs w:val="24"/>
          <w:lang w:eastAsia="en-GB"/>
        </w:rPr>
        <w:t>2019/20</w:t>
      </w:r>
      <w:r w:rsidRPr="00E606C6">
        <w:rPr>
          <w:rFonts w:ascii="Arial" w:eastAsia="Times New Roman" w:hAnsi="Arial" w:cs="Arial"/>
          <w:sz w:val="24"/>
          <w:szCs w:val="24"/>
          <w:lang w:eastAsia="en-GB"/>
        </w:rPr>
        <w:t xml:space="preserve">. These statements </w:t>
      </w:r>
      <w:r w:rsidR="00506652">
        <w:rPr>
          <w:rFonts w:ascii="Arial" w:eastAsia="Times New Roman" w:hAnsi="Arial" w:cs="Arial"/>
          <w:sz w:val="24"/>
          <w:szCs w:val="24"/>
          <w:lang w:eastAsia="en-GB"/>
        </w:rPr>
        <w:t>are</w:t>
      </w:r>
      <w:r w:rsidRPr="00E606C6">
        <w:rPr>
          <w:rFonts w:ascii="Arial" w:eastAsia="Times New Roman" w:hAnsi="Arial" w:cs="Arial"/>
          <w:sz w:val="24"/>
          <w:szCs w:val="24"/>
          <w:lang w:eastAsia="en-GB"/>
        </w:rPr>
        <w:t xml:space="preserve"> supplemented by assurance gathered from key colleagues responsible for Internal Audit, Risk, Human Resources, significant partnerships and group members, and have also been informed by independent external reviews, including those carried out by the external auditor. The assurance is based </w:t>
      </w:r>
      <w:r w:rsidRPr="00E606C6">
        <w:rPr>
          <w:rFonts w:ascii="Arial" w:eastAsia="Times New Roman" w:hAnsi="Arial" w:cs="Arial"/>
          <w:sz w:val="24"/>
          <w:szCs w:val="24"/>
          <w:lang w:eastAsia="en-GB"/>
        </w:rPr>
        <w:lastRenderedPageBreak/>
        <w:t xml:space="preserve">around questionnaires developed from the CIPFA/SOLACE Framework for Corporate Governance. </w:t>
      </w:r>
    </w:p>
    <w:p w14:paraId="4DF2E264" w14:textId="77777777" w:rsidR="00E606C6" w:rsidRDefault="00E606C6" w:rsidP="00E606C6">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E606C6">
        <w:rPr>
          <w:rFonts w:ascii="Arial" w:eastAsia="Times New Roman" w:hAnsi="Arial" w:cs="Arial"/>
          <w:sz w:val="24"/>
          <w:szCs w:val="24"/>
          <w:lang w:eastAsia="en-GB"/>
        </w:rPr>
        <w:t xml:space="preserve">In summary, the Council has reviewed </w:t>
      </w:r>
      <w:r w:rsidR="006B1884" w:rsidRPr="00510856">
        <w:rPr>
          <w:rFonts w:ascii="Arial" w:eastAsia="Times New Roman" w:hAnsi="Arial" w:cs="Arial"/>
          <w:sz w:val="24"/>
          <w:szCs w:val="24"/>
          <w:lang w:eastAsia="en-GB"/>
        </w:rPr>
        <w:t>the effectiveness of its governance framework, including key bodies responsible for the governance environment and systems of internal control,</w:t>
      </w:r>
      <w:r w:rsidRPr="00510856">
        <w:rPr>
          <w:rFonts w:ascii="Arial" w:eastAsia="Times New Roman" w:hAnsi="Arial" w:cs="Arial"/>
          <w:sz w:val="24"/>
          <w:szCs w:val="24"/>
          <w:lang w:eastAsia="en-GB"/>
        </w:rPr>
        <w:t xml:space="preserve"> and th</w:t>
      </w:r>
      <w:r w:rsidRPr="00E606C6">
        <w:rPr>
          <w:rFonts w:ascii="Arial" w:eastAsia="Times New Roman" w:hAnsi="Arial" w:cs="Arial"/>
          <w:sz w:val="24"/>
          <w:szCs w:val="24"/>
          <w:lang w:eastAsia="en-GB"/>
        </w:rPr>
        <w:t>ose of group companies where the activities are significant</w:t>
      </w:r>
      <w:r w:rsidR="00680408">
        <w:rPr>
          <w:rFonts w:ascii="Arial" w:eastAsia="Times New Roman" w:hAnsi="Arial" w:cs="Arial"/>
          <w:sz w:val="24"/>
          <w:szCs w:val="24"/>
          <w:lang w:eastAsia="en-GB"/>
        </w:rPr>
        <w:t>.</w:t>
      </w:r>
      <w:r w:rsidRPr="00E606C6">
        <w:rPr>
          <w:rFonts w:ascii="Arial" w:eastAsia="Times New Roman" w:hAnsi="Arial" w:cs="Arial"/>
          <w:sz w:val="24"/>
          <w:szCs w:val="24"/>
          <w:lang w:eastAsia="en-GB"/>
        </w:rPr>
        <w:t xml:space="preserve"> </w:t>
      </w:r>
      <w:r w:rsidR="00680408">
        <w:rPr>
          <w:rFonts w:ascii="Arial" w:eastAsia="Times New Roman" w:hAnsi="Arial" w:cs="Arial"/>
          <w:sz w:val="24"/>
          <w:szCs w:val="24"/>
          <w:lang w:eastAsia="en-GB"/>
        </w:rPr>
        <w:t>A</w:t>
      </w:r>
      <w:r w:rsidR="00680408" w:rsidRPr="00E606C6">
        <w:rPr>
          <w:rFonts w:ascii="Arial" w:eastAsia="Times New Roman" w:hAnsi="Arial" w:cs="Arial"/>
          <w:sz w:val="24"/>
          <w:szCs w:val="24"/>
          <w:lang w:eastAsia="en-GB"/>
        </w:rPr>
        <w:t xml:space="preserve"> comprehensive approach </w:t>
      </w:r>
      <w:r w:rsidR="00142E88">
        <w:rPr>
          <w:rFonts w:ascii="Arial" w:eastAsia="Times New Roman" w:hAnsi="Arial" w:cs="Arial"/>
          <w:sz w:val="24"/>
          <w:szCs w:val="24"/>
          <w:lang w:eastAsia="en-GB"/>
        </w:rPr>
        <w:t>has</w:t>
      </w:r>
      <w:r w:rsidR="00680408">
        <w:rPr>
          <w:rFonts w:ascii="Arial" w:eastAsia="Times New Roman" w:hAnsi="Arial" w:cs="Arial"/>
          <w:sz w:val="24"/>
          <w:szCs w:val="24"/>
          <w:lang w:eastAsia="en-GB"/>
        </w:rPr>
        <w:t xml:space="preserve"> been</w:t>
      </w:r>
      <w:r w:rsidR="00142E88">
        <w:rPr>
          <w:rFonts w:ascii="Arial" w:eastAsia="Times New Roman" w:hAnsi="Arial" w:cs="Arial"/>
          <w:sz w:val="24"/>
          <w:szCs w:val="24"/>
          <w:lang w:eastAsia="en-GB"/>
        </w:rPr>
        <w:t xml:space="preserve"> </w:t>
      </w:r>
      <w:r w:rsidRPr="00E606C6">
        <w:rPr>
          <w:rFonts w:ascii="Arial" w:eastAsia="Times New Roman" w:hAnsi="Arial" w:cs="Arial"/>
          <w:sz w:val="24"/>
          <w:szCs w:val="24"/>
          <w:lang w:eastAsia="en-GB"/>
        </w:rPr>
        <w:t xml:space="preserve">taken to considering and obtaining assurance from many different </w:t>
      </w:r>
      <w:r w:rsidRPr="00DB5925">
        <w:rPr>
          <w:rFonts w:ascii="Arial" w:eastAsia="Times New Roman" w:hAnsi="Arial" w:cs="Arial"/>
          <w:sz w:val="24"/>
          <w:szCs w:val="24"/>
          <w:lang w:eastAsia="en-GB"/>
        </w:rPr>
        <w:t xml:space="preserve">sources. </w:t>
      </w:r>
      <w:r w:rsidR="00136F2F" w:rsidRPr="00DB5925">
        <w:rPr>
          <w:rFonts w:ascii="Arial" w:eastAsia="Times New Roman" w:hAnsi="Arial" w:cs="Arial"/>
          <w:sz w:val="24"/>
          <w:szCs w:val="24"/>
          <w:lang w:eastAsia="en-GB"/>
        </w:rPr>
        <w:t>Subject to the additional work required to respond to the external auditor’s report, a</w:t>
      </w:r>
      <w:r w:rsidRPr="00DB5925">
        <w:rPr>
          <w:rFonts w:ascii="Arial" w:eastAsia="Times New Roman" w:hAnsi="Arial" w:cs="Arial"/>
          <w:sz w:val="24"/>
          <w:szCs w:val="24"/>
          <w:lang w:eastAsia="en-GB"/>
        </w:rPr>
        <w:t xml:space="preserve">s a result of the review of the effectiveness of the governance framework, the arrangements </w:t>
      </w:r>
      <w:r w:rsidR="00D44AA3" w:rsidRPr="00DB5925">
        <w:rPr>
          <w:rFonts w:ascii="Arial" w:eastAsia="Times New Roman" w:hAnsi="Arial" w:cs="Arial"/>
          <w:sz w:val="24"/>
          <w:szCs w:val="24"/>
          <w:lang w:eastAsia="en-GB"/>
        </w:rPr>
        <w:t>need significant improvement to be</w:t>
      </w:r>
      <w:r w:rsidRPr="00DB5925">
        <w:rPr>
          <w:rFonts w:ascii="Arial" w:eastAsia="Times New Roman" w:hAnsi="Arial" w:cs="Arial"/>
          <w:sz w:val="24"/>
          <w:szCs w:val="24"/>
          <w:lang w:eastAsia="en-GB"/>
        </w:rPr>
        <w:t xml:space="preserve"> fit for purpose </w:t>
      </w:r>
      <w:r w:rsidR="00680408" w:rsidRPr="00DB5925">
        <w:rPr>
          <w:rFonts w:ascii="Arial" w:eastAsia="Times New Roman" w:hAnsi="Arial" w:cs="Arial"/>
          <w:sz w:val="24"/>
          <w:szCs w:val="24"/>
          <w:lang w:eastAsia="en-GB"/>
        </w:rPr>
        <w:t xml:space="preserve">and </w:t>
      </w:r>
      <w:r w:rsidRPr="00DB5925">
        <w:rPr>
          <w:rFonts w:ascii="Arial" w:eastAsia="Times New Roman" w:hAnsi="Arial" w:cs="Arial"/>
          <w:sz w:val="24"/>
          <w:szCs w:val="24"/>
          <w:lang w:eastAsia="en-GB"/>
        </w:rPr>
        <w:t xml:space="preserve">in accordance with the </w:t>
      </w:r>
      <w:r w:rsidR="00680408" w:rsidRPr="00DB5925">
        <w:rPr>
          <w:rFonts w:ascii="Arial" w:eastAsia="Times New Roman" w:hAnsi="Arial" w:cs="Arial"/>
          <w:sz w:val="24"/>
          <w:szCs w:val="24"/>
          <w:lang w:eastAsia="en-GB"/>
        </w:rPr>
        <w:t xml:space="preserve">approved </w:t>
      </w:r>
      <w:r w:rsidRPr="00DB5925">
        <w:rPr>
          <w:rFonts w:ascii="Arial" w:eastAsia="Times New Roman" w:hAnsi="Arial" w:cs="Arial"/>
          <w:sz w:val="24"/>
          <w:szCs w:val="24"/>
          <w:lang w:eastAsia="en-GB"/>
        </w:rPr>
        <w:t>governance framework. Th</w:t>
      </w:r>
      <w:r w:rsidRPr="00E606C6">
        <w:rPr>
          <w:rFonts w:ascii="Arial" w:eastAsia="Times New Roman" w:hAnsi="Arial" w:cs="Arial"/>
          <w:sz w:val="24"/>
          <w:szCs w:val="24"/>
          <w:lang w:eastAsia="en-GB"/>
        </w:rPr>
        <w:t xml:space="preserve">e areas already addressed, and those to be specifically addressed with new actions planned, are outlined </w:t>
      </w:r>
      <w:r w:rsidR="00506652">
        <w:rPr>
          <w:rFonts w:ascii="Arial" w:eastAsia="Times New Roman" w:hAnsi="Arial" w:cs="Arial"/>
          <w:sz w:val="24"/>
          <w:szCs w:val="24"/>
          <w:lang w:eastAsia="en-GB"/>
        </w:rPr>
        <w:t>in section 3 of this report</w:t>
      </w:r>
      <w:r w:rsidRPr="00E606C6">
        <w:rPr>
          <w:rFonts w:ascii="Arial" w:eastAsia="Times New Roman" w:hAnsi="Arial" w:cs="Arial"/>
          <w:sz w:val="24"/>
          <w:szCs w:val="24"/>
          <w:lang w:eastAsia="en-GB"/>
        </w:rPr>
        <w:t>.</w:t>
      </w:r>
    </w:p>
    <w:p w14:paraId="79E3E72C" w14:textId="77777777" w:rsidR="00136F2F" w:rsidRPr="00136F2F" w:rsidRDefault="00136F2F" w:rsidP="00136F2F">
      <w:pPr>
        <w:keepNext/>
        <w:autoSpaceDE w:val="0"/>
        <w:autoSpaceDN w:val="0"/>
        <w:adjustRightInd w:val="0"/>
        <w:spacing w:after="120" w:line="240" w:lineRule="auto"/>
        <w:jc w:val="both"/>
        <w:rPr>
          <w:rFonts w:ascii="Arial" w:eastAsia="Times New Roman" w:hAnsi="Arial" w:cs="Arial"/>
          <w:sz w:val="24"/>
          <w:szCs w:val="24"/>
          <w:lang w:eastAsia="en-GB"/>
        </w:rPr>
      </w:pPr>
      <w:r>
        <w:rPr>
          <w:rFonts w:ascii="Cambria" w:eastAsia="Times New Roman" w:hAnsi="Cambria" w:cs="Times New Roman"/>
          <w:b/>
          <w:bCs/>
          <w:color w:val="4F81BD"/>
          <w:sz w:val="26"/>
          <w:szCs w:val="26"/>
        </w:rPr>
        <w:t>External Audit</w:t>
      </w:r>
    </w:p>
    <w:p w14:paraId="372882D0" w14:textId="77777777" w:rsidR="00630B4D" w:rsidRPr="00291FA2" w:rsidRDefault="00E60D59" w:rsidP="00291FA2">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Pr>
          <w:rFonts w:ascii="Arial" w:eastAsia="Times New Roman" w:hAnsi="Arial" w:cs="Arial"/>
          <w:sz w:val="24"/>
          <w:szCs w:val="24"/>
          <w:lang w:eastAsia="en-GB"/>
        </w:rPr>
        <w:t>T</w:t>
      </w:r>
      <w:r w:rsidR="008D57A5">
        <w:rPr>
          <w:rFonts w:ascii="Arial" w:eastAsia="Times New Roman" w:hAnsi="Arial" w:cs="Arial"/>
          <w:sz w:val="24"/>
          <w:szCs w:val="24"/>
          <w:lang w:eastAsia="en-GB"/>
        </w:rPr>
        <w:t>he Council’s external auditor</w:t>
      </w:r>
      <w:r w:rsidR="008D57A5" w:rsidRPr="00BD78D1">
        <w:rPr>
          <w:rFonts w:ascii="Arial" w:eastAsia="Times New Roman" w:hAnsi="Arial" w:cs="Arial"/>
          <w:sz w:val="24"/>
          <w:szCs w:val="24"/>
          <w:lang w:eastAsia="en-GB"/>
        </w:rPr>
        <w:t>, Grant Thornton</w:t>
      </w:r>
      <w:r w:rsidR="008D57A5" w:rsidRPr="008D57A5">
        <w:rPr>
          <w:rFonts w:ascii="Arial" w:eastAsia="Times New Roman" w:hAnsi="Arial" w:cs="Arial"/>
          <w:sz w:val="24"/>
          <w:szCs w:val="24"/>
          <w:lang w:eastAsia="en-GB"/>
        </w:rPr>
        <w:t xml:space="preserve"> </w:t>
      </w:r>
      <w:r w:rsidR="008D57A5" w:rsidRPr="00DB5925">
        <w:rPr>
          <w:rFonts w:ascii="Arial" w:eastAsia="Times New Roman" w:hAnsi="Arial" w:cs="Arial"/>
          <w:sz w:val="24"/>
          <w:szCs w:val="24"/>
          <w:lang w:eastAsia="en-GB"/>
        </w:rPr>
        <w:t>UK LLP</w:t>
      </w:r>
      <w:r w:rsidR="008D57A5" w:rsidRPr="00BD78D1">
        <w:rPr>
          <w:rFonts w:ascii="Arial" w:eastAsia="Times New Roman" w:hAnsi="Arial" w:cs="Arial"/>
          <w:sz w:val="24"/>
          <w:szCs w:val="24"/>
          <w:lang w:eastAsia="en-GB"/>
        </w:rPr>
        <w:t xml:space="preserve">, </w:t>
      </w:r>
      <w:r w:rsidR="008D57A5">
        <w:rPr>
          <w:rFonts w:ascii="Arial" w:eastAsia="Times New Roman" w:hAnsi="Arial" w:cs="Arial"/>
          <w:sz w:val="24"/>
          <w:szCs w:val="24"/>
          <w:lang w:eastAsia="en-GB"/>
        </w:rPr>
        <w:t>ha</w:t>
      </w:r>
      <w:r>
        <w:rPr>
          <w:rFonts w:ascii="Arial" w:eastAsia="Times New Roman" w:hAnsi="Arial" w:cs="Arial"/>
          <w:sz w:val="24"/>
          <w:szCs w:val="24"/>
          <w:lang w:eastAsia="en-GB"/>
        </w:rPr>
        <w:t>s</w:t>
      </w:r>
      <w:r w:rsidR="008D57A5">
        <w:rPr>
          <w:rFonts w:ascii="Arial" w:eastAsia="Times New Roman" w:hAnsi="Arial" w:cs="Arial"/>
          <w:sz w:val="24"/>
          <w:szCs w:val="24"/>
          <w:lang w:eastAsia="en-GB"/>
        </w:rPr>
        <w:t xml:space="preserve"> not</w:t>
      </w:r>
      <w:r w:rsidR="008D57A5" w:rsidRPr="00BD78D1">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yet </w:t>
      </w:r>
      <w:r w:rsidR="008D57A5" w:rsidRPr="00BD78D1">
        <w:rPr>
          <w:rFonts w:ascii="Arial" w:eastAsia="Times New Roman" w:hAnsi="Arial" w:cs="Arial"/>
          <w:sz w:val="24"/>
          <w:szCs w:val="24"/>
          <w:lang w:eastAsia="en-GB"/>
        </w:rPr>
        <w:t>conclude</w:t>
      </w:r>
      <w:r w:rsidR="008D57A5">
        <w:rPr>
          <w:rFonts w:ascii="Arial" w:eastAsia="Times New Roman" w:hAnsi="Arial" w:cs="Arial"/>
          <w:sz w:val="24"/>
          <w:szCs w:val="24"/>
          <w:lang w:eastAsia="en-GB"/>
        </w:rPr>
        <w:t>d their audit</w:t>
      </w:r>
      <w:r w:rsidR="008D57A5" w:rsidRPr="00BD78D1">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However a number of issues have been identified from the 2018-19 audit and updates received from the external auditor as set out in section </w:t>
      </w:r>
      <w:r w:rsidR="00291FA2">
        <w:rPr>
          <w:rFonts w:ascii="Arial" w:eastAsia="Times New Roman" w:hAnsi="Arial" w:cs="Arial"/>
          <w:sz w:val="24"/>
          <w:szCs w:val="24"/>
          <w:lang w:eastAsia="en-GB"/>
        </w:rPr>
        <w:t>4</w:t>
      </w:r>
      <w:r>
        <w:rPr>
          <w:rFonts w:ascii="Arial" w:eastAsia="Times New Roman" w:hAnsi="Arial" w:cs="Arial"/>
          <w:sz w:val="24"/>
          <w:szCs w:val="24"/>
          <w:lang w:eastAsia="en-GB"/>
        </w:rPr>
        <w:t xml:space="preserve"> of this report. </w:t>
      </w:r>
    </w:p>
    <w:p w14:paraId="282F3AE8" w14:textId="77777777" w:rsidR="00480125" w:rsidRDefault="00480125" w:rsidP="00480125">
      <w:pPr>
        <w:autoSpaceDE w:val="0"/>
        <w:autoSpaceDN w:val="0"/>
        <w:adjustRightInd w:val="0"/>
        <w:spacing w:after="120" w:line="240" w:lineRule="auto"/>
        <w:jc w:val="both"/>
        <w:rPr>
          <w:rFonts w:ascii="Arial" w:eastAsia="Times New Roman" w:hAnsi="Arial" w:cs="Arial"/>
          <w:sz w:val="24"/>
          <w:szCs w:val="24"/>
          <w:highlight w:val="yellow"/>
          <w:lang w:eastAsia="en-GB"/>
        </w:rPr>
      </w:pPr>
      <w:r>
        <w:rPr>
          <w:rFonts w:ascii="Arial" w:eastAsia="Times New Roman" w:hAnsi="Arial" w:cs="Arial"/>
          <w:sz w:val="24"/>
          <w:szCs w:val="24"/>
          <w:highlight w:val="yellow"/>
          <w:lang w:eastAsia="en-GB"/>
        </w:rPr>
        <w:br w:type="page"/>
      </w:r>
    </w:p>
    <w:p w14:paraId="36F3ABDA" w14:textId="77777777" w:rsidR="009D08BE" w:rsidRPr="003C54B3" w:rsidRDefault="009D08BE" w:rsidP="00B8437C">
      <w:pPr>
        <w:autoSpaceDE w:val="0"/>
        <w:autoSpaceDN w:val="0"/>
        <w:adjustRightInd w:val="0"/>
        <w:spacing w:after="120" w:line="240" w:lineRule="auto"/>
        <w:jc w:val="both"/>
        <w:rPr>
          <w:rFonts w:ascii="Arial" w:eastAsia="Times New Roman" w:hAnsi="Arial" w:cs="Arial"/>
          <w:sz w:val="24"/>
          <w:szCs w:val="24"/>
          <w:lang w:eastAsia="en-GB"/>
        </w:rPr>
      </w:pPr>
    </w:p>
    <w:p w14:paraId="3D148E4E" w14:textId="77777777" w:rsidR="00630B4D" w:rsidRPr="00630B4D" w:rsidRDefault="00630B4D" w:rsidP="005C3A91">
      <w:pPr>
        <w:keepNext/>
        <w:keepLines/>
        <w:numPr>
          <w:ilvl w:val="0"/>
          <w:numId w:val="1"/>
        </w:numPr>
        <w:spacing w:before="480" w:after="0" w:line="240" w:lineRule="auto"/>
        <w:ind w:left="567" w:hanging="567"/>
        <w:outlineLvl w:val="0"/>
        <w:rPr>
          <w:rFonts w:ascii="Cambria" w:eastAsia="Times New Roman" w:hAnsi="Cambria" w:cs="Times New Roman"/>
          <w:b/>
          <w:bCs/>
          <w:color w:val="365F91"/>
          <w:sz w:val="28"/>
          <w:szCs w:val="28"/>
        </w:rPr>
      </w:pPr>
      <w:r w:rsidRPr="00630B4D">
        <w:rPr>
          <w:rFonts w:ascii="Cambria" w:eastAsia="Times New Roman" w:hAnsi="Cambria" w:cs="Times New Roman"/>
          <w:b/>
          <w:bCs/>
          <w:color w:val="365F91"/>
          <w:sz w:val="28"/>
          <w:szCs w:val="28"/>
        </w:rPr>
        <w:t>Conclusion</w:t>
      </w:r>
    </w:p>
    <w:p w14:paraId="58A42472" w14:textId="77777777" w:rsidR="00630B4D" w:rsidRPr="00BB3F98" w:rsidRDefault="00630B4D" w:rsidP="005C3A91">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sidRPr="00630B4D">
        <w:rPr>
          <w:rFonts w:ascii="Arial" w:eastAsia="Times New Roman" w:hAnsi="Arial" w:cs="Arial"/>
          <w:sz w:val="24"/>
          <w:szCs w:val="24"/>
          <w:lang w:eastAsia="en-GB"/>
        </w:rPr>
        <w:t xml:space="preserve">The Council has reviewed the effectiveness of its governance framework including the system of internal control as outlined above and considers it </w:t>
      </w:r>
      <w:r w:rsidR="00EC5298">
        <w:rPr>
          <w:rFonts w:ascii="Arial" w:eastAsia="Times New Roman" w:hAnsi="Arial" w:cs="Arial"/>
          <w:sz w:val="24"/>
          <w:szCs w:val="24"/>
          <w:lang w:eastAsia="en-GB"/>
        </w:rPr>
        <w:t>needs improvement, particularly in respect</w:t>
      </w:r>
      <w:r w:rsidR="00684E03" w:rsidRPr="00BB3F98">
        <w:rPr>
          <w:rFonts w:ascii="Arial" w:eastAsia="Times New Roman" w:hAnsi="Arial" w:cs="Arial"/>
          <w:sz w:val="24"/>
          <w:szCs w:val="24"/>
          <w:lang w:eastAsia="en-GB"/>
        </w:rPr>
        <w:t xml:space="preserve"> of the significant issues set out in section </w:t>
      </w:r>
      <w:r w:rsidR="00291FA2">
        <w:rPr>
          <w:rFonts w:ascii="Arial" w:eastAsia="Times New Roman" w:hAnsi="Arial" w:cs="Arial"/>
          <w:sz w:val="24"/>
          <w:szCs w:val="24"/>
          <w:lang w:eastAsia="en-GB"/>
        </w:rPr>
        <w:t>2</w:t>
      </w:r>
      <w:r w:rsidR="00684E03" w:rsidRPr="00BB3F98">
        <w:rPr>
          <w:rFonts w:ascii="Arial" w:eastAsia="Times New Roman" w:hAnsi="Arial" w:cs="Arial"/>
          <w:sz w:val="24"/>
          <w:szCs w:val="24"/>
          <w:lang w:eastAsia="en-GB"/>
        </w:rPr>
        <w:t xml:space="preserve"> above</w:t>
      </w:r>
      <w:r w:rsidRPr="00BB3F98">
        <w:rPr>
          <w:rFonts w:ascii="Arial" w:eastAsia="Times New Roman" w:hAnsi="Arial" w:cs="Arial"/>
          <w:sz w:val="24"/>
          <w:szCs w:val="24"/>
          <w:lang w:eastAsia="en-GB"/>
        </w:rPr>
        <w:t>.</w:t>
      </w:r>
    </w:p>
    <w:p w14:paraId="2C1708A6" w14:textId="77777777" w:rsidR="00EC5298" w:rsidRDefault="00EC5298" w:rsidP="00EC5298">
      <w:pPr>
        <w:numPr>
          <w:ilvl w:val="1"/>
          <w:numId w:val="1"/>
        </w:numPr>
        <w:autoSpaceDE w:val="0"/>
        <w:autoSpaceDN w:val="0"/>
        <w:adjustRightInd w:val="0"/>
        <w:spacing w:after="120" w:line="240" w:lineRule="auto"/>
        <w:ind w:left="567" w:hanging="567"/>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The City Council recognises the seriousness of this </w:t>
      </w:r>
      <w:r w:rsidRPr="00EC5298">
        <w:rPr>
          <w:rFonts w:ascii="Arial" w:eastAsia="Times New Roman" w:hAnsi="Arial" w:cs="Arial"/>
          <w:sz w:val="24"/>
          <w:szCs w:val="24"/>
          <w:lang w:eastAsia="en-GB"/>
        </w:rPr>
        <w:t>Report in the Public Interest</w:t>
      </w:r>
      <w:r>
        <w:rPr>
          <w:rFonts w:ascii="Arial" w:eastAsia="Times New Roman" w:hAnsi="Arial" w:cs="Arial"/>
          <w:sz w:val="24"/>
          <w:szCs w:val="24"/>
          <w:lang w:eastAsia="en-GB"/>
        </w:rPr>
        <w:t xml:space="preserve"> and has fully accepted all its recommendations. The Council recognises the significant shortfalls in its governance and management practice, and is wholly aware of the potential consequences of not effectively overhauling its arrangements and the potential for government intervention.</w:t>
      </w:r>
    </w:p>
    <w:p w14:paraId="0AB39CFA" w14:textId="77777777" w:rsidR="00630B4D" w:rsidRPr="00630B4D" w:rsidRDefault="00F54D50" w:rsidP="005C3A91">
      <w:pPr>
        <w:numPr>
          <w:ilvl w:val="1"/>
          <w:numId w:val="1"/>
        </w:numPr>
        <w:autoSpaceDE w:val="0"/>
        <w:autoSpaceDN w:val="0"/>
        <w:adjustRightInd w:val="0"/>
        <w:spacing w:after="120" w:line="240" w:lineRule="auto"/>
        <w:ind w:left="567" w:hanging="567"/>
        <w:jc w:val="both"/>
        <w:rPr>
          <w:rFonts w:ascii="Arial" w:eastAsia="Times New Roman" w:hAnsi="Arial" w:cs="Times New Roman"/>
          <w:sz w:val="24"/>
          <w:szCs w:val="24"/>
          <w:lang w:eastAsia="en-GB"/>
        </w:rPr>
      </w:pPr>
      <w:r w:rsidRPr="00BB3F98">
        <w:rPr>
          <w:rFonts w:ascii="Arial" w:eastAsia="Times New Roman" w:hAnsi="Arial" w:cs="Times New Roman"/>
          <w:noProof/>
          <w:sz w:val="24"/>
          <w:szCs w:val="24"/>
          <w:lang w:eastAsia="en-GB"/>
        </w:rPr>
        <mc:AlternateContent>
          <mc:Choice Requires="wps">
            <w:drawing>
              <wp:anchor distT="0" distB="0" distL="114300" distR="114300" simplePos="0" relativeHeight="251664384" behindDoc="0" locked="0" layoutInCell="1" allowOverlap="1" wp14:anchorId="10640989" wp14:editId="68CE9765">
                <wp:simplePos x="0" y="0"/>
                <wp:positionH relativeFrom="column">
                  <wp:posOffset>2647949</wp:posOffset>
                </wp:positionH>
                <wp:positionV relativeFrom="paragraph">
                  <wp:posOffset>523240</wp:posOffset>
                </wp:positionV>
                <wp:extent cx="343535" cy="171450"/>
                <wp:effectExtent l="0" t="0" r="0" b="0"/>
                <wp:wrapNone/>
                <wp:docPr id="26" name="Rectangle 26"/>
                <wp:cNvGraphicFramePr/>
                <a:graphic xmlns:a="http://schemas.openxmlformats.org/drawingml/2006/main">
                  <a:graphicData uri="http://schemas.microsoft.com/office/word/2010/wordprocessingShape">
                    <wps:wsp>
                      <wps:cNvSpPr/>
                      <wps:spPr>
                        <a:xfrm>
                          <a:off x="0" y="0"/>
                          <a:ext cx="343535" cy="171450"/>
                        </a:xfrm>
                        <a:prstGeom prst="rect">
                          <a:avLst/>
                        </a:prstGeom>
                        <a:solidFill>
                          <a:schemeClr val="bg1">
                            <a:alpha val="24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CC35AE" id="Rectangle 26" o:spid="_x0000_s1026" style="position:absolute;margin-left:208.5pt;margin-top:41.2pt;width:27.05pt;height:1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" fillcolor="white [3212]" stroked="f" strokeweight="2pt">
                <v:fill opacity="15677f"/>
              </v:rect>
            </w:pict>
          </mc:Fallback>
        </mc:AlternateContent>
      </w:r>
      <w:r w:rsidR="00630B4D" w:rsidRPr="00BB3F98">
        <w:rPr>
          <w:rFonts w:ascii="Arial" w:eastAsia="Times New Roman" w:hAnsi="Arial" w:cs="Arial"/>
          <w:sz w:val="24"/>
          <w:szCs w:val="24"/>
          <w:lang w:eastAsia="en-GB"/>
        </w:rPr>
        <w:t xml:space="preserve">We propose over the coming year to take steps to address the above matters </w:t>
      </w:r>
      <w:r w:rsidR="00684E03" w:rsidRPr="00BB3F98">
        <w:rPr>
          <w:rFonts w:ascii="Arial" w:eastAsia="Times New Roman" w:hAnsi="Arial" w:cs="Arial"/>
          <w:sz w:val="24"/>
          <w:szCs w:val="24"/>
          <w:lang w:eastAsia="en-GB"/>
        </w:rPr>
        <w:t xml:space="preserve">as indicated in the Action Plan presented </w:t>
      </w:r>
      <w:r w:rsidR="00FA240A" w:rsidRPr="00BB3F98">
        <w:rPr>
          <w:rFonts w:ascii="Arial" w:eastAsia="Times New Roman" w:hAnsi="Arial" w:cs="Arial"/>
          <w:sz w:val="24"/>
          <w:szCs w:val="24"/>
          <w:lang w:eastAsia="en-GB"/>
        </w:rPr>
        <w:t xml:space="preserve">in section </w:t>
      </w:r>
      <w:r w:rsidR="00291FA2">
        <w:rPr>
          <w:rFonts w:ascii="Arial" w:eastAsia="Times New Roman" w:hAnsi="Arial" w:cs="Arial"/>
          <w:sz w:val="24"/>
          <w:szCs w:val="24"/>
          <w:lang w:eastAsia="en-GB"/>
        </w:rPr>
        <w:t>3</w:t>
      </w:r>
      <w:r w:rsidR="00FA240A" w:rsidRPr="00BB3F98">
        <w:rPr>
          <w:rFonts w:ascii="Arial" w:eastAsia="Times New Roman" w:hAnsi="Arial" w:cs="Arial"/>
          <w:sz w:val="24"/>
          <w:szCs w:val="24"/>
          <w:lang w:eastAsia="en-GB"/>
        </w:rPr>
        <w:t xml:space="preserve"> of</w:t>
      </w:r>
      <w:r w:rsidR="00684E03" w:rsidRPr="00BB3F98">
        <w:rPr>
          <w:rFonts w:ascii="Arial" w:eastAsia="Times New Roman" w:hAnsi="Arial" w:cs="Arial"/>
          <w:sz w:val="24"/>
          <w:szCs w:val="24"/>
          <w:lang w:eastAsia="en-GB"/>
        </w:rPr>
        <w:t xml:space="preserve"> this statement t</w:t>
      </w:r>
      <w:r w:rsidR="00630B4D" w:rsidRPr="00BB3F98">
        <w:rPr>
          <w:rFonts w:ascii="Arial" w:eastAsia="Times New Roman" w:hAnsi="Arial" w:cs="Arial"/>
          <w:sz w:val="24"/>
          <w:szCs w:val="24"/>
          <w:lang w:eastAsia="en-GB"/>
        </w:rPr>
        <w:t xml:space="preserve">o </w:t>
      </w:r>
      <w:r w:rsidR="00EC5298">
        <w:rPr>
          <w:rFonts w:ascii="Arial" w:eastAsia="Times New Roman" w:hAnsi="Arial" w:cs="Arial"/>
          <w:sz w:val="24"/>
          <w:szCs w:val="24"/>
          <w:lang w:eastAsia="en-GB"/>
        </w:rPr>
        <w:t>make</w:t>
      </w:r>
      <w:r w:rsidR="00630B4D" w:rsidRPr="00BB3F98">
        <w:rPr>
          <w:rFonts w:ascii="Arial" w:eastAsia="Times New Roman" w:hAnsi="Arial" w:cs="Times New Roman"/>
          <w:sz w:val="24"/>
          <w:szCs w:val="24"/>
          <w:lang w:eastAsia="en-GB"/>
        </w:rPr>
        <w:t xml:space="preserve"> our governance arrangements</w:t>
      </w:r>
      <w:r w:rsidR="00EC5298">
        <w:rPr>
          <w:rFonts w:ascii="Arial" w:eastAsia="Times New Roman" w:hAnsi="Arial" w:cs="Times New Roman"/>
          <w:sz w:val="24"/>
          <w:szCs w:val="24"/>
          <w:lang w:eastAsia="en-GB"/>
        </w:rPr>
        <w:t xml:space="preserve"> robust and effective</w:t>
      </w:r>
      <w:r w:rsidR="00630B4D" w:rsidRPr="00BB3F98">
        <w:rPr>
          <w:rFonts w:ascii="Arial" w:eastAsia="Times New Roman" w:hAnsi="Arial" w:cs="Times New Roman"/>
          <w:sz w:val="24"/>
          <w:szCs w:val="24"/>
          <w:lang w:eastAsia="en-GB"/>
        </w:rPr>
        <w:t>. We are satisfied that these steps will</w:t>
      </w:r>
      <w:r w:rsidR="00630B4D" w:rsidRPr="00630B4D">
        <w:rPr>
          <w:rFonts w:ascii="Arial" w:eastAsia="Times New Roman" w:hAnsi="Arial" w:cs="Times New Roman"/>
          <w:sz w:val="24"/>
          <w:szCs w:val="24"/>
          <w:lang w:eastAsia="en-GB"/>
        </w:rPr>
        <w:t xml:space="preserve"> address the need for improvements that were identified in our review of effectiveness and we will monitor their implementation and operation as part of our next annual review.</w:t>
      </w:r>
      <w:r w:rsidR="0075088D" w:rsidRPr="0075088D">
        <w:rPr>
          <w:rFonts w:ascii="Arial" w:eastAsia="Times New Roman" w:hAnsi="Arial" w:cs="Times New Roman"/>
          <w:noProof/>
          <w:sz w:val="24"/>
          <w:szCs w:val="24"/>
          <w:lang w:eastAsia="en-GB"/>
        </w:rPr>
        <w:t xml:space="preserve"> </w:t>
      </w:r>
    </w:p>
    <w:p w14:paraId="2799E00A" w14:textId="77777777" w:rsidR="00630B4D" w:rsidRPr="00630B4D" w:rsidRDefault="00630B4D" w:rsidP="0075088D">
      <w:pPr>
        <w:autoSpaceDE w:val="0"/>
        <w:autoSpaceDN w:val="0"/>
        <w:adjustRightInd w:val="0"/>
        <w:spacing w:after="120" w:line="240" w:lineRule="auto"/>
        <w:ind w:left="-142"/>
        <w:jc w:val="both"/>
        <w:rPr>
          <w:rFonts w:ascii="Arial" w:eastAsia="Times New Roman" w:hAnsi="Arial" w:cs="Times New Roman"/>
          <w:sz w:val="24"/>
          <w:szCs w:val="24"/>
          <w:lang w:eastAsia="en-GB"/>
        </w:rPr>
      </w:pPr>
    </w:p>
    <w:p w14:paraId="5534A278" w14:textId="77777777" w:rsidR="00630B4D" w:rsidRPr="00630B4D" w:rsidRDefault="00630B4D" w:rsidP="00630B4D">
      <w:pPr>
        <w:autoSpaceDE w:val="0"/>
        <w:autoSpaceDN w:val="0"/>
        <w:adjustRightInd w:val="0"/>
        <w:spacing w:after="120" w:line="240" w:lineRule="auto"/>
        <w:ind w:left="360"/>
        <w:jc w:val="both"/>
        <w:rPr>
          <w:rFonts w:ascii="Arial" w:eastAsia="Times New Roman" w:hAnsi="Arial" w:cs="Times New Roman"/>
          <w:sz w:val="24"/>
          <w:szCs w:val="24"/>
          <w:lang w:eastAsia="en-GB"/>
        </w:rPr>
      </w:pPr>
    </w:p>
    <w:p w14:paraId="5F49B055" w14:textId="77777777" w:rsidR="00630B4D" w:rsidRPr="00630B4D" w:rsidRDefault="00630B4D" w:rsidP="00630B4D">
      <w:pPr>
        <w:autoSpaceDE w:val="0"/>
        <w:autoSpaceDN w:val="0"/>
        <w:adjustRightInd w:val="0"/>
        <w:spacing w:after="120" w:line="240" w:lineRule="auto"/>
        <w:ind w:left="360"/>
        <w:jc w:val="both"/>
        <w:rPr>
          <w:rFonts w:ascii="Arial" w:eastAsia="Times New Roman" w:hAnsi="Arial" w:cs="Times New Roman"/>
          <w:sz w:val="24"/>
          <w:szCs w:val="24"/>
          <w:lang w:eastAsia="en-GB"/>
        </w:rPr>
      </w:pPr>
      <w:r w:rsidRPr="00630B4D">
        <w:rPr>
          <w:rFonts w:ascii="Arial" w:eastAsia="Times New Roman" w:hAnsi="Arial" w:cs="Times New Roman"/>
          <w:sz w:val="24"/>
          <w:szCs w:val="24"/>
          <w:lang w:eastAsia="en-GB"/>
        </w:rPr>
        <w:t>Signed: ………..................…………………………………………………………</w:t>
      </w:r>
    </w:p>
    <w:p w14:paraId="28FE8572" w14:textId="77777777" w:rsidR="00630B4D" w:rsidRPr="00630B4D" w:rsidRDefault="00630B4D" w:rsidP="00630B4D">
      <w:pPr>
        <w:autoSpaceDE w:val="0"/>
        <w:autoSpaceDN w:val="0"/>
        <w:adjustRightInd w:val="0"/>
        <w:spacing w:after="120" w:line="240" w:lineRule="auto"/>
        <w:ind w:left="360"/>
        <w:jc w:val="both"/>
        <w:rPr>
          <w:rFonts w:ascii="Arial" w:eastAsia="Times New Roman" w:hAnsi="Arial" w:cs="Times New Roman"/>
          <w:sz w:val="24"/>
          <w:szCs w:val="24"/>
          <w:lang w:eastAsia="en-GB"/>
        </w:rPr>
      </w:pPr>
      <w:r w:rsidRPr="00630B4D">
        <w:rPr>
          <w:rFonts w:ascii="Arial" w:eastAsia="Times New Roman" w:hAnsi="Arial" w:cs="Times New Roman"/>
          <w:sz w:val="24"/>
          <w:szCs w:val="24"/>
          <w:lang w:eastAsia="en-GB"/>
        </w:rPr>
        <w:t>Leader of the Council</w:t>
      </w:r>
    </w:p>
    <w:p w14:paraId="475234B7" w14:textId="77777777" w:rsidR="00630B4D" w:rsidRPr="00630B4D" w:rsidRDefault="00630B4D" w:rsidP="00630B4D">
      <w:pPr>
        <w:autoSpaceDE w:val="0"/>
        <w:autoSpaceDN w:val="0"/>
        <w:adjustRightInd w:val="0"/>
        <w:spacing w:after="120" w:line="240" w:lineRule="auto"/>
        <w:ind w:left="360"/>
        <w:jc w:val="both"/>
        <w:rPr>
          <w:rFonts w:ascii="Arial" w:eastAsia="Times New Roman" w:hAnsi="Arial" w:cs="Times New Roman"/>
          <w:sz w:val="24"/>
          <w:szCs w:val="24"/>
          <w:lang w:eastAsia="en-GB"/>
        </w:rPr>
      </w:pPr>
    </w:p>
    <w:p w14:paraId="37BD2334" w14:textId="77777777" w:rsidR="00630B4D" w:rsidRPr="00630B4D" w:rsidRDefault="00630B4D" w:rsidP="00630B4D">
      <w:pPr>
        <w:autoSpaceDE w:val="0"/>
        <w:autoSpaceDN w:val="0"/>
        <w:adjustRightInd w:val="0"/>
        <w:spacing w:after="120" w:line="240" w:lineRule="auto"/>
        <w:ind w:left="360"/>
        <w:jc w:val="both"/>
        <w:rPr>
          <w:rFonts w:ascii="Arial" w:eastAsia="Times New Roman" w:hAnsi="Arial" w:cs="Times New Roman"/>
          <w:sz w:val="24"/>
          <w:szCs w:val="24"/>
          <w:lang w:eastAsia="en-GB"/>
        </w:rPr>
      </w:pPr>
      <w:r w:rsidRPr="00630B4D">
        <w:rPr>
          <w:rFonts w:ascii="Arial" w:eastAsia="Times New Roman" w:hAnsi="Arial" w:cs="Times New Roman"/>
          <w:sz w:val="24"/>
          <w:szCs w:val="24"/>
          <w:lang w:eastAsia="en-GB"/>
        </w:rPr>
        <w:t xml:space="preserve">Signed: ………..................………………………………………………………… </w:t>
      </w:r>
    </w:p>
    <w:p w14:paraId="6DFC49BF" w14:textId="77777777" w:rsidR="00630B4D" w:rsidRPr="00630B4D" w:rsidRDefault="00054554" w:rsidP="00630B4D">
      <w:pPr>
        <w:autoSpaceDE w:val="0"/>
        <w:autoSpaceDN w:val="0"/>
        <w:adjustRightInd w:val="0"/>
        <w:spacing w:after="120" w:line="240" w:lineRule="auto"/>
        <w:ind w:left="360"/>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Interim </w:t>
      </w:r>
      <w:r w:rsidR="00630B4D" w:rsidRPr="00630B4D">
        <w:rPr>
          <w:rFonts w:ascii="Arial" w:eastAsia="Times New Roman" w:hAnsi="Arial" w:cs="Times New Roman"/>
          <w:sz w:val="24"/>
          <w:szCs w:val="24"/>
          <w:lang w:eastAsia="en-GB"/>
        </w:rPr>
        <w:t>Chief Executive</w:t>
      </w:r>
    </w:p>
    <w:p w14:paraId="02A605A6" w14:textId="77777777" w:rsidR="003509C1" w:rsidRDefault="003509C1" w:rsidP="0075088D">
      <w:pPr>
        <w:ind w:left="-142"/>
      </w:pPr>
    </w:p>
    <w:sectPr w:rsidR="003509C1" w:rsidSect="00587646">
      <w:footerReference w:type="default" r:id="rId15"/>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E65582" w14:textId="77777777" w:rsidR="00245A5E" w:rsidRDefault="00245A5E" w:rsidP="00106627">
      <w:pPr>
        <w:spacing w:after="0" w:line="240" w:lineRule="auto"/>
      </w:pPr>
      <w:r>
        <w:separator/>
      </w:r>
    </w:p>
  </w:endnote>
  <w:endnote w:type="continuationSeparator" w:id="0">
    <w:p w14:paraId="071C2144" w14:textId="77777777" w:rsidR="00245A5E" w:rsidRDefault="00245A5E" w:rsidP="00106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455CC" w14:textId="61385BE4" w:rsidR="000C4773" w:rsidRDefault="000C4773" w:rsidP="00106627">
    <w:pPr>
      <w:pStyle w:val="Footer"/>
      <w:jc w:val="right"/>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054F1">
      <w:rPr>
        <w:caps/>
        <w:noProof/>
        <w:color w:val="4F81BD" w:themeColor="accent1"/>
      </w:rPr>
      <w:t>20</w:t>
    </w:r>
    <w:r>
      <w:rPr>
        <w:caps/>
        <w:noProof/>
        <w:color w:val="4F81BD" w:themeColor="accent1"/>
      </w:rPr>
      <w:fldChar w:fldCharType="end"/>
    </w:r>
  </w:p>
  <w:p w14:paraId="548C4514" w14:textId="77777777" w:rsidR="000C4773" w:rsidRDefault="000C47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CAEECC" w14:textId="77777777" w:rsidR="00245A5E" w:rsidRDefault="00245A5E" w:rsidP="00106627">
      <w:pPr>
        <w:spacing w:after="0" w:line="240" w:lineRule="auto"/>
      </w:pPr>
      <w:r>
        <w:separator/>
      </w:r>
    </w:p>
  </w:footnote>
  <w:footnote w:type="continuationSeparator" w:id="0">
    <w:p w14:paraId="1E412562" w14:textId="77777777" w:rsidR="00245A5E" w:rsidRDefault="00245A5E" w:rsidP="001066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E71D7"/>
    <w:multiLevelType w:val="multilevel"/>
    <w:tmpl w:val="05420D28"/>
    <w:lvl w:ilvl="0">
      <w:start w:val="3"/>
      <w:numFmt w:val="decimal"/>
      <w:lvlText w:val="%1"/>
      <w:lvlJc w:val="left"/>
      <w:pPr>
        <w:ind w:left="476" w:hanging="476"/>
      </w:pPr>
      <w:rPr>
        <w:rFonts w:hint="default"/>
      </w:rPr>
    </w:lvl>
    <w:lvl w:ilvl="1">
      <w:start w:val="45"/>
      <w:numFmt w:val="decimal"/>
      <w:lvlText w:val="%1.%2"/>
      <w:lvlJc w:val="left"/>
      <w:pPr>
        <w:ind w:left="476" w:hanging="4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137F16"/>
    <w:multiLevelType w:val="hybridMultilevel"/>
    <w:tmpl w:val="608C60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63DAB"/>
    <w:multiLevelType w:val="multilevel"/>
    <w:tmpl w:val="9738DD34"/>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3B052E"/>
    <w:multiLevelType w:val="hybridMultilevel"/>
    <w:tmpl w:val="E60870D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1F3D10F7"/>
    <w:multiLevelType w:val="multilevel"/>
    <w:tmpl w:val="A4E8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BC2877"/>
    <w:multiLevelType w:val="multilevel"/>
    <w:tmpl w:val="1564DBE6"/>
    <w:lvl w:ilvl="0">
      <w:start w:val="3"/>
      <w:numFmt w:val="decimal"/>
      <w:lvlText w:val="%1"/>
      <w:lvlJc w:val="left"/>
      <w:pPr>
        <w:ind w:left="476" w:hanging="476"/>
      </w:pPr>
      <w:rPr>
        <w:rFonts w:hint="default"/>
      </w:rPr>
    </w:lvl>
    <w:lvl w:ilvl="1">
      <w:start w:val="14"/>
      <w:numFmt w:val="decimal"/>
      <w:lvlText w:val="%1.%2"/>
      <w:lvlJc w:val="left"/>
      <w:pPr>
        <w:ind w:left="476" w:hanging="4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6A30A1"/>
    <w:multiLevelType w:val="hybridMultilevel"/>
    <w:tmpl w:val="A3489E0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3CD24CB"/>
    <w:multiLevelType w:val="hybridMultilevel"/>
    <w:tmpl w:val="75140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F840DF"/>
    <w:multiLevelType w:val="hybridMultilevel"/>
    <w:tmpl w:val="BDCA8D8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88A7931"/>
    <w:multiLevelType w:val="hybridMultilevel"/>
    <w:tmpl w:val="37A64B5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AEB35C2"/>
    <w:multiLevelType w:val="multilevel"/>
    <w:tmpl w:val="43C8E360"/>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0650A6"/>
    <w:multiLevelType w:val="hybridMultilevel"/>
    <w:tmpl w:val="4DDEA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852DEF"/>
    <w:multiLevelType w:val="multilevel"/>
    <w:tmpl w:val="E992032E"/>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625039"/>
    <w:multiLevelType w:val="multilevel"/>
    <w:tmpl w:val="E992032E"/>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1FF48A2"/>
    <w:multiLevelType w:val="hybridMultilevel"/>
    <w:tmpl w:val="86C23CB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33046EDA"/>
    <w:multiLevelType w:val="hybridMultilevel"/>
    <w:tmpl w:val="FEFA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347428"/>
    <w:multiLevelType w:val="hybridMultilevel"/>
    <w:tmpl w:val="7BC84A02"/>
    <w:lvl w:ilvl="0" w:tplc="74CAD0E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A620FF1"/>
    <w:multiLevelType w:val="hybridMultilevel"/>
    <w:tmpl w:val="80CA3D5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3BE32997"/>
    <w:multiLevelType w:val="hybridMultilevel"/>
    <w:tmpl w:val="DB82B244"/>
    <w:lvl w:ilvl="0" w:tplc="BB30C9A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E157E43"/>
    <w:multiLevelType w:val="hybridMultilevel"/>
    <w:tmpl w:val="620A82F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4705441A"/>
    <w:multiLevelType w:val="hybridMultilevel"/>
    <w:tmpl w:val="A080B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93125A"/>
    <w:multiLevelType w:val="multilevel"/>
    <w:tmpl w:val="9738DD34"/>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3852AE"/>
    <w:multiLevelType w:val="hybridMultilevel"/>
    <w:tmpl w:val="24DA06AA"/>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4A9B5EF9"/>
    <w:multiLevelType w:val="hybridMultilevel"/>
    <w:tmpl w:val="A596E35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01B5600"/>
    <w:multiLevelType w:val="hybridMultilevel"/>
    <w:tmpl w:val="21D09C6C"/>
    <w:lvl w:ilvl="0" w:tplc="AFC00622">
      <w:start w:val="1"/>
      <w:numFmt w:val="decimal"/>
      <w:lvlText w:val="3.%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E82150"/>
    <w:multiLevelType w:val="hybridMultilevel"/>
    <w:tmpl w:val="4044FFC4"/>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6" w15:restartNumberingAfterBreak="0">
    <w:nsid w:val="58E17EA9"/>
    <w:multiLevelType w:val="hybridMultilevel"/>
    <w:tmpl w:val="D022254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B1326AC"/>
    <w:multiLevelType w:val="multilevel"/>
    <w:tmpl w:val="3E68761E"/>
    <w:lvl w:ilvl="0">
      <w:start w:val="1"/>
      <w:numFmt w:val="decimal"/>
      <w:lvlText w:val="%1."/>
      <w:lvlJc w:val="left"/>
      <w:pPr>
        <w:ind w:left="360" w:hanging="360"/>
      </w:pPr>
      <w:rPr>
        <w:rFonts w:hint="default"/>
      </w:rPr>
    </w:lvl>
    <w:lvl w:ilvl="1">
      <w:start w:val="1"/>
      <w:numFmt w:val="decimal"/>
      <w:lvlText w:val="%1.%2."/>
      <w:lvlJc w:val="left"/>
      <w:pPr>
        <w:ind w:left="857" w:hanging="432"/>
      </w:pPr>
      <w:rPr>
        <w:color w:val="auto"/>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CCC449B"/>
    <w:multiLevelType w:val="hybridMultilevel"/>
    <w:tmpl w:val="7B721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163268"/>
    <w:multiLevelType w:val="hybridMultilevel"/>
    <w:tmpl w:val="EC087AE4"/>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FEE0A39"/>
    <w:multiLevelType w:val="hybridMultilevel"/>
    <w:tmpl w:val="D29AD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186D70"/>
    <w:multiLevelType w:val="multilevel"/>
    <w:tmpl w:val="E992032E"/>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54C5313"/>
    <w:multiLevelType w:val="hybridMultilevel"/>
    <w:tmpl w:val="AE0A4E7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65C3479B"/>
    <w:multiLevelType w:val="hybridMultilevel"/>
    <w:tmpl w:val="70F4E08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686077F3"/>
    <w:multiLevelType w:val="hybridMultilevel"/>
    <w:tmpl w:val="63AA0F32"/>
    <w:lvl w:ilvl="0" w:tplc="20EC7198">
      <w:numFmt w:val="bullet"/>
      <w:lvlText w:val="•"/>
      <w:lvlJc w:val="left"/>
      <w:pPr>
        <w:ind w:left="1308" w:hanging="948"/>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A521B0"/>
    <w:multiLevelType w:val="hybridMultilevel"/>
    <w:tmpl w:val="21C84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EA079B"/>
    <w:multiLevelType w:val="hybridMultilevel"/>
    <w:tmpl w:val="D10C3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55299C"/>
    <w:multiLevelType w:val="hybridMultilevel"/>
    <w:tmpl w:val="092E83B2"/>
    <w:lvl w:ilvl="0" w:tplc="D718416A">
      <w:start w:val="1"/>
      <w:numFmt w:val="bullet"/>
      <w:lvlText w:val="•"/>
      <w:lvlJc w:val="left"/>
      <w:pPr>
        <w:tabs>
          <w:tab w:val="num" w:pos="720"/>
        </w:tabs>
        <w:ind w:left="720" w:hanging="360"/>
      </w:pPr>
      <w:rPr>
        <w:rFonts w:ascii="Arial" w:hAnsi="Arial" w:hint="default"/>
      </w:rPr>
    </w:lvl>
    <w:lvl w:ilvl="1" w:tplc="0E02C9E8" w:tentative="1">
      <w:start w:val="1"/>
      <w:numFmt w:val="bullet"/>
      <w:lvlText w:val="•"/>
      <w:lvlJc w:val="left"/>
      <w:pPr>
        <w:tabs>
          <w:tab w:val="num" w:pos="1440"/>
        </w:tabs>
        <w:ind w:left="1440" w:hanging="360"/>
      </w:pPr>
      <w:rPr>
        <w:rFonts w:ascii="Arial" w:hAnsi="Arial" w:hint="default"/>
      </w:rPr>
    </w:lvl>
    <w:lvl w:ilvl="2" w:tplc="42426328" w:tentative="1">
      <w:start w:val="1"/>
      <w:numFmt w:val="bullet"/>
      <w:lvlText w:val="•"/>
      <w:lvlJc w:val="left"/>
      <w:pPr>
        <w:tabs>
          <w:tab w:val="num" w:pos="2160"/>
        </w:tabs>
        <w:ind w:left="2160" w:hanging="360"/>
      </w:pPr>
      <w:rPr>
        <w:rFonts w:ascii="Arial" w:hAnsi="Arial" w:hint="default"/>
      </w:rPr>
    </w:lvl>
    <w:lvl w:ilvl="3" w:tplc="7D42B32E" w:tentative="1">
      <w:start w:val="1"/>
      <w:numFmt w:val="bullet"/>
      <w:lvlText w:val="•"/>
      <w:lvlJc w:val="left"/>
      <w:pPr>
        <w:tabs>
          <w:tab w:val="num" w:pos="2880"/>
        </w:tabs>
        <w:ind w:left="2880" w:hanging="360"/>
      </w:pPr>
      <w:rPr>
        <w:rFonts w:ascii="Arial" w:hAnsi="Arial" w:hint="default"/>
      </w:rPr>
    </w:lvl>
    <w:lvl w:ilvl="4" w:tplc="619C3B4C" w:tentative="1">
      <w:start w:val="1"/>
      <w:numFmt w:val="bullet"/>
      <w:lvlText w:val="•"/>
      <w:lvlJc w:val="left"/>
      <w:pPr>
        <w:tabs>
          <w:tab w:val="num" w:pos="3600"/>
        </w:tabs>
        <w:ind w:left="3600" w:hanging="360"/>
      </w:pPr>
      <w:rPr>
        <w:rFonts w:ascii="Arial" w:hAnsi="Arial" w:hint="default"/>
      </w:rPr>
    </w:lvl>
    <w:lvl w:ilvl="5" w:tplc="59BE2A90" w:tentative="1">
      <w:start w:val="1"/>
      <w:numFmt w:val="bullet"/>
      <w:lvlText w:val="•"/>
      <w:lvlJc w:val="left"/>
      <w:pPr>
        <w:tabs>
          <w:tab w:val="num" w:pos="4320"/>
        </w:tabs>
        <w:ind w:left="4320" w:hanging="360"/>
      </w:pPr>
      <w:rPr>
        <w:rFonts w:ascii="Arial" w:hAnsi="Arial" w:hint="default"/>
      </w:rPr>
    </w:lvl>
    <w:lvl w:ilvl="6" w:tplc="44028A76" w:tentative="1">
      <w:start w:val="1"/>
      <w:numFmt w:val="bullet"/>
      <w:lvlText w:val="•"/>
      <w:lvlJc w:val="left"/>
      <w:pPr>
        <w:tabs>
          <w:tab w:val="num" w:pos="5040"/>
        </w:tabs>
        <w:ind w:left="5040" w:hanging="360"/>
      </w:pPr>
      <w:rPr>
        <w:rFonts w:ascii="Arial" w:hAnsi="Arial" w:hint="default"/>
      </w:rPr>
    </w:lvl>
    <w:lvl w:ilvl="7" w:tplc="6A9A1634" w:tentative="1">
      <w:start w:val="1"/>
      <w:numFmt w:val="bullet"/>
      <w:lvlText w:val="•"/>
      <w:lvlJc w:val="left"/>
      <w:pPr>
        <w:tabs>
          <w:tab w:val="num" w:pos="5760"/>
        </w:tabs>
        <w:ind w:left="5760" w:hanging="360"/>
      </w:pPr>
      <w:rPr>
        <w:rFonts w:ascii="Arial" w:hAnsi="Arial" w:hint="default"/>
      </w:rPr>
    </w:lvl>
    <w:lvl w:ilvl="8" w:tplc="3E62C50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3D5714E"/>
    <w:multiLevelType w:val="hybridMultilevel"/>
    <w:tmpl w:val="14C06240"/>
    <w:lvl w:ilvl="0" w:tplc="A2FABDB4">
      <w:start w:val="1"/>
      <w:numFmt w:val="bullet"/>
      <w:lvlText w:val="•"/>
      <w:lvlJc w:val="left"/>
      <w:pPr>
        <w:tabs>
          <w:tab w:val="num" w:pos="720"/>
        </w:tabs>
        <w:ind w:left="720" w:hanging="360"/>
      </w:pPr>
      <w:rPr>
        <w:rFonts w:ascii="Arial" w:hAnsi="Arial" w:hint="default"/>
      </w:rPr>
    </w:lvl>
    <w:lvl w:ilvl="1" w:tplc="354288DC" w:tentative="1">
      <w:start w:val="1"/>
      <w:numFmt w:val="bullet"/>
      <w:lvlText w:val="•"/>
      <w:lvlJc w:val="left"/>
      <w:pPr>
        <w:tabs>
          <w:tab w:val="num" w:pos="1440"/>
        </w:tabs>
        <w:ind w:left="1440" w:hanging="360"/>
      </w:pPr>
      <w:rPr>
        <w:rFonts w:ascii="Arial" w:hAnsi="Arial" w:hint="default"/>
      </w:rPr>
    </w:lvl>
    <w:lvl w:ilvl="2" w:tplc="084C91CA" w:tentative="1">
      <w:start w:val="1"/>
      <w:numFmt w:val="bullet"/>
      <w:lvlText w:val="•"/>
      <w:lvlJc w:val="left"/>
      <w:pPr>
        <w:tabs>
          <w:tab w:val="num" w:pos="2160"/>
        </w:tabs>
        <w:ind w:left="2160" w:hanging="360"/>
      </w:pPr>
      <w:rPr>
        <w:rFonts w:ascii="Arial" w:hAnsi="Arial" w:hint="default"/>
      </w:rPr>
    </w:lvl>
    <w:lvl w:ilvl="3" w:tplc="87D09C3A" w:tentative="1">
      <w:start w:val="1"/>
      <w:numFmt w:val="bullet"/>
      <w:lvlText w:val="•"/>
      <w:lvlJc w:val="left"/>
      <w:pPr>
        <w:tabs>
          <w:tab w:val="num" w:pos="2880"/>
        </w:tabs>
        <w:ind w:left="2880" w:hanging="360"/>
      </w:pPr>
      <w:rPr>
        <w:rFonts w:ascii="Arial" w:hAnsi="Arial" w:hint="default"/>
      </w:rPr>
    </w:lvl>
    <w:lvl w:ilvl="4" w:tplc="D24E96B4" w:tentative="1">
      <w:start w:val="1"/>
      <w:numFmt w:val="bullet"/>
      <w:lvlText w:val="•"/>
      <w:lvlJc w:val="left"/>
      <w:pPr>
        <w:tabs>
          <w:tab w:val="num" w:pos="3600"/>
        </w:tabs>
        <w:ind w:left="3600" w:hanging="360"/>
      </w:pPr>
      <w:rPr>
        <w:rFonts w:ascii="Arial" w:hAnsi="Arial" w:hint="default"/>
      </w:rPr>
    </w:lvl>
    <w:lvl w:ilvl="5" w:tplc="0730F7A0" w:tentative="1">
      <w:start w:val="1"/>
      <w:numFmt w:val="bullet"/>
      <w:lvlText w:val="•"/>
      <w:lvlJc w:val="left"/>
      <w:pPr>
        <w:tabs>
          <w:tab w:val="num" w:pos="4320"/>
        </w:tabs>
        <w:ind w:left="4320" w:hanging="360"/>
      </w:pPr>
      <w:rPr>
        <w:rFonts w:ascii="Arial" w:hAnsi="Arial" w:hint="default"/>
      </w:rPr>
    </w:lvl>
    <w:lvl w:ilvl="6" w:tplc="6F44E1A8" w:tentative="1">
      <w:start w:val="1"/>
      <w:numFmt w:val="bullet"/>
      <w:lvlText w:val="•"/>
      <w:lvlJc w:val="left"/>
      <w:pPr>
        <w:tabs>
          <w:tab w:val="num" w:pos="5040"/>
        </w:tabs>
        <w:ind w:left="5040" w:hanging="360"/>
      </w:pPr>
      <w:rPr>
        <w:rFonts w:ascii="Arial" w:hAnsi="Arial" w:hint="default"/>
      </w:rPr>
    </w:lvl>
    <w:lvl w:ilvl="7" w:tplc="A9D609E6" w:tentative="1">
      <w:start w:val="1"/>
      <w:numFmt w:val="bullet"/>
      <w:lvlText w:val="•"/>
      <w:lvlJc w:val="left"/>
      <w:pPr>
        <w:tabs>
          <w:tab w:val="num" w:pos="5760"/>
        </w:tabs>
        <w:ind w:left="5760" w:hanging="360"/>
      </w:pPr>
      <w:rPr>
        <w:rFonts w:ascii="Arial" w:hAnsi="Arial" w:hint="default"/>
      </w:rPr>
    </w:lvl>
    <w:lvl w:ilvl="8" w:tplc="2C52A12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BCB6BBE"/>
    <w:multiLevelType w:val="hybridMultilevel"/>
    <w:tmpl w:val="5F243C9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0" w15:restartNumberingAfterBreak="0">
    <w:nsid w:val="7C4378FE"/>
    <w:multiLevelType w:val="hybridMultilevel"/>
    <w:tmpl w:val="EE7CB6C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1" w15:restartNumberingAfterBreak="0">
    <w:nsid w:val="7FFD6B05"/>
    <w:multiLevelType w:val="multilevel"/>
    <w:tmpl w:val="E992032E"/>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7"/>
  </w:num>
  <w:num w:numId="2">
    <w:abstractNumId w:val="4"/>
  </w:num>
  <w:num w:numId="3">
    <w:abstractNumId w:val="24"/>
  </w:num>
  <w:num w:numId="4">
    <w:abstractNumId w:val="28"/>
  </w:num>
  <w:num w:numId="5">
    <w:abstractNumId w:val="7"/>
  </w:num>
  <w:num w:numId="6">
    <w:abstractNumId w:val="11"/>
  </w:num>
  <w:num w:numId="7">
    <w:abstractNumId w:val="41"/>
  </w:num>
  <w:num w:numId="8">
    <w:abstractNumId w:val="31"/>
  </w:num>
  <w:num w:numId="9">
    <w:abstractNumId w:val="13"/>
  </w:num>
  <w:num w:numId="10">
    <w:abstractNumId w:val="12"/>
  </w:num>
  <w:num w:numId="11">
    <w:abstractNumId w:val="34"/>
  </w:num>
  <w:num w:numId="12">
    <w:abstractNumId w:val="21"/>
  </w:num>
  <w:num w:numId="13">
    <w:abstractNumId w:val="2"/>
  </w:num>
  <w:num w:numId="14">
    <w:abstractNumId w:val="10"/>
  </w:num>
  <w:num w:numId="15">
    <w:abstractNumId w:val="3"/>
  </w:num>
  <w:num w:numId="16">
    <w:abstractNumId w:val="5"/>
  </w:num>
  <w:num w:numId="17">
    <w:abstractNumId w:val="0"/>
  </w:num>
  <w:num w:numId="18">
    <w:abstractNumId w:val="35"/>
  </w:num>
  <w:num w:numId="19">
    <w:abstractNumId w:val="20"/>
  </w:num>
  <w:num w:numId="20">
    <w:abstractNumId w:val="15"/>
  </w:num>
  <w:num w:numId="21">
    <w:abstractNumId w:val="14"/>
  </w:num>
  <w:num w:numId="22">
    <w:abstractNumId w:val="1"/>
  </w:num>
  <w:num w:numId="23">
    <w:abstractNumId w:val="18"/>
  </w:num>
  <w:num w:numId="24">
    <w:abstractNumId w:val="16"/>
  </w:num>
  <w:num w:numId="25">
    <w:abstractNumId w:val="29"/>
  </w:num>
  <w:num w:numId="26">
    <w:abstractNumId w:val="23"/>
  </w:num>
  <w:num w:numId="27">
    <w:abstractNumId w:val="9"/>
  </w:num>
  <w:num w:numId="28">
    <w:abstractNumId w:val="26"/>
  </w:num>
  <w:num w:numId="29">
    <w:abstractNumId w:val="25"/>
  </w:num>
  <w:num w:numId="30">
    <w:abstractNumId w:val="19"/>
  </w:num>
  <w:num w:numId="31">
    <w:abstractNumId w:val="39"/>
  </w:num>
  <w:num w:numId="32">
    <w:abstractNumId w:val="30"/>
  </w:num>
  <w:num w:numId="33">
    <w:abstractNumId w:val="6"/>
  </w:num>
  <w:num w:numId="34">
    <w:abstractNumId w:val="37"/>
  </w:num>
  <w:num w:numId="35">
    <w:abstractNumId w:val="38"/>
  </w:num>
  <w:num w:numId="36">
    <w:abstractNumId w:val="8"/>
  </w:num>
  <w:num w:numId="37">
    <w:abstractNumId w:val="33"/>
  </w:num>
  <w:num w:numId="38">
    <w:abstractNumId w:val="36"/>
  </w:num>
  <w:num w:numId="39">
    <w:abstractNumId w:val="40"/>
  </w:num>
  <w:num w:numId="40">
    <w:abstractNumId w:val="22"/>
  </w:num>
  <w:num w:numId="41">
    <w:abstractNumId w:val="17"/>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B4D"/>
    <w:rsid w:val="00004314"/>
    <w:rsid w:val="0001791F"/>
    <w:rsid w:val="00024F53"/>
    <w:rsid w:val="0003395F"/>
    <w:rsid w:val="00035509"/>
    <w:rsid w:val="0003554D"/>
    <w:rsid w:val="00040ED0"/>
    <w:rsid w:val="00044213"/>
    <w:rsid w:val="00044EA9"/>
    <w:rsid w:val="00052825"/>
    <w:rsid w:val="00054554"/>
    <w:rsid w:val="0006781E"/>
    <w:rsid w:val="00084CAC"/>
    <w:rsid w:val="000A128E"/>
    <w:rsid w:val="000A1FC9"/>
    <w:rsid w:val="000A3DBF"/>
    <w:rsid w:val="000B0B40"/>
    <w:rsid w:val="000B3354"/>
    <w:rsid w:val="000C0DA7"/>
    <w:rsid w:val="000C4773"/>
    <w:rsid w:val="000C5210"/>
    <w:rsid w:val="000D5EC5"/>
    <w:rsid w:val="000D6BB7"/>
    <w:rsid w:val="000D6D9C"/>
    <w:rsid w:val="000E58C8"/>
    <w:rsid w:val="000E7795"/>
    <w:rsid w:val="000F1639"/>
    <w:rsid w:val="00101DBE"/>
    <w:rsid w:val="001027C4"/>
    <w:rsid w:val="00106627"/>
    <w:rsid w:val="00116095"/>
    <w:rsid w:val="00117DCA"/>
    <w:rsid w:val="00136F2F"/>
    <w:rsid w:val="00142E88"/>
    <w:rsid w:val="0014397D"/>
    <w:rsid w:val="001617C5"/>
    <w:rsid w:val="00162F58"/>
    <w:rsid w:val="001707F8"/>
    <w:rsid w:val="00174080"/>
    <w:rsid w:val="001907DD"/>
    <w:rsid w:val="001917AF"/>
    <w:rsid w:val="0019725C"/>
    <w:rsid w:val="001A1B35"/>
    <w:rsid w:val="001A46F0"/>
    <w:rsid w:val="001C1A15"/>
    <w:rsid w:val="001C2EB7"/>
    <w:rsid w:val="001C39BB"/>
    <w:rsid w:val="001C769D"/>
    <w:rsid w:val="001D630A"/>
    <w:rsid w:val="001E1548"/>
    <w:rsid w:val="001E389C"/>
    <w:rsid w:val="001E493F"/>
    <w:rsid w:val="001F1A9D"/>
    <w:rsid w:val="001F1BE1"/>
    <w:rsid w:val="001F38CB"/>
    <w:rsid w:val="002076F5"/>
    <w:rsid w:val="002143D2"/>
    <w:rsid w:val="00214B50"/>
    <w:rsid w:val="00220BD7"/>
    <w:rsid w:val="00222677"/>
    <w:rsid w:val="00233BC1"/>
    <w:rsid w:val="00234A11"/>
    <w:rsid w:val="00234B04"/>
    <w:rsid w:val="0024195B"/>
    <w:rsid w:val="002421D4"/>
    <w:rsid w:val="00245A5E"/>
    <w:rsid w:val="0025491D"/>
    <w:rsid w:val="00262C2D"/>
    <w:rsid w:val="0026474A"/>
    <w:rsid w:val="00265D3F"/>
    <w:rsid w:val="00266D74"/>
    <w:rsid w:val="00277DBC"/>
    <w:rsid w:val="00283B6B"/>
    <w:rsid w:val="00291FA2"/>
    <w:rsid w:val="0029355E"/>
    <w:rsid w:val="00297D21"/>
    <w:rsid w:val="002A59BB"/>
    <w:rsid w:val="002A67FA"/>
    <w:rsid w:val="002C32C0"/>
    <w:rsid w:val="002D149C"/>
    <w:rsid w:val="002F2C06"/>
    <w:rsid w:val="002F3F12"/>
    <w:rsid w:val="00306028"/>
    <w:rsid w:val="003070AC"/>
    <w:rsid w:val="00314C1E"/>
    <w:rsid w:val="0032028E"/>
    <w:rsid w:val="00324851"/>
    <w:rsid w:val="003271FA"/>
    <w:rsid w:val="003309B8"/>
    <w:rsid w:val="00331500"/>
    <w:rsid w:val="003433B1"/>
    <w:rsid w:val="003509C1"/>
    <w:rsid w:val="00356949"/>
    <w:rsid w:val="00363593"/>
    <w:rsid w:val="003771E1"/>
    <w:rsid w:val="003801C1"/>
    <w:rsid w:val="0038335F"/>
    <w:rsid w:val="00391DE4"/>
    <w:rsid w:val="003A130B"/>
    <w:rsid w:val="003A1480"/>
    <w:rsid w:val="003A3C30"/>
    <w:rsid w:val="003C08B3"/>
    <w:rsid w:val="003C18E6"/>
    <w:rsid w:val="003C54B3"/>
    <w:rsid w:val="003C7167"/>
    <w:rsid w:val="003D3357"/>
    <w:rsid w:val="003D519D"/>
    <w:rsid w:val="003D78F2"/>
    <w:rsid w:val="004023C6"/>
    <w:rsid w:val="00402587"/>
    <w:rsid w:val="00414B41"/>
    <w:rsid w:val="00415D5F"/>
    <w:rsid w:val="00424428"/>
    <w:rsid w:val="00433401"/>
    <w:rsid w:val="00433ACE"/>
    <w:rsid w:val="00434CD2"/>
    <w:rsid w:val="0044160B"/>
    <w:rsid w:val="0045729C"/>
    <w:rsid w:val="00470375"/>
    <w:rsid w:val="00471A74"/>
    <w:rsid w:val="00476E0B"/>
    <w:rsid w:val="00480125"/>
    <w:rsid w:val="004B7832"/>
    <w:rsid w:val="004C03B3"/>
    <w:rsid w:val="004C1D8C"/>
    <w:rsid w:val="004C20F3"/>
    <w:rsid w:val="004C7A8E"/>
    <w:rsid w:val="004E39BA"/>
    <w:rsid w:val="004F3C0A"/>
    <w:rsid w:val="0050028C"/>
    <w:rsid w:val="00501328"/>
    <w:rsid w:val="00506652"/>
    <w:rsid w:val="005076B1"/>
    <w:rsid w:val="00510856"/>
    <w:rsid w:val="005145EA"/>
    <w:rsid w:val="005147C1"/>
    <w:rsid w:val="00515309"/>
    <w:rsid w:val="00516573"/>
    <w:rsid w:val="00516B2E"/>
    <w:rsid w:val="00517226"/>
    <w:rsid w:val="00520E51"/>
    <w:rsid w:val="00530203"/>
    <w:rsid w:val="00531001"/>
    <w:rsid w:val="00537F27"/>
    <w:rsid w:val="005423EE"/>
    <w:rsid w:val="00550F58"/>
    <w:rsid w:val="00560D40"/>
    <w:rsid w:val="00563BF6"/>
    <w:rsid w:val="00567BF4"/>
    <w:rsid w:val="00567E17"/>
    <w:rsid w:val="00572E6C"/>
    <w:rsid w:val="00577C95"/>
    <w:rsid w:val="00580F61"/>
    <w:rsid w:val="00585697"/>
    <w:rsid w:val="00587646"/>
    <w:rsid w:val="00595E4E"/>
    <w:rsid w:val="0059645D"/>
    <w:rsid w:val="00596703"/>
    <w:rsid w:val="005A3555"/>
    <w:rsid w:val="005A5F33"/>
    <w:rsid w:val="005A5FF1"/>
    <w:rsid w:val="005B7CC7"/>
    <w:rsid w:val="005C2FB9"/>
    <w:rsid w:val="005C34C9"/>
    <w:rsid w:val="005C3A91"/>
    <w:rsid w:val="005D0948"/>
    <w:rsid w:val="005D3FB8"/>
    <w:rsid w:val="005E0C92"/>
    <w:rsid w:val="005E52D9"/>
    <w:rsid w:val="005E6B4E"/>
    <w:rsid w:val="005F054C"/>
    <w:rsid w:val="005F4253"/>
    <w:rsid w:val="005F5495"/>
    <w:rsid w:val="00602452"/>
    <w:rsid w:val="00630501"/>
    <w:rsid w:val="00630B4D"/>
    <w:rsid w:val="006424A3"/>
    <w:rsid w:val="00642A28"/>
    <w:rsid w:val="006447CE"/>
    <w:rsid w:val="00647463"/>
    <w:rsid w:val="006578DE"/>
    <w:rsid w:val="006722F5"/>
    <w:rsid w:val="00680408"/>
    <w:rsid w:val="00681829"/>
    <w:rsid w:val="00684E03"/>
    <w:rsid w:val="00685072"/>
    <w:rsid w:val="006869EB"/>
    <w:rsid w:val="00686F75"/>
    <w:rsid w:val="0068718E"/>
    <w:rsid w:val="006906A5"/>
    <w:rsid w:val="0069574A"/>
    <w:rsid w:val="0069742F"/>
    <w:rsid w:val="006A06DD"/>
    <w:rsid w:val="006B0B52"/>
    <w:rsid w:val="006B1884"/>
    <w:rsid w:val="006B4D62"/>
    <w:rsid w:val="006C0206"/>
    <w:rsid w:val="006D0A11"/>
    <w:rsid w:val="006D6350"/>
    <w:rsid w:val="006E0E36"/>
    <w:rsid w:val="006F0C67"/>
    <w:rsid w:val="0070752E"/>
    <w:rsid w:val="00715918"/>
    <w:rsid w:val="0071632B"/>
    <w:rsid w:val="00717C56"/>
    <w:rsid w:val="007241D8"/>
    <w:rsid w:val="0073319F"/>
    <w:rsid w:val="00737170"/>
    <w:rsid w:val="00740F2A"/>
    <w:rsid w:val="0075088D"/>
    <w:rsid w:val="007521A0"/>
    <w:rsid w:val="0075306B"/>
    <w:rsid w:val="00767D52"/>
    <w:rsid w:val="00780ECA"/>
    <w:rsid w:val="0079050E"/>
    <w:rsid w:val="007A2EB2"/>
    <w:rsid w:val="007A6DEE"/>
    <w:rsid w:val="007B2CBB"/>
    <w:rsid w:val="007B6872"/>
    <w:rsid w:val="007C67B8"/>
    <w:rsid w:val="007D5557"/>
    <w:rsid w:val="007D6C87"/>
    <w:rsid w:val="007D7869"/>
    <w:rsid w:val="007E147E"/>
    <w:rsid w:val="007E15F1"/>
    <w:rsid w:val="007E46D4"/>
    <w:rsid w:val="007E4A0D"/>
    <w:rsid w:val="007E4B82"/>
    <w:rsid w:val="007E70B6"/>
    <w:rsid w:val="007F38FD"/>
    <w:rsid w:val="007F40E5"/>
    <w:rsid w:val="007F473E"/>
    <w:rsid w:val="008005B7"/>
    <w:rsid w:val="0080157F"/>
    <w:rsid w:val="008026A1"/>
    <w:rsid w:val="008054F1"/>
    <w:rsid w:val="00816D54"/>
    <w:rsid w:val="00820879"/>
    <w:rsid w:val="00830641"/>
    <w:rsid w:val="00830F20"/>
    <w:rsid w:val="00831B85"/>
    <w:rsid w:val="008369F5"/>
    <w:rsid w:val="0084027A"/>
    <w:rsid w:val="008417B2"/>
    <w:rsid w:val="00846818"/>
    <w:rsid w:val="008607E1"/>
    <w:rsid w:val="008612A9"/>
    <w:rsid w:val="008616BF"/>
    <w:rsid w:val="0087246F"/>
    <w:rsid w:val="00874834"/>
    <w:rsid w:val="008809C1"/>
    <w:rsid w:val="0088185A"/>
    <w:rsid w:val="008A4009"/>
    <w:rsid w:val="008A4A98"/>
    <w:rsid w:val="008A778D"/>
    <w:rsid w:val="008B58FA"/>
    <w:rsid w:val="008C1553"/>
    <w:rsid w:val="008C62EB"/>
    <w:rsid w:val="008D402E"/>
    <w:rsid w:val="008D57A5"/>
    <w:rsid w:val="008F4A06"/>
    <w:rsid w:val="008F77E6"/>
    <w:rsid w:val="00903562"/>
    <w:rsid w:val="0092443F"/>
    <w:rsid w:val="00930351"/>
    <w:rsid w:val="009341EB"/>
    <w:rsid w:val="00946892"/>
    <w:rsid w:val="00962A3C"/>
    <w:rsid w:val="00971C17"/>
    <w:rsid w:val="009732AD"/>
    <w:rsid w:val="0097781F"/>
    <w:rsid w:val="00981F0F"/>
    <w:rsid w:val="00990659"/>
    <w:rsid w:val="009A18A5"/>
    <w:rsid w:val="009A5A6E"/>
    <w:rsid w:val="009B55BA"/>
    <w:rsid w:val="009B5900"/>
    <w:rsid w:val="009B6F86"/>
    <w:rsid w:val="009C12A0"/>
    <w:rsid w:val="009C64F9"/>
    <w:rsid w:val="009D08BE"/>
    <w:rsid w:val="009D2F42"/>
    <w:rsid w:val="009E5959"/>
    <w:rsid w:val="009F6551"/>
    <w:rsid w:val="00A01341"/>
    <w:rsid w:val="00A17F7F"/>
    <w:rsid w:val="00A20DFB"/>
    <w:rsid w:val="00A210E4"/>
    <w:rsid w:val="00A211A9"/>
    <w:rsid w:val="00A32632"/>
    <w:rsid w:val="00A42ABC"/>
    <w:rsid w:val="00A50AC5"/>
    <w:rsid w:val="00A63AF6"/>
    <w:rsid w:val="00A70790"/>
    <w:rsid w:val="00A74CB5"/>
    <w:rsid w:val="00A75668"/>
    <w:rsid w:val="00A77CBD"/>
    <w:rsid w:val="00AA44E2"/>
    <w:rsid w:val="00AA45A2"/>
    <w:rsid w:val="00AA5CD9"/>
    <w:rsid w:val="00AB1558"/>
    <w:rsid w:val="00AB1E12"/>
    <w:rsid w:val="00AB22BB"/>
    <w:rsid w:val="00AB3ABE"/>
    <w:rsid w:val="00AC1825"/>
    <w:rsid w:val="00AC1B2D"/>
    <w:rsid w:val="00AC49CE"/>
    <w:rsid w:val="00AC5167"/>
    <w:rsid w:val="00AC6151"/>
    <w:rsid w:val="00AF05F1"/>
    <w:rsid w:val="00AF13F8"/>
    <w:rsid w:val="00AF2EA6"/>
    <w:rsid w:val="00AF480D"/>
    <w:rsid w:val="00B06C1D"/>
    <w:rsid w:val="00B07C7A"/>
    <w:rsid w:val="00B1290E"/>
    <w:rsid w:val="00B24A4C"/>
    <w:rsid w:val="00B40271"/>
    <w:rsid w:val="00B5153D"/>
    <w:rsid w:val="00B52F2B"/>
    <w:rsid w:val="00B55F36"/>
    <w:rsid w:val="00B61946"/>
    <w:rsid w:val="00B641A0"/>
    <w:rsid w:val="00B73B59"/>
    <w:rsid w:val="00B83A7D"/>
    <w:rsid w:val="00B8437C"/>
    <w:rsid w:val="00B87CFD"/>
    <w:rsid w:val="00B93C26"/>
    <w:rsid w:val="00BA4546"/>
    <w:rsid w:val="00BA4A7F"/>
    <w:rsid w:val="00BA56A8"/>
    <w:rsid w:val="00BA79BD"/>
    <w:rsid w:val="00BB216E"/>
    <w:rsid w:val="00BB3F98"/>
    <w:rsid w:val="00BC4AE1"/>
    <w:rsid w:val="00BC7574"/>
    <w:rsid w:val="00BD0EAE"/>
    <w:rsid w:val="00BD2D3E"/>
    <w:rsid w:val="00BD4ED5"/>
    <w:rsid w:val="00BD78D1"/>
    <w:rsid w:val="00BE4BBA"/>
    <w:rsid w:val="00BF7946"/>
    <w:rsid w:val="00BF7C85"/>
    <w:rsid w:val="00C000BA"/>
    <w:rsid w:val="00C02C4E"/>
    <w:rsid w:val="00C031ED"/>
    <w:rsid w:val="00C03C81"/>
    <w:rsid w:val="00C17B59"/>
    <w:rsid w:val="00C26FF2"/>
    <w:rsid w:val="00C32877"/>
    <w:rsid w:val="00C4505F"/>
    <w:rsid w:val="00C46053"/>
    <w:rsid w:val="00C539F3"/>
    <w:rsid w:val="00C627B8"/>
    <w:rsid w:val="00C62995"/>
    <w:rsid w:val="00C82761"/>
    <w:rsid w:val="00C91D47"/>
    <w:rsid w:val="00CB4DA7"/>
    <w:rsid w:val="00CB6035"/>
    <w:rsid w:val="00CB73B0"/>
    <w:rsid w:val="00CE1FAD"/>
    <w:rsid w:val="00CF6161"/>
    <w:rsid w:val="00D0009A"/>
    <w:rsid w:val="00D00EC9"/>
    <w:rsid w:val="00D1195C"/>
    <w:rsid w:val="00D1637B"/>
    <w:rsid w:val="00D173C3"/>
    <w:rsid w:val="00D17E19"/>
    <w:rsid w:val="00D304DA"/>
    <w:rsid w:val="00D34A44"/>
    <w:rsid w:val="00D40460"/>
    <w:rsid w:val="00D40E49"/>
    <w:rsid w:val="00D42E2D"/>
    <w:rsid w:val="00D44AA3"/>
    <w:rsid w:val="00D6097D"/>
    <w:rsid w:val="00D621BD"/>
    <w:rsid w:val="00D63AFB"/>
    <w:rsid w:val="00D95957"/>
    <w:rsid w:val="00D960D5"/>
    <w:rsid w:val="00D96D54"/>
    <w:rsid w:val="00DA5829"/>
    <w:rsid w:val="00DB5925"/>
    <w:rsid w:val="00DB6E40"/>
    <w:rsid w:val="00DB7B4A"/>
    <w:rsid w:val="00DD6A0A"/>
    <w:rsid w:val="00DF5CDB"/>
    <w:rsid w:val="00E02BC1"/>
    <w:rsid w:val="00E03A79"/>
    <w:rsid w:val="00E07B29"/>
    <w:rsid w:val="00E11104"/>
    <w:rsid w:val="00E12671"/>
    <w:rsid w:val="00E1382B"/>
    <w:rsid w:val="00E22102"/>
    <w:rsid w:val="00E31BA6"/>
    <w:rsid w:val="00E32F37"/>
    <w:rsid w:val="00E35678"/>
    <w:rsid w:val="00E3660A"/>
    <w:rsid w:val="00E52F83"/>
    <w:rsid w:val="00E606C6"/>
    <w:rsid w:val="00E60858"/>
    <w:rsid w:val="00E60D59"/>
    <w:rsid w:val="00E63867"/>
    <w:rsid w:val="00E65209"/>
    <w:rsid w:val="00E65C7A"/>
    <w:rsid w:val="00E67E64"/>
    <w:rsid w:val="00E7264D"/>
    <w:rsid w:val="00E8156C"/>
    <w:rsid w:val="00E82284"/>
    <w:rsid w:val="00E84A0A"/>
    <w:rsid w:val="00E9686B"/>
    <w:rsid w:val="00EA0F3B"/>
    <w:rsid w:val="00EA1BC5"/>
    <w:rsid w:val="00EB0D02"/>
    <w:rsid w:val="00EB2631"/>
    <w:rsid w:val="00EB5EB1"/>
    <w:rsid w:val="00EB7AAD"/>
    <w:rsid w:val="00EC4680"/>
    <w:rsid w:val="00EC5298"/>
    <w:rsid w:val="00ED13A8"/>
    <w:rsid w:val="00ED14E3"/>
    <w:rsid w:val="00ED7189"/>
    <w:rsid w:val="00ED7D06"/>
    <w:rsid w:val="00EE068C"/>
    <w:rsid w:val="00EE3780"/>
    <w:rsid w:val="00EE7F03"/>
    <w:rsid w:val="00EF6784"/>
    <w:rsid w:val="00F001BB"/>
    <w:rsid w:val="00F01F75"/>
    <w:rsid w:val="00F032A9"/>
    <w:rsid w:val="00F05EBE"/>
    <w:rsid w:val="00F10BD0"/>
    <w:rsid w:val="00F11980"/>
    <w:rsid w:val="00F137D1"/>
    <w:rsid w:val="00F14DDA"/>
    <w:rsid w:val="00F220A1"/>
    <w:rsid w:val="00F247A4"/>
    <w:rsid w:val="00F259EA"/>
    <w:rsid w:val="00F27CFF"/>
    <w:rsid w:val="00F3392B"/>
    <w:rsid w:val="00F34C99"/>
    <w:rsid w:val="00F360D5"/>
    <w:rsid w:val="00F377E3"/>
    <w:rsid w:val="00F46F49"/>
    <w:rsid w:val="00F504D9"/>
    <w:rsid w:val="00F54D50"/>
    <w:rsid w:val="00F57A55"/>
    <w:rsid w:val="00F60545"/>
    <w:rsid w:val="00F67748"/>
    <w:rsid w:val="00F71A45"/>
    <w:rsid w:val="00F7243E"/>
    <w:rsid w:val="00F77EAE"/>
    <w:rsid w:val="00F938DA"/>
    <w:rsid w:val="00FA240A"/>
    <w:rsid w:val="00FA4643"/>
    <w:rsid w:val="00FA5A3C"/>
    <w:rsid w:val="00FA6153"/>
    <w:rsid w:val="00FA7AE7"/>
    <w:rsid w:val="00FB3817"/>
    <w:rsid w:val="00FC31C5"/>
    <w:rsid w:val="00FC5396"/>
    <w:rsid w:val="00FC63D8"/>
    <w:rsid w:val="00FC70B2"/>
    <w:rsid w:val="00FE1E29"/>
    <w:rsid w:val="00FE1E8D"/>
    <w:rsid w:val="00FF63C9"/>
    <w:rsid w:val="00FF6F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94F07A"/>
  <w15:docId w15:val="{9F8C8A80-D550-4A44-968D-7D06E558C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8FD"/>
  </w:style>
  <w:style w:type="paragraph" w:styleId="Heading2">
    <w:name w:val="heading 2"/>
    <w:basedOn w:val="Normal"/>
    <w:next w:val="Normal"/>
    <w:link w:val="Heading2Char"/>
    <w:uiPriority w:val="9"/>
    <w:unhideWhenUsed/>
    <w:qFormat/>
    <w:rsid w:val="00D40E4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30B4D"/>
    <w:pPr>
      <w:ind w:left="720"/>
      <w:contextualSpacing/>
    </w:pPr>
  </w:style>
  <w:style w:type="paragraph" w:styleId="Header">
    <w:name w:val="header"/>
    <w:basedOn w:val="Normal"/>
    <w:link w:val="HeaderChar"/>
    <w:uiPriority w:val="99"/>
    <w:unhideWhenUsed/>
    <w:rsid w:val="00106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627"/>
  </w:style>
  <w:style w:type="paragraph" w:styleId="Footer">
    <w:name w:val="footer"/>
    <w:basedOn w:val="Normal"/>
    <w:link w:val="FooterChar"/>
    <w:uiPriority w:val="99"/>
    <w:unhideWhenUsed/>
    <w:rsid w:val="00106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627"/>
  </w:style>
  <w:style w:type="character" w:styleId="CommentReference">
    <w:name w:val="annotation reference"/>
    <w:basedOn w:val="DefaultParagraphFont"/>
    <w:uiPriority w:val="99"/>
    <w:semiHidden/>
    <w:unhideWhenUsed/>
    <w:rsid w:val="00C4505F"/>
    <w:rPr>
      <w:sz w:val="16"/>
      <w:szCs w:val="16"/>
    </w:rPr>
  </w:style>
  <w:style w:type="paragraph" w:styleId="CommentText">
    <w:name w:val="annotation text"/>
    <w:basedOn w:val="Normal"/>
    <w:link w:val="CommentTextChar"/>
    <w:uiPriority w:val="99"/>
    <w:semiHidden/>
    <w:unhideWhenUsed/>
    <w:rsid w:val="00C4505F"/>
    <w:pPr>
      <w:spacing w:line="240" w:lineRule="auto"/>
    </w:pPr>
    <w:rPr>
      <w:sz w:val="20"/>
      <w:szCs w:val="20"/>
    </w:rPr>
  </w:style>
  <w:style w:type="character" w:customStyle="1" w:styleId="CommentTextChar">
    <w:name w:val="Comment Text Char"/>
    <w:basedOn w:val="DefaultParagraphFont"/>
    <w:link w:val="CommentText"/>
    <w:uiPriority w:val="99"/>
    <w:semiHidden/>
    <w:rsid w:val="00C4505F"/>
    <w:rPr>
      <w:sz w:val="20"/>
      <w:szCs w:val="20"/>
    </w:rPr>
  </w:style>
  <w:style w:type="paragraph" w:styleId="BalloonText">
    <w:name w:val="Balloon Text"/>
    <w:basedOn w:val="Normal"/>
    <w:link w:val="BalloonTextChar"/>
    <w:uiPriority w:val="99"/>
    <w:semiHidden/>
    <w:unhideWhenUsed/>
    <w:rsid w:val="00C450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05F"/>
    <w:rPr>
      <w:rFonts w:ascii="Segoe UI" w:hAnsi="Segoe UI" w:cs="Segoe UI"/>
      <w:sz w:val="18"/>
      <w:szCs w:val="18"/>
    </w:rPr>
  </w:style>
  <w:style w:type="character" w:customStyle="1" w:styleId="ListParagraphChar">
    <w:name w:val="List Paragraph Char"/>
    <w:basedOn w:val="DefaultParagraphFont"/>
    <w:link w:val="ListParagraph"/>
    <w:uiPriority w:val="34"/>
    <w:locked/>
    <w:rsid w:val="00084CAC"/>
  </w:style>
  <w:style w:type="paragraph" w:styleId="CommentSubject">
    <w:name w:val="annotation subject"/>
    <w:basedOn w:val="CommentText"/>
    <w:next w:val="CommentText"/>
    <w:link w:val="CommentSubjectChar"/>
    <w:uiPriority w:val="99"/>
    <w:semiHidden/>
    <w:unhideWhenUsed/>
    <w:rsid w:val="009C64F9"/>
    <w:rPr>
      <w:b/>
      <w:bCs/>
    </w:rPr>
  </w:style>
  <w:style w:type="character" w:customStyle="1" w:styleId="CommentSubjectChar">
    <w:name w:val="Comment Subject Char"/>
    <w:basedOn w:val="CommentTextChar"/>
    <w:link w:val="CommentSubject"/>
    <w:uiPriority w:val="99"/>
    <w:semiHidden/>
    <w:rsid w:val="009C64F9"/>
    <w:rPr>
      <w:b/>
      <w:bCs/>
      <w:sz w:val="20"/>
      <w:szCs w:val="20"/>
    </w:rPr>
  </w:style>
  <w:style w:type="paragraph" w:styleId="NormalWeb">
    <w:name w:val="Normal (Web)"/>
    <w:basedOn w:val="Normal"/>
    <w:uiPriority w:val="99"/>
    <w:unhideWhenUsed/>
    <w:rsid w:val="00262C2D"/>
    <w:pPr>
      <w:spacing w:after="15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509C1"/>
    <w:rPr>
      <w:color w:val="0000FF" w:themeColor="hyperlink"/>
      <w:u w:val="single"/>
    </w:rPr>
  </w:style>
  <w:style w:type="character" w:customStyle="1" w:styleId="Heading2Char">
    <w:name w:val="Heading 2 Char"/>
    <w:basedOn w:val="DefaultParagraphFont"/>
    <w:link w:val="Heading2"/>
    <w:uiPriority w:val="9"/>
    <w:rsid w:val="00D40E49"/>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480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B6035"/>
    <w:pPr>
      <w:spacing w:after="0" w:line="240" w:lineRule="auto"/>
    </w:pPr>
  </w:style>
  <w:style w:type="character" w:styleId="FollowedHyperlink">
    <w:name w:val="FollowedHyperlink"/>
    <w:basedOn w:val="DefaultParagraphFont"/>
    <w:uiPriority w:val="99"/>
    <w:semiHidden/>
    <w:unhideWhenUsed/>
    <w:rsid w:val="006818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217069">
      <w:bodyDiv w:val="1"/>
      <w:marLeft w:val="0"/>
      <w:marRight w:val="0"/>
      <w:marTop w:val="0"/>
      <w:marBottom w:val="0"/>
      <w:divBdr>
        <w:top w:val="none" w:sz="0" w:space="0" w:color="auto"/>
        <w:left w:val="none" w:sz="0" w:space="0" w:color="auto"/>
        <w:bottom w:val="none" w:sz="0" w:space="0" w:color="auto"/>
        <w:right w:val="none" w:sz="0" w:space="0" w:color="auto"/>
      </w:divBdr>
    </w:div>
    <w:div w:id="230238916">
      <w:bodyDiv w:val="1"/>
      <w:marLeft w:val="0"/>
      <w:marRight w:val="0"/>
      <w:marTop w:val="0"/>
      <w:marBottom w:val="0"/>
      <w:divBdr>
        <w:top w:val="none" w:sz="0" w:space="0" w:color="auto"/>
        <w:left w:val="none" w:sz="0" w:space="0" w:color="auto"/>
        <w:bottom w:val="none" w:sz="0" w:space="0" w:color="auto"/>
        <w:right w:val="none" w:sz="0" w:space="0" w:color="auto"/>
      </w:divBdr>
    </w:div>
    <w:div w:id="511192015">
      <w:bodyDiv w:val="1"/>
      <w:marLeft w:val="0"/>
      <w:marRight w:val="0"/>
      <w:marTop w:val="0"/>
      <w:marBottom w:val="0"/>
      <w:divBdr>
        <w:top w:val="none" w:sz="0" w:space="0" w:color="auto"/>
        <w:left w:val="none" w:sz="0" w:space="0" w:color="auto"/>
        <w:bottom w:val="none" w:sz="0" w:space="0" w:color="auto"/>
        <w:right w:val="none" w:sz="0" w:space="0" w:color="auto"/>
      </w:divBdr>
      <w:divsChild>
        <w:div w:id="774833240">
          <w:marLeft w:val="360"/>
          <w:marRight w:val="0"/>
          <w:marTop w:val="200"/>
          <w:marBottom w:val="0"/>
          <w:divBdr>
            <w:top w:val="none" w:sz="0" w:space="0" w:color="auto"/>
            <w:left w:val="none" w:sz="0" w:space="0" w:color="auto"/>
            <w:bottom w:val="none" w:sz="0" w:space="0" w:color="auto"/>
            <w:right w:val="none" w:sz="0" w:space="0" w:color="auto"/>
          </w:divBdr>
        </w:div>
      </w:divsChild>
    </w:div>
    <w:div w:id="855001430">
      <w:bodyDiv w:val="1"/>
      <w:marLeft w:val="0"/>
      <w:marRight w:val="0"/>
      <w:marTop w:val="0"/>
      <w:marBottom w:val="0"/>
      <w:divBdr>
        <w:top w:val="none" w:sz="0" w:space="0" w:color="auto"/>
        <w:left w:val="none" w:sz="0" w:space="0" w:color="auto"/>
        <w:bottom w:val="none" w:sz="0" w:space="0" w:color="auto"/>
        <w:right w:val="none" w:sz="0" w:space="0" w:color="auto"/>
      </w:divBdr>
    </w:div>
    <w:div w:id="1055621036">
      <w:bodyDiv w:val="1"/>
      <w:marLeft w:val="0"/>
      <w:marRight w:val="0"/>
      <w:marTop w:val="0"/>
      <w:marBottom w:val="0"/>
      <w:divBdr>
        <w:top w:val="none" w:sz="0" w:space="0" w:color="auto"/>
        <w:left w:val="none" w:sz="0" w:space="0" w:color="auto"/>
        <w:bottom w:val="none" w:sz="0" w:space="0" w:color="auto"/>
        <w:right w:val="none" w:sz="0" w:space="0" w:color="auto"/>
      </w:divBdr>
      <w:divsChild>
        <w:div w:id="1850676067">
          <w:marLeft w:val="0"/>
          <w:marRight w:val="0"/>
          <w:marTop w:val="0"/>
          <w:marBottom w:val="0"/>
          <w:divBdr>
            <w:top w:val="none" w:sz="0" w:space="0" w:color="auto"/>
            <w:left w:val="none" w:sz="0" w:space="0" w:color="auto"/>
            <w:bottom w:val="none" w:sz="0" w:space="0" w:color="auto"/>
            <w:right w:val="none" w:sz="0" w:space="0" w:color="auto"/>
          </w:divBdr>
          <w:divsChild>
            <w:div w:id="1286422689">
              <w:marLeft w:val="0"/>
              <w:marRight w:val="0"/>
              <w:marTop w:val="0"/>
              <w:marBottom w:val="0"/>
              <w:divBdr>
                <w:top w:val="none" w:sz="0" w:space="0" w:color="auto"/>
                <w:left w:val="none" w:sz="0" w:space="0" w:color="auto"/>
                <w:bottom w:val="none" w:sz="0" w:space="0" w:color="auto"/>
                <w:right w:val="none" w:sz="0" w:space="0" w:color="auto"/>
              </w:divBdr>
              <w:divsChild>
                <w:div w:id="1987585465">
                  <w:marLeft w:val="0"/>
                  <w:marRight w:val="0"/>
                  <w:marTop w:val="0"/>
                  <w:marBottom w:val="0"/>
                  <w:divBdr>
                    <w:top w:val="none" w:sz="0" w:space="0" w:color="auto"/>
                    <w:left w:val="none" w:sz="0" w:space="0" w:color="auto"/>
                    <w:bottom w:val="none" w:sz="0" w:space="0" w:color="auto"/>
                    <w:right w:val="none" w:sz="0" w:space="0" w:color="auto"/>
                  </w:divBdr>
                  <w:divsChild>
                    <w:div w:id="591357892">
                      <w:marLeft w:val="0"/>
                      <w:marRight w:val="0"/>
                      <w:marTop w:val="0"/>
                      <w:marBottom w:val="0"/>
                      <w:divBdr>
                        <w:top w:val="none" w:sz="0" w:space="0" w:color="auto"/>
                        <w:left w:val="none" w:sz="0" w:space="0" w:color="auto"/>
                        <w:bottom w:val="none" w:sz="0" w:space="0" w:color="auto"/>
                        <w:right w:val="none" w:sz="0" w:space="0" w:color="auto"/>
                      </w:divBdr>
                      <w:divsChild>
                        <w:div w:id="187715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514730">
      <w:bodyDiv w:val="1"/>
      <w:marLeft w:val="0"/>
      <w:marRight w:val="0"/>
      <w:marTop w:val="0"/>
      <w:marBottom w:val="0"/>
      <w:divBdr>
        <w:top w:val="none" w:sz="0" w:space="0" w:color="auto"/>
        <w:left w:val="none" w:sz="0" w:space="0" w:color="auto"/>
        <w:bottom w:val="none" w:sz="0" w:space="0" w:color="auto"/>
        <w:right w:val="none" w:sz="0" w:space="0" w:color="auto"/>
      </w:divBdr>
      <w:divsChild>
        <w:div w:id="355472872">
          <w:marLeft w:val="360"/>
          <w:marRight w:val="0"/>
          <w:marTop w:val="200"/>
          <w:marBottom w:val="0"/>
          <w:divBdr>
            <w:top w:val="none" w:sz="0" w:space="0" w:color="auto"/>
            <w:left w:val="none" w:sz="0" w:space="0" w:color="auto"/>
            <w:bottom w:val="none" w:sz="0" w:space="0" w:color="auto"/>
            <w:right w:val="none" w:sz="0" w:space="0" w:color="auto"/>
          </w:divBdr>
        </w:div>
        <w:div w:id="308872780">
          <w:marLeft w:val="360"/>
          <w:marRight w:val="0"/>
          <w:marTop w:val="200"/>
          <w:marBottom w:val="0"/>
          <w:divBdr>
            <w:top w:val="none" w:sz="0" w:space="0" w:color="auto"/>
            <w:left w:val="none" w:sz="0" w:space="0" w:color="auto"/>
            <w:bottom w:val="none" w:sz="0" w:space="0" w:color="auto"/>
            <w:right w:val="none" w:sz="0" w:space="0" w:color="auto"/>
          </w:divBdr>
        </w:div>
        <w:div w:id="745806859">
          <w:marLeft w:val="360"/>
          <w:marRight w:val="0"/>
          <w:marTop w:val="200"/>
          <w:marBottom w:val="0"/>
          <w:divBdr>
            <w:top w:val="none" w:sz="0" w:space="0" w:color="auto"/>
            <w:left w:val="none" w:sz="0" w:space="0" w:color="auto"/>
            <w:bottom w:val="none" w:sz="0" w:space="0" w:color="auto"/>
            <w:right w:val="none" w:sz="0" w:space="0" w:color="auto"/>
          </w:divBdr>
        </w:div>
        <w:div w:id="1258295072">
          <w:marLeft w:val="360"/>
          <w:marRight w:val="0"/>
          <w:marTop w:val="200"/>
          <w:marBottom w:val="0"/>
          <w:divBdr>
            <w:top w:val="none" w:sz="0" w:space="0" w:color="auto"/>
            <w:left w:val="none" w:sz="0" w:space="0" w:color="auto"/>
            <w:bottom w:val="none" w:sz="0" w:space="0" w:color="auto"/>
            <w:right w:val="none" w:sz="0" w:space="0" w:color="auto"/>
          </w:divBdr>
        </w:div>
      </w:divsChild>
    </w:div>
    <w:div w:id="1678462245">
      <w:bodyDiv w:val="1"/>
      <w:marLeft w:val="0"/>
      <w:marRight w:val="0"/>
      <w:marTop w:val="0"/>
      <w:marBottom w:val="0"/>
      <w:divBdr>
        <w:top w:val="none" w:sz="0" w:space="0" w:color="auto"/>
        <w:left w:val="none" w:sz="0" w:space="0" w:color="auto"/>
        <w:bottom w:val="none" w:sz="0" w:space="0" w:color="auto"/>
        <w:right w:val="none" w:sz="0" w:space="0" w:color="auto"/>
      </w:divBdr>
    </w:div>
    <w:div w:id="209462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ttinghamcity.gov.uk/coronavirus-covid-19/nottingham-city-local-outbreak-control-plan/"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pen.nottinghamcity.gov.uk/InformationGovernance/disclosurelog.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nottingham.gov.uk/governance" TargetMode="External"/><Relationship Id="rId14" Type="http://schemas.openxmlformats.org/officeDocument/2006/relationships/hyperlink" Target="https://opendatanottingham.org.uk/guide-to-informa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A04D9-5A30-4C55-98A7-363616AEC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14753</Words>
  <Characters>84093</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98649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Morris</dc:creator>
  <cp:keywords/>
  <dc:description/>
  <cp:lastModifiedBy>David Brewster</cp:lastModifiedBy>
  <cp:revision>2</cp:revision>
  <cp:lastPrinted>2019-07-26T13:33:00Z</cp:lastPrinted>
  <dcterms:created xsi:type="dcterms:W3CDTF">2023-03-09T14:01:00Z</dcterms:created>
  <dcterms:modified xsi:type="dcterms:W3CDTF">2023-03-09T14:01:00Z</dcterms:modified>
</cp:coreProperties>
</file>