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49" w:rsidRDefault="00FD2949" w:rsidP="00FD2949">
      <w:pPr>
        <w:jc w:val="right"/>
      </w:pPr>
      <w:r>
        <w:rPr>
          <w:noProof/>
          <w:lang w:eastAsia="en-GB"/>
        </w:rPr>
        <w:drawing>
          <wp:inline distT="0" distB="0" distL="0" distR="0" wp14:anchorId="5957418B" wp14:editId="037A4B7D">
            <wp:extent cx="1430165" cy="47392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Council log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0644" cy="490649"/>
                    </a:xfrm>
                    <a:prstGeom prst="rect">
                      <a:avLst/>
                    </a:prstGeom>
                  </pic:spPr>
                </pic:pic>
              </a:graphicData>
            </a:graphic>
          </wp:inline>
        </w:drawing>
      </w:r>
    </w:p>
    <w:p w:rsidR="00C90A08" w:rsidRPr="00FD2949" w:rsidRDefault="00C90A08">
      <w:pPr>
        <w:rPr>
          <w:b/>
        </w:rPr>
      </w:pPr>
      <w:r w:rsidRPr="00FD2949">
        <w:rPr>
          <w:b/>
        </w:rPr>
        <w:t>Clarification:</w:t>
      </w:r>
    </w:p>
    <w:p w:rsidR="00E96B9F" w:rsidRPr="00AE1A2E" w:rsidRDefault="00E96B9F">
      <w:pPr>
        <w:rPr>
          <w:b/>
          <w:u w:val="single"/>
        </w:rPr>
      </w:pPr>
      <w:r w:rsidRPr="00AE1A2E">
        <w:rPr>
          <w:b/>
          <w:u w:val="single"/>
        </w:rPr>
        <w:t>Focus on Homelessness: Planning Event – 20</w:t>
      </w:r>
      <w:r w:rsidRPr="00AE1A2E">
        <w:rPr>
          <w:b/>
          <w:u w:val="single"/>
          <w:vertAlign w:val="superscript"/>
        </w:rPr>
        <w:t>th</w:t>
      </w:r>
      <w:r w:rsidRPr="00AE1A2E">
        <w:rPr>
          <w:b/>
          <w:u w:val="single"/>
        </w:rPr>
        <w:t xml:space="preserve"> July 2017</w:t>
      </w:r>
    </w:p>
    <w:p w:rsidR="006D4604" w:rsidRDefault="00AA55F7" w:rsidP="00AA55F7">
      <w:r>
        <w:t>It has b</w:t>
      </w:r>
      <w:bookmarkStart w:id="0" w:name="_GoBack"/>
      <w:bookmarkEnd w:id="0"/>
      <w:r>
        <w:t>een brought to our attention that there is a need to</w:t>
      </w:r>
      <w:r w:rsidR="006D4604">
        <w:t xml:space="preserve"> clarify statements made at our recent stakeholder event regarding outcomes for those </w:t>
      </w:r>
      <w:r w:rsidR="00AB4D2D">
        <w:t>leaving</w:t>
      </w:r>
      <w:r w:rsidR="006D4604">
        <w:t xml:space="preserve"> supported accommodation.</w:t>
      </w:r>
      <w:r>
        <w:t xml:space="preserve"> The intention of including </w:t>
      </w:r>
      <w:r w:rsidR="00C61DB1">
        <w:t xml:space="preserve">these statistics was to </w:t>
      </w:r>
      <w:r w:rsidR="00C61DB1" w:rsidRPr="008F1666">
        <w:t>illustrate</w:t>
      </w:r>
      <w:r w:rsidR="008F1666" w:rsidRPr="008F1666">
        <w:t xml:space="preserve"> </w:t>
      </w:r>
      <w:r w:rsidRPr="008F1666">
        <w:t>that currently a relatively low proportion of people are able to move on from supported accommodation into settled / sustainable accommodation. We also sought to highlight that this was not simply a matter of the performance of services, but also about the availability of suitable accommodation for people to access</w:t>
      </w:r>
      <w:r w:rsidR="00C61DB1">
        <w:rPr>
          <w:color w:val="1F497D"/>
        </w:rPr>
        <w:t>.</w:t>
      </w:r>
    </w:p>
    <w:p w:rsidR="006D4604" w:rsidRDefault="006D4604">
      <w:r>
        <w:t>The following statements</w:t>
      </w:r>
      <w:r w:rsidR="00E96B9F">
        <w:t xml:space="preserve"> were given in the presentation, which was also circulated after the event.</w:t>
      </w:r>
    </w:p>
    <w:p w:rsidR="00E96B9F" w:rsidRPr="00E96B9F" w:rsidRDefault="002C7EB9" w:rsidP="00E96B9F">
      <w:pPr>
        <w:rPr>
          <w:b/>
        </w:rPr>
      </w:pPr>
      <w:r>
        <w:rPr>
          <w:b/>
        </w:rPr>
        <w:t>1.</w:t>
      </w:r>
      <w:r w:rsidRPr="00AB4D2D">
        <w:rPr>
          <w:b/>
        </w:rPr>
        <w:t> “</w:t>
      </w:r>
      <w:r w:rsidR="006D4604" w:rsidRPr="00AB4D2D">
        <w:rPr>
          <w:b/>
        </w:rPr>
        <w:t xml:space="preserve">Low success rates in single homeless services – 35% leaving to positive outcomes and high repeated use – </w:t>
      </w:r>
      <w:r w:rsidR="006D4604" w:rsidRPr="00AB4D2D">
        <w:rPr>
          <w:b/>
          <w:i/>
          <w:iCs/>
        </w:rPr>
        <w:t xml:space="preserve">“hamster wheel” </w:t>
      </w:r>
      <w:r w:rsidR="006D4604" w:rsidRPr="00AB4D2D">
        <w:rPr>
          <w:b/>
        </w:rPr>
        <w:t>– though note complexity of issues”</w:t>
      </w:r>
      <w:r w:rsidR="00ED357C">
        <w:rPr>
          <w:b/>
        </w:rPr>
        <w:t xml:space="preserve"> </w:t>
      </w:r>
      <w:r w:rsidR="00ED357C" w:rsidRPr="00ED357C">
        <w:t>(Slide 57)</w:t>
      </w:r>
    </w:p>
    <w:p w:rsidR="00E96B9F" w:rsidRDefault="00E96B9F" w:rsidP="00E96B9F">
      <w:r>
        <w:t>This information was taken from the contract monitoring information provided to Nottingham City Council for 2016/17.</w:t>
      </w:r>
    </w:p>
    <w:p w:rsidR="004D156C" w:rsidRDefault="00E96B9F" w:rsidP="00E96B9F">
      <w:pPr>
        <w:pStyle w:val="ListParagraph"/>
        <w:numPr>
          <w:ilvl w:val="0"/>
          <w:numId w:val="11"/>
        </w:numPr>
      </w:pPr>
      <w:r>
        <w:t>T</w:t>
      </w:r>
      <w:r w:rsidR="0063398D">
        <w:t>his included</w:t>
      </w:r>
      <w:r w:rsidR="004D156C">
        <w:t xml:space="preserve"> direct access</w:t>
      </w:r>
      <w:r w:rsidR="0063398D">
        <w:t xml:space="preserve"> and second stage accomm</w:t>
      </w:r>
      <w:r w:rsidR="00AA55F7">
        <w:t xml:space="preserve">odation commissioned for single homelessness </w:t>
      </w:r>
      <w:r w:rsidR="00C90A08">
        <w:t>(</w:t>
      </w:r>
      <w:r w:rsidR="00AA55F7">
        <w:t>i.e. not family accommodation</w:t>
      </w:r>
      <w:r w:rsidR="0063398D">
        <w:t>.</w:t>
      </w:r>
      <w:r w:rsidR="00C90A08">
        <w:t>)</w:t>
      </w:r>
    </w:p>
    <w:p w:rsidR="0063398D" w:rsidRDefault="0063398D" w:rsidP="0063398D">
      <w:pPr>
        <w:pStyle w:val="ListParagraph"/>
      </w:pPr>
    </w:p>
    <w:p w:rsidR="004D156C" w:rsidRDefault="00C90A08" w:rsidP="008F6C27">
      <w:pPr>
        <w:pStyle w:val="ListParagraph"/>
        <w:numPr>
          <w:ilvl w:val="0"/>
          <w:numId w:val="10"/>
        </w:numPr>
      </w:pPr>
      <w:r>
        <w:t xml:space="preserve">In this context </w:t>
      </w:r>
      <w:r w:rsidR="004D156C">
        <w:t xml:space="preserve">‘positive outcome’ </w:t>
      </w:r>
      <w:r w:rsidR="008F6C27">
        <w:t xml:space="preserve">was </w:t>
      </w:r>
      <w:r w:rsidR="004D156C">
        <w:t xml:space="preserve">used </w:t>
      </w:r>
      <w:r>
        <w:t>to describe a return to settled accommodation that we considered to be sustainable and where a lower intensity of care and/or support is provided.</w:t>
      </w:r>
    </w:p>
    <w:p w:rsidR="008F6C27" w:rsidRDefault="008F6C27" w:rsidP="008F6C27">
      <w:pPr>
        <w:pStyle w:val="ListParagraph"/>
      </w:pPr>
    </w:p>
    <w:p w:rsidR="0063398D" w:rsidRDefault="003104C8" w:rsidP="008F6C27">
      <w:pPr>
        <w:rPr>
          <w:color w:val="FF0000"/>
        </w:rPr>
      </w:pPr>
      <w:r>
        <w:rPr>
          <w:rFonts w:ascii="Calibri" w:hAnsi="Calibri" w:cs="Times New Roman"/>
        </w:rPr>
        <w:t xml:space="preserve">Our initial calculation had not included moves into second stage </w:t>
      </w:r>
      <w:r w:rsidR="00C90A08">
        <w:rPr>
          <w:rFonts w:ascii="Calibri" w:hAnsi="Calibri" w:cs="Times New Roman"/>
        </w:rPr>
        <w:t xml:space="preserve">accommodation (services that support people to overcome barriers and to regain independent living) </w:t>
      </w:r>
      <w:r>
        <w:rPr>
          <w:rFonts w:ascii="Calibri" w:hAnsi="Calibri" w:cs="Times New Roman"/>
        </w:rPr>
        <w:t xml:space="preserve">from direct access as a sustainable outcome. </w:t>
      </w:r>
      <w:r w:rsidRPr="003104C8">
        <w:t>We do appreciate that a move from direct access to second stage accommodation is appropriate for people with additional barriers to maintaining settled accommodation under the arrangements we have commissioned and we have recalculated the figures accordingly</w:t>
      </w:r>
      <w:r w:rsidR="00C90A08">
        <w:t xml:space="preserve"> (see table below)</w:t>
      </w:r>
      <w:r w:rsidRPr="003104C8">
        <w:t>.</w:t>
      </w:r>
    </w:p>
    <w:tbl>
      <w:tblPr>
        <w:tblStyle w:val="TableGrid"/>
        <w:tblW w:w="0" w:type="auto"/>
        <w:tblLook w:val="04A0" w:firstRow="1" w:lastRow="0" w:firstColumn="1" w:lastColumn="0" w:noHBand="0" w:noVBand="1"/>
      </w:tblPr>
      <w:tblGrid>
        <w:gridCol w:w="3794"/>
        <w:gridCol w:w="826"/>
        <w:gridCol w:w="3710"/>
        <w:gridCol w:w="912"/>
      </w:tblGrid>
      <w:tr w:rsidR="003104C8" w:rsidRPr="00A35435" w:rsidTr="00CE2B19">
        <w:trPr>
          <w:trHeight w:val="311"/>
        </w:trPr>
        <w:tc>
          <w:tcPr>
            <w:tcW w:w="3794" w:type="dxa"/>
          </w:tcPr>
          <w:p w:rsidR="003104C8" w:rsidRPr="00A35435" w:rsidRDefault="00C90A08" w:rsidP="00CE2B19">
            <w:pPr>
              <w:rPr>
                <w:b/>
              </w:rPr>
            </w:pPr>
            <w:r>
              <w:rPr>
                <w:b/>
              </w:rPr>
              <w:t>‘</w:t>
            </w:r>
            <w:r w:rsidR="003104C8" w:rsidRPr="00A35435">
              <w:rPr>
                <w:b/>
              </w:rPr>
              <w:t>Sustainable</w:t>
            </w:r>
            <w:r>
              <w:rPr>
                <w:b/>
              </w:rPr>
              <w:t>’</w:t>
            </w:r>
            <w:r w:rsidR="003104C8" w:rsidRPr="00A35435">
              <w:rPr>
                <w:b/>
              </w:rPr>
              <w:t xml:space="preserve"> outcome</w:t>
            </w:r>
            <w:r>
              <w:rPr>
                <w:b/>
              </w:rPr>
              <w:t>s</w:t>
            </w:r>
          </w:p>
        </w:tc>
        <w:tc>
          <w:tcPr>
            <w:tcW w:w="826" w:type="dxa"/>
          </w:tcPr>
          <w:p w:rsidR="003104C8" w:rsidRPr="00A35435" w:rsidRDefault="003104C8" w:rsidP="00CE2B19">
            <w:pPr>
              <w:rPr>
                <w:b/>
              </w:rPr>
            </w:pPr>
            <w:r w:rsidRPr="00A35435">
              <w:rPr>
                <w:b/>
              </w:rPr>
              <w:t>Total</w:t>
            </w:r>
          </w:p>
        </w:tc>
        <w:tc>
          <w:tcPr>
            <w:tcW w:w="3710" w:type="dxa"/>
          </w:tcPr>
          <w:p w:rsidR="003104C8" w:rsidRPr="00A35435" w:rsidRDefault="00C90A08" w:rsidP="00CE2B19">
            <w:pPr>
              <w:rPr>
                <w:b/>
              </w:rPr>
            </w:pPr>
            <w:r>
              <w:rPr>
                <w:b/>
              </w:rPr>
              <w:t>Other</w:t>
            </w:r>
            <w:r w:rsidR="003104C8" w:rsidRPr="00A35435">
              <w:rPr>
                <w:b/>
              </w:rPr>
              <w:t xml:space="preserve"> outcome</w:t>
            </w:r>
            <w:r>
              <w:rPr>
                <w:b/>
              </w:rPr>
              <w:t>s</w:t>
            </w:r>
          </w:p>
          <w:p w:rsidR="003104C8" w:rsidRPr="00A35435" w:rsidRDefault="003104C8" w:rsidP="00CE2B19">
            <w:pPr>
              <w:rPr>
                <w:b/>
              </w:rPr>
            </w:pPr>
          </w:p>
        </w:tc>
        <w:tc>
          <w:tcPr>
            <w:tcW w:w="912" w:type="dxa"/>
          </w:tcPr>
          <w:p w:rsidR="003104C8" w:rsidRPr="00A35435" w:rsidRDefault="003104C8" w:rsidP="00CE2B19">
            <w:pPr>
              <w:rPr>
                <w:b/>
              </w:rPr>
            </w:pPr>
            <w:r w:rsidRPr="00A35435">
              <w:rPr>
                <w:b/>
              </w:rPr>
              <w:t>Total</w:t>
            </w:r>
          </w:p>
        </w:tc>
      </w:tr>
      <w:tr w:rsidR="003104C8" w:rsidTr="00CE2B19">
        <w:tc>
          <w:tcPr>
            <w:tcW w:w="3794" w:type="dxa"/>
          </w:tcPr>
          <w:p w:rsidR="003104C8" w:rsidRDefault="003104C8" w:rsidP="00CE2B19">
            <w:r>
              <w:t>Rehoused - NCH</w:t>
            </w:r>
          </w:p>
        </w:tc>
        <w:tc>
          <w:tcPr>
            <w:tcW w:w="826" w:type="dxa"/>
          </w:tcPr>
          <w:p w:rsidR="003104C8" w:rsidRDefault="003104C8" w:rsidP="00CE2B19">
            <w:r>
              <w:t>99</w:t>
            </w:r>
          </w:p>
        </w:tc>
        <w:tc>
          <w:tcPr>
            <w:tcW w:w="3710" w:type="dxa"/>
          </w:tcPr>
          <w:p w:rsidR="003104C8" w:rsidRDefault="003104C8" w:rsidP="00CE2B19">
            <w:r>
              <w:t>Abandoned</w:t>
            </w:r>
          </w:p>
        </w:tc>
        <w:tc>
          <w:tcPr>
            <w:tcW w:w="912" w:type="dxa"/>
          </w:tcPr>
          <w:p w:rsidR="003104C8" w:rsidRDefault="003104C8" w:rsidP="00CE2B19">
            <w:r>
              <w:t>79</w:t>
            </w:r>
          </w:p>
        </w:tc>
      </w:tr>
      <w:tr w:rsidR="003104C8" w:rsidTr="00CE2B19">
        <w:tc>
          <w:tcPr>
            <w:tcW w:w="3794" w:type="dxa"/>
          </w:tcPr>
          <w:p w:rsidR="003104C8" w:rsidRDefault="003104C8" w:rsidP="00CE2B19">
            <w:r>
              <w:t>Rehoused – Private Rented</w:t>
            </w:r>
          </w:p>
        </w:tc>
        <w:tc>
          <w:tcPr>
            <w:tcW w:w="826" w:type="dxa"/>
          </w:tcPr>
          <w:p w:rsidR="003104C8" w:rsidRDefault="003104C8" w:rsidP="00CE2B19">
            <w:r>
              <w:t>44</w:t>
            </w:r>
          </w:p>
        </w:tc>
        <w:tc>
          <w:tcPr>
            <w:tcW w:w="3710" w:type="dxa"/>
          </w:tcPr>
          <w:p w:rsidR="003104C8" w:rsidRDefault="003104C8" w:rsidP="00CE2B19">
            <w:r>
              <w:t>Eviction</w:t>
            </w:r>
          </w:p>
        </w:tc>
        <w:tc>
          <w:tcPr>
            <w:tcW w:w="912" w:type="dxa"/>
          </w:tcPr>
          <w:p w:rsidR="003104C8" w:rsidRDefault="003104C8" w:rsidP="00CE2B19">
            <w:r>
              <w:t>68</w:t>
            </w:r>
          </w:p>
        </w:tc>
      </w:tr>
      <w:tr w:rsidR="003104C8" w:rsidTr="00CE2B19">
        <w:tc>
          <w:tcPr>
            <w:tcW w:w="3794" w:type="dxa"/>
          </w:tcPr>
          <w:p w:rsidR="003104C8" w:rsidRDefault="003104C8" w:rsidP="00CE2B19">
            <w:r>
              <w:t>Rehoused – Registered Social Landlord</w:t>
            </w:r>
          </w:p>
        </w:tc>
        <w:tc>
          <w:tcPr>
            <w:tcW w:w="826" w:type="dxa"/>
          </w:tcPr>
          <w:p w:rsidR="003104C8" w:rsidRDefault="003104C8" w:rsidP="00CE2B19">
            <w:r>
              <w:t>39</w:t>
            </w:r>
          </w:p>
        </w:tc>
        <w:tc>
          <w:tcPr>
            <w:tcW w:w="3710" w:type="dxa"/>
          </w:tcPr>
          <w:p w:rsidR="003104C8" w:rsidRDefault="003104C8" w:rsidP="00CE2B19">
            <w:r>
              <w:t>Moved into SA from 2</w:t>
            </w:r>
            <w:r w:rsidRPr="00E23118">
              <w:rPr>
                <w:vertAlign w:val="superscript"/>
              </w:rPr>
              <w:t>nd</w:t>
            </w:r>
            <w:r>
              <w:t xml:space="preserve"> stage</w:t>
            </w:r>
          </w:p>
        </w:tc>
        <w:tc>
          <w:tcPr>
            <w:tcW w:w="912" w:type="dxa"/>
          </w:tcPr>
          <w:p w:rsidR="003104C8" w:rsidRDefault="003104C8" w:rsidP="00CE2B19">
            <w:r>
              <w:t>87</w:t>
            </w:r>
          </w:p>
        </w:tc>
      </w:tr>
      <w:tr w:rsidR="003104C8" w:rsidTr="00CE2B19">
        <w:tc>
          <w:tcPr>
            <w:tcW w:w="3794" w:type="dxa"/>
          </w:tcPr>
          <w:p w:rsidR="003104C8" w:rsidRDefault="003104C8" w:rsidP="00CE2B19">
            <w:r>
              <w:t>Moved into SA from direct access</w:t>
            </w:r>
          </w:p>
        </w:tc>
        <w:tc>
          <w:tcPr>
            <w:tcW w:w="826" w:type="dxa"/>
          </w:tcPr>
          <w:p w:rsidR="003104C8" w:rsidRDefault="003104C8" w:rsidP="00CE2B19">
            <w:r>
              <w:t>140</w:t>
            </w:r>
          </w:p>
        </w:tc>
        <w:tc>
          <w:tcPr>
            <w:tcW w:w="3710" w:type="dxa"/>
          </w:tcPr>
          <w:p w:rsidR="003104C8" w:rsidRDefault="003104C8" w:rsidP="00CE2B19">
            <w:r>
              <w:t>Went to stay with family and friends</w:t>
            </w:r>
          </w:p>
        </w:tc>
        <w:tc>
          <w:tcPr>
            <w:tcW w:w="912" w:type="dxa"/>
          </w:tcPr>
          <w:p w:rsidR="003104C8" w:rsidRDefault="003104C8" w:rsidP="00CE2B19">
            <w:r>
              <w:t>79</w:t>
            </w:r>
          </w:p>
        </w:tc>
      </w:tr>
      <w:tr w:rsidR="003104C8" w:rsidTr="00CE2B19">
        <w:tc>
          <w:tcPr>
            <w:tcW w:w="3794" w:type="dxa"/>
            <w:vMerge w:val="restart"/>
          </w:tcPr>
          <w:p w:rsidR="003104C8" w:rsidRDefault="003104C8" w:rsidP="00CE2B19"/>
        </w:tc>
        <w:tc>
          <w:tcPr>
            <w:tcW w:w="826" w:type="dxa"/>
            <w:vMerge w:val="restart"/>
          </w:tcPr>
          <w:p w:rsidR="003104C8" w:rsidRDefault="003104C8" w:rsidP="00CE2B19"/>
        </w:tc>
        <w:tc>
          <w:tcPr>
            <w:tcW w:w="3710" w:type="dxa"/>
          </w:tcPr>
          <w:p w:rsidR="003104C8" w:rsidRDefault="003104C8" w:rsidP="00CE2B19">
            <w:r>
              <w:t>Moved into a care home</w:t>
            </w:r>
          </w:p>
        </w:tc>
        <w:tc>
          <w:tcPr>
            <w:tcW w:w="912" w:type="dxa"/>
          </w:tcPr>
          <w:p w:rsidR="003104C8" w:rsidRDefault="003104C8" w:rsidP="00CE2B19">
            <w:r>
              <w:t>5</w:t>
            </w:r>
          </w:p>
        </w:tc>
      </w:tr>
      <w:tr w:rsidR="003104C8" w:rsidTr="00CE2B19">
        <w:tc>
          <w:tcPr>
            <w:tcW w:w="3794" w:type="dxa"/>
            <w:vMerge/>
          </w:tcPr>
          <w:p w:rsidR="003104C8" w:rsidRDefault="003104C8" w:rsidP="00CE2B19"/>
        </w:tc>
        <w:tc>
          <w:tcPr>
            <w:tcW w:w="826" w:type="dxa"/>
            <w:vMerge/>
          </w:tcPr>
          <w:p w:rsidR="003104C8" w:rsidRDefault="003104C8" w:rsidP="00CE2B19"/>
        </w:tc>
        <w:tc>
          <w:tcPr>
            <w:tcW w:w="3710" w:type="dxa"/>
          </w:tcPr>
          <w:p w:rsidR="003104C8" w:rsidRDefault="003104C8" w:rsidP="00CE2B19">
            <w:r>
              <w:t>Moved into a hospital/hospice</w:t>
            </w:r>
          </w:p>
        </w:tc>
        <w:tc>
          <w:tcPr>
            <w:tcW w:w="912" w:type="dxa"/>
          </w:tcPr>
          <w:p w:rsidR="003104C8" w:rsidRDefault="003104C8" w:rsidP="00CE2B19">
            <w:r>
              <w:t>2</w:t>
            </w:r>
          </w:p>
        </w:tc>
      </w:tr>
      <w:tr w:rsidR="003104C8" w:rsidTr="00CE2B19">
        <w:tc>
          <w:tcPr>
            <w:tcW w:w="3794" w:type="dxa"/>
            <w:vMerge/>
          </w:tcPr>
          <w:p w:rsidR="003104C8" w:rsidRDefault="003104C8" w:rsidP="00CE2B19"/>
        </w:tc>
        <w:tc>
          <w:tcPr>
            <w:tcW w:w="826" w:type="dxa"/>
            <w:vMerge/>
          </w:tcPr>
          <w:p w:rsidR="003104C8" w:rsidRDefault="003104C8" w:rsidP="00CE2B19"/>
        </w:tc>
        <w:tc>
          <w:tcPr>
            <w:tcW w:w="3710" w:type="dxa"/>
          </w:tcPr>
          <w:p w:rsidR="003104C8" w:rsidRDefault="003104C8" w:rsidP="00CE2B19">
            <w:r>
              <w:t>Prison</w:t>
            </w:r>
          </w:p>
        </w:tc>
        <w:tc>
          <w:tcPr>
            <w:tcW w:w="912" w:type="dxa"/>
          </w:tcPr>
          <w:p w:rsidR="003104C8" w:rsidRDefault="003104C8" w:rsidP="00CE2B19">
            <w:r>
              <w:t>24</w:t>
            </w:r>
          </w:p>
        </w:tc>
      </w:tr>
      <w:tr w:rsidR="003104C8" w:rsidTr="00CE2B19">
        <w:tc>
          <w:tcPr>
            <w:tcW w:w="3794" w:type="dxa"/>
            <w:vMerge/>
          </w:tcPr>
          <w:p w:rsidR="003104C8" w:rsidRDefault="003104C8" w:rsidP="00CE2B19"/>
        </w:tc>
        <w:tc>
          <w:tcPr>
            <w:tcW w:w="826" w:type="dxa"/>
            <w:vMerge/>
          </w:tcPr>
          <w:p w:rsidR="003104C8" w:rsidRDefault="003104C8" w:rsidP="00CE2B19"/>
        </w:tc>
        <w:tc>
          <w:tcPr>
            <w:tcW w:w="3710" w:type="dxa"/>
          </w:tcPr>
          <w:p w:rsidR="003104C8" w:rsidRDefault="003104C8" w:rsidP="00CE2B19">
            <w:r>
              <w:t>Died</w:t>
            </w:r>
          </w:p>
        </w:tc>
        <w:tc>
          <w:tcPr>
            <w:tcW w:w="912" w:type="dxa"/>
          </w:tcPr>
          <w:p w:rsidR="003104C8" w:rsidRDefault="003104C8" w:rsidP="00CE2B19">
            <w:r>
              <w:t>4</w:t>
            </w:r>
          </w:p>
        </w:tc>
      </w:tr>
      <w:tr w:rsidR="003104C8" w:rsidTr="00CE2B19">
        <w:tc>
          <w:tcPr>
            <w:tcW w:w="3794" w:type="dxa"/>
            <w:vMerge/>
          </w:tcPr>
          <w:p w:rsidR="003104C8" w:rsidRDefault="003104C8" w:rsidP="00CE2B19"/>
        </w:tc>
        <w:tc>
          <w:tcPr>
            <w:tcW w:w="826" w:type="dxa"/>
            <w:vMerge/>
          </w:tcPr>
          <w:p w:rsidR="003104C8" w:rsidRDefault="003104C8" w:rsidP="00CE2B19"/>
        </w:tc>
        <w:tc>
          <w:tcPr>
            <w:tcW w:w="3710" w:type="dxa"/>
          </w:tcPr>
          <w:p w:rsidR="003104C8" w:rsidRDefault="003104C8" w:rsidP="00CE2B19">
            <w:r>
              <w:t>Other accommodation</w:t>
            </w:r>
          </w:p>
        </w:tc>
        <w:tc>
          <w:tcPr>
            <w:tcW w:w="912" w:type="dxa"/>
          </w:tcPr>
          <w:p w:rsidR="003104C8" w:rsidRDefault="003104C8" w:rsidP="00CE2B19">
            <w:r>
              <w:t>18</w:t>
            </w:r>
          </w:p>
        </w:tc>
      </w:tr>
      <w:tr w:rsidR="003104C8" w:rsidTr="00CE2B19">
        <w:tc>
          <w:tcPr>
            <w:tcW w:w="3794" w:type="dxa"/>
            <w:vMerge/>
          </w:tcPr>
          <w:p w:rsidR="003104C8" w:rsidRDefault="003104C8" w:rsidP="00CE2B19"/>
        </w:tc>
        <w:tc>
          <w:tcPr>
            <w:tcW w:w="826" w:type="dxa"/>
            <w:vMerge/>
          </w:tcPr>
          <w:p w:rsidR="003104C8" w:rsidRDefault="003104C8" w:rsidP="00CE2B19"/>
        </w:tc>
        <w:tc>
          <w:tcPr>
            <w:tcW w:w="3710" w:type="dxa"/>
          </w:tcPr>
          <w:p w:rsidR="003104C8" w:rsidRDefault="003104C8" w:rsidP="00CE2B19">
            <w:r>
              <w:t>Other – unplanned &amp; unknown</w:t>
            </w:r>
          </w:p>
        </w:tc>
        <w:tc>
          <w:tcPr>
            <w:tcW w:w="912" w:type="dxa"/>
          </w:tcPr>
          <w:p w:rsidR="003104C8" w:rsidRDefault="003104C8" w:rsidP="00CE2B19">
            <w:r>
              <w:t>40</w:t>
            </w:r>
          </w:p>
        </w:tc>
      </w:tr>
      <w:tr w:rsidR="003104C8" w:rsidRPr="00AA55F7" w:rsidTr="00CE2B19">
        <w:tc>
          <w:tcPr>
            <w:tcW w:w="3794" w:type="dxa"/>
          </w:tcPr>
          <w:p w:rsidR="003104C8" w:rsidRPr="00C90A08" w:rsidRDefault="00C90A08" w:rsidP="00CE2B19">
            <w:pPr>
              <w:rPr>
                <w:b/>
              </w:rPr>
            </w:pPr>
            <w:r w:rsidRPr="00C90A08">
              <w:rPr>
                <w:b/>
              </w:rPr>
              <w:t>Count</w:t>
            </w:r>
          </w:p>
        </w:tc>
        <w:tc>
          <w:tcPr>
            <w:tcW w:w="826" w:type="dxa"/>
          </w:tcPr>
          <w:p w:rsidR="003104C8" w:rsidRPr="00C90A08" w:rsidRDefault="003104C8" w:rsidP="00CE2B19">
            <w:pPr>
              <w:rPr>
                <w:b/>
              </w:rPr>
            </w:pPr>
            <w:r w:rsidRPr="00C90A08">
              <w:rPr>
                <w:b/>
              </w:rPr>
              <w:t>322</w:t>
            </w:r>
          </w:p>
        </w:tc>
        <w:tc>
          <w:tcPr>
            <w:tcW w:w="3710" w:type="dxa"/>
          </w:tcPr>
          <w:p w:rsidR="003104C8" w:rsidRPr="00C90A08" w:rsidRDefault="00C90A08" w:rsidP="00CE2B19">
            <w:pPr>
              <w:rPr>
                <w:b/>
              </w:rPr>
            </w:pPr>
            <w:r w:rsidRPr="00C90A08">
              <w:rPr>
                <w:b/>
              </w:rPr>
              <w:t>Count</w:t>
            </w:r>
          </w:p>
        </w:tc>
        <w:tc>
          <w:tcPr>
            <w:tcW w:w="912" w:type="dxa"/>
          </w:tcPr>
          <w:p w:rsidR="003104C8" w:rsidRPr="00AA55F7" w:rsidRDefault="003104C8" w:rsidP="00CE2B19">
            <w:pPr>
              <w:rPr>
                <w:b/>
              </w:rPr>
            </w:pPr>
            <w:r>
              <w:rPr>
                <w:b/>
              </w:rPr>
              <w:t>406</w:t>
            </w:r>
          </w:p>
        </w:tc>
      </w:tr>
      <w:tr w:rsidR="00C90A08" w:rsidRPr="00AA55F7" w:rsidTr="00CE2B19">
        <w:tc>
          <w:tcPr>
            <w:tcW w:w="3794" w:type="dxa"/>
          </w:tcPr>
          <w:p w:rsidR="00C90A08" w:rsidRPr="00C90A08" w:rsidRDefault="00C90A08" w:rsidP="00CE2B19">
            <w:pPr>
              <w:rPr>
                <w:b/>
              </w:rPr>
            </w:pPr>
            <w:r>
              <w:rPr>
                <w:b/>
              </w:rPr>
              <w:t>% of all outcomes</w:t>
            </w:r>
          </w:p>
        </w:tc>
        <w:tc>
          <w:tcPr>
            <w:tcW w:w="826" w:type="dxa"/>
          </w:tcPr>
          <w:p w:rsidR="00C90A08" w:rsidRPr="00C90A08" w:rsidRDefault="00C90A08" w:rsidP="00CE2B19">
            <w:pPr>
              <w:rPr>
                <w:b/>
              </w:rPr>
            </w:pPr>
            <w:r>
              <w:rPr>
                <w:b/>
              </w:rPr>
              <w:t>44%</w:t>
            </w:r>
          </w:p>
        </w:tc>
        <w:tc>
          <w:tcPr>
            <w:tcW w:w="3710" w:type="dxa"/>
          </w:tcPr>
          <w:p w:rsidR="00C90A08" w:rsidRPr="00C90A08" w:rsidRDefault="00C90A08" w:rsidP="00CE2B19">
            <w:pPr>
              <w:rPr>
                <w:b/>
              </w:rPr>
            </w:pPr>
            <w:r>
              <w:rPr>
                <w:b/>
              </w:rPr>
              <w:t>% of all outcomes</w:t>
            </w:r>
          </w:p>
        </w:tc>
        <w:tc>
          <w:tcPr>
            <w:tcW w:w="912" w:type="dxa"/>
          </w:tcPr>
          <w:p w:rsidR="00C90A08" w:rsidRDefault="00C90A08" w:rsidP="00CE2B19">
            <w:pPr>
              <w:rPr>
                <w:b/>
              </w:rPr>
            </w:pPr>
            <w:r>
              <w:rPr>
                <w:b/>
              </w:rPr>
              <w:t>56%</w:t>
            </w:r>
          </w:p>
        </w:tc>
      </w:tr>
    </w:tbl>
    <w:p w:rsidR="003104C8" w:rsidRDefault="003104C8" w:rsidP="008F6C27"/>
    <w:p w:rsidR="00C90A08" w:rsidRDefault="00C90A08" w:rsidP="00AB4D2D"/>
    <w:p w:rsidR="00AB4D2D" w:rsidRPr="00ED357C" w:rsidRDefault="00ED357C" w:rsidP="00AB4D2D">
      <w:r>
        <w:rPr>
          <w:b/>
        </w:rPr>
        <w:t>2.</w:t>
      </w:r>
      <w:r w:rsidRPr="00E96B9F">
        <w:rPr>
          <w:b/>
        </w:rPr>
        <w:t> “</w:t>
      </w:r>
      <w:r w:rsidR="00AB4D2D" w:rsidRPr="00E96B9F">
        <w:rPr>
          <w:b/>
        </w:rPr>
        <w:t>Move on is achieved for less than a quarter of people in supported accommodation”</w:t>
      </w:r>
      <w:r>
        <w:rPr>
          <w:b/>
        </w:rPr>
        <w:t xml:space="preserve"> </w:t>
      </w:r>
      <w:r>
        <w:t>(slide 75)</w:t>
      </w:r>
    </w:p>
    <w:p w:rsidR="0063398D" w:rsidRDefault="0063398D" w:rsidP="0063398D">
      <w:r>
        <w:t xml:space="preserve">This statement was made in relation to </w:t>
      </w:r>
      <w:r w:rsidR="00E96B9F">
        <w:t>information provided by Housing Aid for 2016/17.</w:t>
      </w:r>
    </w:p>
    <w:p w:rsidR="00795680" w:rsidRDefault="00795680" w:rsidP="00795680">
      <w:pPr>
        <w:pStyle w:val="ListParagraph"/>
        <w:numPr>
          <w:ilvl w:val="0"/>
          <w:numId w:val="4"/>
        </w:numPr>
      </w:pPr>
      <w:r>
        <w:t>“less than a quarter” i.e. 24% only related to second stage accommodation – we apologise</w:t>
      </w:r>
      <w:r w:rsidR="00ED357C">
        <w:t xml:space="preserve"> that this was not made clearer in the slides following the event.</w:t>
      </w:r>
    </w:p>
    <w:p w:rsidR="00F440C5" w:rsidRDefault="00F440C5" w:rsidP="00F440C5">
      <w:pPr>
        <w:pStyle w:val="ListParagraph"/>
      </w:pPr>
    </w:p>
    <w:p w:rsidR="00A35435" w:rsidRDefault="00A35435" w:rsidP="00A35435">
      <w:pPr>
        <w:pStyle w:val="ListParagraph"/>
        <w:numPr>
          <w:ilvl w:val="0"/>
          <w:numId w:val="4"/>
        </w:numPr>
      </w:pPr>
      <w:r>
        <w:t xml:space="preserve">The </w:t>
      </w:r>
      <w:r w:rsidR="00ED357C">
        <w:t xml:space="preserve">table </w:t>
      </w:r>
      <w:r>
        <w:t xml:space="preserve">below </w:t>
      </w:r>
      <w:r w:rsidR="00ED357C">
        <w:t xml:space="preserve">details what was included as ‘move on’ (i.e. a return to settled/sustainable accommodation) </w:t>
      </w:r>
      <w:r w:rsidR="00CA4DD7">
        <w:t>for those exiting the service</w:t>
      </w:r>
      <w:r>
        <w:t>.</w:t>
      </w:r>
      <w:r w:rsidR="00E96B9F">
        <w:t xml:space="preserve"> We accept </w:t>
      </w:r>
      <w:r w:rsidR="00ED357C">
        <w:t>that the limitations of the monitoring information collected can make it difficult to identify ‘positive’ move on. W</w:t>
      </w:r>
      <w:r w:rsidR="00E96B9F">
        <w:t>e have provided the raw data to give a clearer picture.</w:t>
      </w:r>
    </w:p>
    <w:p w:rsidR="00A35435" w:rsidRDefault="00A35435" w:rsidP="00A35435">
      <w:pPr>
        <w:pStyle w:val="ListParagraph"/>
      </w:pPr>
    </w:p>
    <w:p w:rsidR="00A35435" w:rsidRPr="00F440C5" w:rsidRDefault="00A35435" w:rsidP="00A35435">
      <w:pPr>
        <w:pStyle w:val="ListParagraph"/>
      </w:pPr>
    </w:p>
    <w:tbl>
      <w:tblPr>
        <w:tblStyle w:val="TableGrid"/>
        <w:tblW w:w="0" w:type="auto"/>
        <w:tblLook w:val="04A0" w:firstRow="1" w:lastRow="0" w:firstColumn="1" w:lastColumn="0" w:noHBand="0" w:noVBand="1"/>
      </w:tblPr>
      <w:tblGrid>
        <w:gridCol w:w="3794"/>
        <w:gridCol w:w="826"/>
        <w:gridCol w:w="3710"/>
        <w:gridCol w:w="912"/>
      </w:tblGrid>
      <w:tr w:rsidR="00F440C5" w:rsidTr="00AA55F7">
        <w:trPr>
          <w:trHeight w:val="311"/>
        </w:trPr>
        <w:tc>
          <w:tcPr>
            <w:tcW w:w="3794" w:type="dxa"/>
          </w:tcPr>
          <w:p w:rsidR="00A35435" w:rsidRPr="00A35435" w:rsidRDefault="00C90A08" w:rsidP="00F440C5">
            <w:pPr>
              <w:rPr>
                <w:b/>
              </w:rPr>
            </w:pPr>
            <w:r>
              <w:rPr>
                <w:b/>
              </w:rPr>
              <w:t>‘</w:t>
            </w:r>
            <w:r w:rsidR="00A35435" w:rsidRPr="00A35435">
              <w:rPr>
                <w:b/>
              </w:rPr>
              <w:t>Sustainable</w:t>
            </w:r>
            <w:r>
              <w:rPr>
                <w:b/>
              </w:rPr>
              <w:t>’</w:t>
            </w:r>
            <w:r w:rsidR="00A35435" w:rsidRPr="00A35435">
              <w:rPr>
                <w:b/>
              </w:rPr>
              <w:t xml:space="preserve"> outcome</w:t>
            </w:r>
            <w:r>
              <w:rPr>
                <w:b/>
              </w:rPr>
              <w:t>s</w:t>
            </w:r>
          </w:p>
        </w:tc>
        <w:tc>
          <w:tcPr>
            <w:tcW w:w="826" w:type="dxa"/>
          </w:tcPr>
          <w:p w:rsidR="00F440C5" w:rsidRPr="00A35435" w:rsidRDefault="00A35435" w:rsidP="00F440C5">
            <w:pPr>
              <w:rPr>
                <w:b/>
              </w:rPr>
            </w:pPr>
            <w:r w:rsidRPr="00A35435">
              <w:rPr>
                <w:b/>
              </w:rPr>
              <w:t>Total</w:t>
            </w:r>
          </w:p>
        </w:tc>
        <w:tc>
          <w:tcPr>
            <w:tcW w:w="3710" w:type="dxa"/>
          </w:tcPr>
          <w:p w:rsidR="00F440C5" w:rsidRPr="00A35435" w:rsidRDefault="00C90A08" w:rsidP="00F440C5">
            <w:pPr>
              <w:rPr>
                <w:b/>
              </w:rPr>
            </w:pPr>
            <w:r>
              <w:rPr>
                <w:b/>
              </w:rPr>
              <w:t>Other</w:t>
            </w:r>
            <w:r w:rsidR="00A35435" w:rsidRPr="00A35435">
              <w:rPr>
                <w:b/>
              </w:rPr>
              <w:t xml:space="preserve"> outcome</w:t>
            </w:r>
            <w:r>
              <w:rPr>
                <w:b/>
              </w:rPr>
              <w:t>s</w:t>
            </w:r>
          </w:p>
          <w:p w:rsidR="00A35435" w:rsidRPr="00A35435" w:rsidRDefault="00A35435" w:rsidP="00F440C5">
            <w:pPr>
              <w:rPr>
                <w:b/>
              </w:rPr>
            </w:pPr>
          </w:p>
        </w:tc>
        <w:tc>
          <w:tcPr>
            <w:tcW w:w="912" w:type="dxa"/>
          </w:tcPr>
          <w:p w:rsidR="00F440C5" w:rsidRPr="00A35435" w:rsidRDefault="00A35435" w:rsidP="00F440C5">
            <w:pPr>
              <w:rPr>
                <w:b/>
              </w:rPr>
            </w:pPr>
            <w:r w:rsidRPr="00A35435">
              <w:rPr>
                <w:b/>
              </w:rPr>
              <w:t>Total</w:t>
            </w:r>
          </w:p>
        </w:tc>
      </w:tr>
      <w:tr w:rsidR="00F440C5" w:rsidTr="00A35435">
        <w:tc>
          <w:tcPr>
            <w:tcW w:w="3794" w:type="dxa"/>
          </w:tcPr>
          <w:p w:rsidR="00F440C5" w:rsidRDefault="00A35435" w:rsidP="00F440C5">
            <w:r>
              <w:t>Rehoused - NCH</w:t>
            </w:r>
          </w:p>
        </w:tc>
        <w:tc>
          <w:tcPr>
            <w:tcW w:w="826" w:type="dxa"/>
          </w:tcPr>
          <w:p w:rsidR="00F440C5" w:rsidRDefault="00A35435" w:rsidP="00F440C5">
            <w:r>
              <w:t>17</w:t>
            </w:r>
          </w:p>
        </w:tc>
        <w:tc>
          <w:tcPr>
            <w:tcW w:w="3710" w:type="dxa"/>
          </w:tcPr>
          <w:p w:rsidR="00F440C5" w:rsidRDefault="00A35435" w:rsidP="00F440C5">
            <w:r>
              <w:t>Abandoned</w:t>
            </w:r>
          </w:p>
        </w:tc>
        <w:tc>
          <w:tcPr>
            <w:tcW w:w="912" w:type="dxa"/>
          </w:tcPr>
          <w:p w:rsidR="00F440C5" w:rsidRDefault="00A35435" w:rsidP="00F440C5">
            <w:r>
              <w:t>11</w:t>
            </w:r>
          </w:p>
        </w:tc>
      </w:tr>
      <w:tr w:rsidR="00F440C5" w:rsidTr="00A35435">
        <w:tc>
          <w:tcPr>
            <w:tcW w:w="3794" w:type="dxa"/>
          </w:tcPr>
          <w:p w:rsidR="00F440C5" w:rsidRDefault="00A35435" w:rsidP="00F440C5">
            <w:r>
              <w:t>Rehoused – Private Rented</w:t>
            </w:r>
          </w:p>
        </w:tc>
        <w:tc>
          <w:tcPr>
            <w:tcW w:w="826" w:type="dxa"/>
          </w:tcPr>
          <w:p w:rsidR="00F440C5" w:rsidRDefault="00A35435" w:rsidP="00F440C5">
            <w:r>
              <w:t>17</w:t>
            </w:r>
          </w:p>
        </w:tc>
        <w:tc>
          <w:tcPr>
            <w:tcW w:w="3710" w:type="dxa"/>
          </w:tcPr>
          <w:p w:rsidR="00F440C5" w:rsidRDefault="00A35435" w:rsidP="00F440C5">
            <w:r>
              <w:t>Direct Access Transfer</w:t>
            </w:r>
          </w:p>
        </w:tc>
        <w:tc>
          <w:tcPr>
            <w:tcW w:w="912" w:type="dxa"/>
          </w:tcPr>
          <w:p w:rsidR="00F440C5" w:rsidRDefault="00A35435" w:rsidP="00F440C5">
            <w:r>
              <w:t>2</w:t>
            </w:r>
          </w:p>
        </w:tc>
      </w:tr>
      <w:tr w:rsidR="00F440C5" w:rsidTr="00A35435">
        <w:tc>
          <w:tcPr>
            <w:tcW w:w="3794" w:type="dxa"/>
          </w:tcPr>
          <w:p w:rsidR="00F440C5" w:rsidRDefault="00A35435" w:rsidP="00F440C5">
            <w:r>
              <w:t>Rehoused – Registered Social Landlord</w:t>
            </w:r>
          </w:p>
        </w:tc>
        <w:tc>
          <w:tcPr>
            <w:tcW w:w="826" w:type="dxa"/>
          </w:tcPr>
          <w:p w:rsidR="00F440C5" w:rsidRDefault="00A35435" w:rsidP="00F440C5">
            <w:r>
              <w:t>2</w:t>
            </w:r>
          </w:p>
        </w:tc>
        <w:tc>
          <w:tcPr>
            <w:tcW w:w="3710" w:type="dxa"/>
          </w:tcPr>
          <w:p w:rsidR="00F440C5" w:rsidRDefault="00A35435" w:rsidP="00F440C5">
            <w:r>
              <w:t>Eviction</w:t>
            </w:r>
          </w:p>
        </w:tc>
        <w:tc>
          <w:tcPr>
            <w:tcW w:w="912" w:type="dxa"/>
          </w:tcPr>
          <w:p w:rsidR="00F440C5" w:rsidRDefault="00A35435" w:rsidP="00F440C5">
            <w:r>
              <w:t>30</w:t>
            </w:r>
          </w:p>
        </w:tc>
      </w:tr>
      <w:tr w:rsidR="00F440C5" w:rsidTr="00A35435">
        <w:tc>
          <w:tcPr>
            <w:tcW w:w="3794" w:type="dxa"/>
          </w:tcPr>
          <w:p w:rsidR="00F440C5" w:rsidRDefault="00A35435" w:rsidP="00F440C5">
            <w:r>
              <w:t>Rehoused – Out of City</w:t>
            </w:r>
          </w:p>
        </w:tc>
        <w:tc>
          <w:tcPr>
            <w:tcW w:w="826" w:type="dxa"/>
          </w:tcPr>
          <w:p w:rsidR="00F440C5" w:rsidRDefault="00A35435" w:rsidP="00F440C5">
            <w:r>
              <w:t>2</w:t>
            </w:r>
          </w:p>
        </w:tc>
        <w:tc>
          <w:tcPr>
            <w:tcW w:w="3710" w:type="dxa"/>
          </w:tcPr>
          <w:p w:rsidR="00F440C5" w:rsidRDefault="00A35435" w:rsidP="00F440C5">
            <w:r>
              <w:t>Internal Transfer</w:t>
            </w:r>
          </w:p>
        </w:tc>
        <w:tc>
          <w:tcPr>
            <w:tcW w:w="912" w:type="dxa"/>
          </w:tcPr>
          <w:p w:rsidR="00F440C5" w:rsidRDefault="00A35435" w:rsidP="00F440C5">
            <w:r>
              <w:t>29</w:t>
            </w:r>
          </w:p>
        </w:tc>
      </w:tr>
      <w:tr w:rsidR="00F440C5" w:rsidTr="00A35435">
        <w:tc>
          <w:tcPr>
            <w:tcW w:w="3794" w:type="dxa"/>
          </w:tcPr>
          <w:p w:rsidR="00F440C5" w:rsidRDefault="00A35435" w:rsidP="00F440C5">
            <w:r>
              <w:t>Returned home</w:t>
            </w:r>
          </w:p>
        </w:tc>
        <w:tc>
          <w:tcPr>
            <w:tcW w:w="826" w:type="dxa"/>
          </w:tcPr>
          <w:p w:rsidR="00F440C5" w:rsidRDefault="00A35435" w:rsidP="00F440C5">
            <w:r>
              <w:t>4</w:t>
            </w:r>
          </w:p>
        </w:tc>
        <w:tc>
          <w:tcPr>
            <w:tcW w:w="3710" w:type="dxa"/>
          </w:tcPr>
          <w:p w:rsidR="00F440C5" w:rsidRDefault="00A35435" w:rsidP="00F440C5">
            <w:r>
              <w:t>Referred to a specialist</w:t>
            </w:r>
          </w:p>
        </w:tc>
        <w:tc>
          <w:tcPr>
            <w:tcW w:w="912" w:type="dxa"/>
          </w:tcPr>
          <w:p w:rsidR="00F440C5" w:rsidRDefault="00A35435" w:rsidP="00F440C5">
            <w:r>
              <w:t>13</w:t>
            </w:r>
          </w:p>
        </w:tc>
      </w:tr>
      <w:tr w:rsidR="00AA55F7" w:rsidTr="00AA55F7">
        <w:tc>
          <w:tcPr>
            <w:tcW w:w="3794" w:type="dxa"/>
            <w:vMerge w:val="restart"/>
          </w:tcPr>
          <w:p w:rsidR="00AA55F7" w:rsidRDefault="00AA55F7" w:rsidP="00F440C5"/>
        </w:tc>
        <w:tc>
          <w:tcPr>
            <w:tcW w:w="826" w:type="dxa"/>
            <w:vMerge w:val="restart"/>
          </w:tcPr>
          <w:p w:rsidR="00AA55F7" w:rsidRDefault="00AA55F7" w:rsidP="00F440C5"/>
        </w:tc>
        <w:tc>
          <w:tcPr>
            <w:tcW w:w="3710" w:type="dxa"/>
          </w:tcPr>
          <w:p w:rsidR="00AA55F7" w:rsidRDefault="00AA55F7" w:rsidP="00F440C5">
            <w:r>
              <w:t>Went to stay with family and friends</w:t>
            </w:r>
          </w:p>
        </w:tc>
        <w:tc>
          <w:tcPr>
            <w:tcW w:w="912" w:type="dxa"/>
          </w:tcPr>
          <w:p w:rsidR="00AA55F7" w:rsidRDefault="00AA55F7" w:rsidP="00F440C5">
            <w:r>
              <w:t>13</w:t>
            </w:r>
          </w:p>
        </w:tc>
      </w:tr>
      <w:tr w:rsidR="00AA55F7" w:rsidTr="00AA55F7">
        <w:tc>
          <w:tcPr>
            <w:tcW w:w="3794" w:type="dxa"/>
            <w:vMerge/>
          </w:tcPr>
          <w:p w:rsidR="00AA55F7" w:rsidRDefault="00AA55F7" w:rsidP="00F440C5"/>
        </w:tc>
        <w:tc>
          <w:tcPr>
            <w:tcW w:w="826" w:type="dxa"/>
            <w:vMerge/>
          </w:tcPr>
          <w:p w:rsidR="00AA55F7" w:rsidRDefault="00AA55F7" w:rsidP="00F440C5"/>
        </w:tc>
        <w:tc>
          <w:tcPr>
            <w:tcW w:w="3710" w:type="dxa"/>
          </w:tcPr>
          <w:p w:rsidR="00AA55F7" w:rsidRDefault="00AA55F7" w:rsidP="00F440C5">
            <w:r>
              <w:t>Went into detox</w:t>
            </w:r>
          </w:p>
        </w:tc>
        <w:tc>
          <w:tcPr>
            <w:tcW w:w="912" w:type="dxa"/>
          </w:tcPr>
          <w:p w:rsidR="00AA55F7" w:rsidRDefault="00AA55F7" w:rsidP="00F440C5">
            <w:r>
              <w:t>1</w:t>
            </w:r>
          </w:p>
        </w:tc>
      </w:tr>
      <w:tr w:rsidR="00AA55F7" w:rsidTr="00AA55F7">
        <w:tc>
          <w:tcPr>
            <w:tcW w:w="3794" w:type="dxa"/>
            <w:vMerge/>
          </w:tcPr>
          <w:p w:rsidR="00AA55F7" w:rsidRDefault="00AA55F7" w:rsidP="00F440C5"/>
        </w:tc>
        <w:tc>
          <w:tcPr>
            <w:tcW w:w="826" w:type="dxa"/>
            <w:vMerge/>
          </w:tcPr>
          <w:p w:rsidR="00AA55F7" w:rsidRDefault="00AA55F7" w:rsidP="00F440C5"/>
        </w:tc>
        <w:tc>
          <w:tcPr>
            <w:tcW w:w="3710" w:type="dxa"/>
          </w:tcPr>
          <w:p w:rsidR="00AA55F7" w:rsidRDefault="00AA55F7" w:rsidP="00F440C5">
            <w:r>
              <w:t>Residential home</w:t>
            </w:r>
          </w:p>
        </w:tc>
        <w:tc>
          <w:tcPr>
            <w:tcW w:w="912" w:type="dxa"/>
          </w:tcPr>
          <w:p w:rsidR="00AA55F7" w:rsidRDefault="00AA55F7" w:rsidP="00F440C5">
            <w:r>
              <w:t>1</w:t>
            </w:r>
          </w:p>
        </w:tc>
      </w:tr>
      <w:tr w:rsidR="00AA55F7" w:rsidTr="00AA55F7">
        <w:tc>
          <w:tcPr>
            <w:tcW w:w="3794" w:type="dxa"/>
            <w:vMerge/>
          </w:tcPr>
          <w:p w:rsidR="00AA55F7" w:rsidRDefault="00AA55F7" w:rsidP="00F440C5"/>
        </w:tc>
        <w:tc>
          <w:tcPr>
            <w:tcW w:w="826" w:type="dxa"/>
            <w:vMerge/>
          </w:tcPr>
          <w:p w:rsidR="00AA55F7" w:rsidRDefault="00AA55F7" w:rsidP="00F440C5"/>
        </w:tc>
        <w:tc>
          <w:tcPr>
            <w:tcW w:w="3710" w:type="dxa"/>
          </w:tcPr>
          <w:p w:rsidR="00AA55F7" w:rsidRDefault="00AA55F7" w:rsidP="00F440C5">
            <w:r>
              <w:t xml:space="preserve">Other </w:t>
            </w:r>
          </w:p>
        </w:tc>
        <w:tc>
          <w:tcPr>
            <w:tcW w:w="912" w:type="dxa"/>
          </w:tcPr>
          <w:p w:rsidR="00AA55F7" w:rsidRDefault="00AA55F7" w:rsidP="00F440C5">
            <w:r>
              <w:t>29</w:t>
            </w:r>
          </w:p>
        </w:tc>
      </w:tr>
      <w:tr w:rsidR="00AA55F7" w:rsidTr="00AA55F7">
        <w:tc>
          <w:tcPr>
            <w:tcW w:w="3794" w:type="dxa"/>
            <w:vMerge/>
          </w:tcPr>
          <w:p w:rsidR="00AA55F7" w:rsidRDefault="00AA55F7" w:rsidP="00F440C5"/>
        </w:tc>
        <w:tc>
          <w:tcPr>
            <w:tcW w:w="826" w:type="dxa"/>
            <w:vMerge/>
          </w:tcPr>
          <w:p w:rsidR="00AA55F7" w:rsidRDefault="00AA55F7" w:rsidP="00F440C5"/>
        </w:tc>
        <w:tc>
          <w:tcPr>
            <w:tcW w:w="3710" w:type="dxa"/>
          </w:tcPr>
          <w:p w:rsidR="00AA55F7" w:rsidRDefault="00AA55F7" w:rsidP="00F440C5">
            <w:r>
              <w:t>Blank</w:t>
            </w:r>
          </w:p>
        </w:tc>
        <w:tc>
          <w:tcPr>
            <w:tcW w:w="912" w:type="dxa"/>
          </w:tcPr>
          <w:p w:rsidR="00AA55F7" w:rsidRDefault="00AA55F7" w:rsidP="00F440C5">
            <w:r>
              <w:t>6</w:t>
            </w:r>
          </w:p>
        </w:tc>
      </w:tr>
      <w:tr w:rsidR="00A35435" w:rsidTr="00A35435">
        <w:tc>
          <w:tcPr>
            <w:tcW w:w="3794" w:type="dxa"/>
          </w:tcPr>
          <w:p w:rsidR="00A35435" w:rsidRPr="0020580B" w:rsidRDefault="00C90A08" w:rsidP="00F440C5">
            <w:pPr>
              <w:rPr>
                <w:b/>
              </w:rPr>
            </w:pPr>
            <w:r w:rsidRPr="0020580B">
              <w:rPr>
                <w:b/>
              </w:rPr>
              <w:t>Count</w:t>
            </w:r>
          </w:p>
        </w:tc>
        <w:tc>
          <w:tcPr>
            <w:tcW w:w="826" w:type="dxa"/>
          </w:tcPr>
          <w:p w:rsidR="00A35435" w:rsidRPr="0020580B" w:rsidRDefault="00A35435" w:rsidP="00F440C5">
            <w:pPr>
              <w:rPr>
                <w:b/>
              </w:rPr>
            </w:pPr>
            <w:r w:rsidRPr="0020580B">
              <w:rPr>
                <w:b/>
              </w:rPr>
              <w:t>42</w:t>
            </w:r>
          </w:p>
        </w:tc>
        <w:tc>
          <w:tcPr>
            <w:tcW w:w="3710" w:type="dxa"/>
          </w:tcPr>
          <w:p w:rsidR="00A35435" w:rsidRPr="0020580B" w:rsidRDefault="00C90A08" w:rsidP="00F440C5">
            <w:pPr>
              <w:rPr>
                <w:b/>
              </w:rPr>
            </w:pPr>
            <w:r w:rsidRPr="0020580B">
              <w:rPr>
                <w:b/>
              </w:rPr>
              <w:t>Count</w:t>
            </w:r>
          </w:p>
        </w:tc>
        <w:tc>
          <w:tcPr>
            <w:tcW w:w="912" w:type="dxa"/>
          </w:tcPr>
          <w:p w:rsidR="00A35435" w:rsidRPr="00AA55F7" w:rsidRDefault="00AB4D2D" w:rsidP="00F440C5">
            <w:pPr>
              <w:rPr>
                <w:b/>
              </w:rPr>
            </w:pPr>
            <w:r w:rsidRPr="00AA55F7">
              <w:rPr>
                <w:b/>
              </w:rPr>
              <w:t>135</w:t>
            </w:r>
          </w:p>
        </w:tc>
      </w:tr>
      <w:tr w:rsidR="00C90A08" w:rsidTr="00A35435">
        <w:tc>
          <w:tcPr>
            <w:tcW w:w="3794" w:type="dxa"/>
          </w:tcPr>
          <w:p w:rsidR="00C90A08" w:rsidRPr="0020580B" w:rsidRDefault="00C90A08" w:rsidP="00F440C5">
            <w:pPr>
              <w:rPr>
                <w:b/>
              </w:rPr>
            </w:pPr>
            <w:r w:rsidRPr="0020580B">
              <w:rPr>
                <w:b/>
              </w:rPr>
              <w:t>% of all outcomes</w:t>
            </w:r>
          </w:p>
        </w:tc>
        <w:tc>
          <w:tcPr>
            <w:tcW w:w="826" w:type="dxa"/>
          </w:tcPr>
          <w:p w:rsidR="00C90A08" w:rsidRPr="0020580B" w:rsidRDefault="0020580B" w:rsidP="00F440C5">
            <w:pPr>
              <w:rPr>
                <w:b/>
              </w:rPr>
            </w:pPr>
            <w:r w:rsidRPr="0020580B">
              <w:rPr>
                <w:b/>
              </w:rPr>
              <w:t>24%</w:t>
            </w:r>
          </w:p>
        </w:tc>
        <w:tc>
          <w:tcPr>
            <w:tcW w:w="3710" w:type="dxa"/>
          </w:tcPr>
          <w:p w:rsidR="00C90A08" w:rsidRPr="0020580B" w:rsidRDefault="0020580B" w:rsidP="00F440C5">
            <w:pPr>
              <w:rPr>
                <w:b/>
              </w:rPr>
            </w:pPr>
            <w:r w:rsidRPr="0020580B">
              <w:rPr>
                <w:b/>
              </w:rPr>
              <w:t>% of all outcomes</w:t>
            </w:r>
          </w:p>
        </w:tc>
        <w:tc>
          <w:tcPr>
            <w:tcW w:w="912" w:type="dxa"/>
          </w:tcPr>
          <w:p w:rsidR="00C90A08" w:rsidRPr="00AA55F7" w:rsidRDefault="0020580B" w:rsidP="00F440C5">
            <w:pPr>
              <w:rPr>
                <w:b/>
              </w:rPr>
            </w:pPr>
            <w:r>
              <w:rPr>
                <w:b/>
              </w:rPr>
              <w:t>76%</w:t>
            </w:r>
          </w:p>
        </w:tc>
      </w:tr>
    </w:tbl>
    <w:p w:rsidR="00AB4D2D" w:rsidRPr="0063398D" w:rsidRDefault="00AB4D2D" w:rsidP="00ED357C"/>
    <w:sectPr w:rsidR="00AB4D2D" w:rsidRPr="0063398D" w:rsidSect="00FD2949">
      <w:pgSz w:w="11906" w:h="16838"/>
      <w:pgMar w:top="113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87437"/>
    <w:multiLevelType w:val="hybridMultilevel"/>
    <w:tmpl w:val="64EC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C496F"/>
    <w:multiLevelType w:val="hybridMultilevel"/>
    <w:tmpl w:val="7B9A22B0"/>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3D168FD"/>
    <w:multiLevelType w:val="hybridMultilevel"/>
    <w:tmpl w:val="0996FD0A"/>
    <w:lvl w:ilvl="0" w:tplc="9AFA15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3612C"/>
    <w:multiLevelType w:val="hybridMultilevel"/>
    <w:tmpl w:val="49FA6980"/>
    <w:lvl w:ilvl="0" w:tplc="9AFA15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80121"/>
    <w:multiLevelType w:val="hybridMultilevel"/>
    <w:tmpl w:val="E96698F4"/>
    <w:lvl w:ilvl="0" w:tplc="9AFA15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9078E"/>
    <w:multiLevelType w:val="hybridMultilevel"/>
    <w:tmpl w:val="052A9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835D7"/>
    <w:multiLevelType w:val="hybridMultilevel"/>
    <w:tmpl w:val="554A76D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7" w15:restartNumberingAfterBreak="0">
    <w:nsid w:val="586A1B18"/>
    <w:multiLevelType w:val="hybridMultilevel"/>
    <w:tmpl w:val="3056B7D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5D030373"/>
    <w:multiLevelType w:val="hybridMultilevel"/>
    <w:tmpl w:val="1080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64A74"/>
    <w:multiLevelType w:val="hybridMultilevel"/>
    <w:tmpl w:val="2918FAE6"/>
    <w:lvl w:ilvl="0" w:tplc="9AFA15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5"/>
  </w:num>
  <w:num w:numId="4">
    <w:abstractNumId w:val="1"/>
  </w:num>
  <w:num w:numId="5">
    <w:abstractNumId w:val="9"/>
  </w:num>
  <w:num w:numId="6">
    <w:abstractNumId w:val="4"/>
  </w:num>
  <w:num w:numId="7">
    <w:abstractNumId w:val="2"/>
  </w:num>
  <w:num w:numId="8">
    <w:abstractNumId w:val="3"/>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04"/>
    <w:rsid w:val="000C3AB6"/>
    <w:rsid w:val="00184C25"/>
    <w:rsid w:val="0020580B"/>
    <w:rsid w:val="002C7EB9"/>
    <w:rsid w:val="003104C8"/>
    <w:rsid w:val="00375D74"/>
    <w:rsid w:val="004D156C"/>
    <w:rsid w:val="005953DB"/>
    <w:rsid w:val="0063398D"/>
    <w:rsid w:val="006D4604"/>
    <w:rsid w:val="00795680"/>
    <w:rsid w:val="008F1666"/>
    <w:rsid w:val="008F17CA"/>
    <w:rsid w:val="008F6C27"/>
    <w:rsid w:val="00A35435"/>
    <w:rsid w:val="00AA55F7"/>
    <w:rsid w:val="00AB4D2D"/>
    <w:rsid w:val="00AE1A2E"/>
    <w:rsid w:val="00C61DB1"/>
    <w:rsid w:val="00C90A08"/>
    <w:rsid w:val="00CA4DD7"/>
    <w:rsid w:val="00E96B9F"/>
    <w:rsid w:val="00ED357C"/>
    <w:rsid w:val="00EF417C"/>
    <w:rsid w:val="00F440C5"/>
    <w:rsid w:val="00F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F5CDB-5949-42E3-A345-8F5C392B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604"/>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633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8D"/>
    <w:rPr>
      <w:rFonts w:ascii="Tahoma" w:hAnsi="Tahoma" w:cs="Tahoma"/>
      <w:sz w:val="16"/>
      <w:szCs w:val="16"/>
    </w:rPr>
  </w:style>
  <w:style w:type="table" w:styleId="TableGrid">
    <w:name w:val="Table Grid"/>
    <w:basedOn w:val="TableNormal"/>
    <w:uiPriority w:val="59"/>
    <w:rsid w:val="00F4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Small</dc:creator>
  <cp:lastModifiedBy>Glenys Townsend</cp:lastModifiedBy>
  <cp:revision>13</cp:revision>
  <dcterms:created xsi:type="dcterms:W3CDTF">2017-08-21T08:11:00Z</dcterms:created>
  <dcterms:modified xsi:type="dcterms:W3CDTF">2017-09-11T10:32:00Z</dcterms:modified>
</cp:coreProperties>
</file>