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2F117" w14:textId="448899DF" w:rsidR="007B7B3B" w:rsidRDefault="00881556" w:rsidP="00881556">
      <w:pPr>
        <w:jc w:val="center"/>
      </w:pPr>
      <w:r>
        <w:rPr>
          <w:noProof/>
        </w:rPr>
        <w:drawing>
          <wp:inline distT="0" distB="0" distL="0" distR="0" wp14:anchorId="4783E983" wp14:editId="489D433B">
            <wp:extent cx="1080135" cy="1276350"/>
            <wp:effectExtent l="0" t="0" r="5715"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0656" cy="1276966"/>
                    </a:xfrm>
                    <a:prstGeom prst="rect">
                      <a:avLst/>
                    </a:prstGeom>
                  </pic:spPr>
                </pic:pic>
              </a:graphicData>
            </a:graphic>
          </wp:inline>
        </w:drawing>
      </w:r>
    </w:p>
    <w:p w14:paraId="11ADA97C" w14:textId="28A70EEB" w:rsidR="0060666A" w:rsidRDefault="0060666A" w:rsidP="0060666A">
      <w:pPr>
        <w:jc w:val="center"/>
        <w:rPr>
          <w:b/>
          <w:bCs/>
          <w:sz w:val="24"/>
          <w:szCs w:val="24"/>
        </w:rPr>
      </w:pPr>
      <w:r w:rsidRPr="0060666A">
        <w:rPr>
          <w:b/>
          <w:bCs/>
          <w:sz w:val="36"/>
          <w:szCs w:val="36"/>
        </w:rPr>
        <w:t>Learning Briefing</w:t>
      </w:r>
    </w:p>
    <w:tbl>
      <w:tblPr>
        <w:tblStyle w:val="TableGrid"/>
        <w:tblW w:w="14502" w:type="dxa"/>
        <w:tblLook w:val="04A0" w:firstRow="1" w:lastRow="0" w:firstColumn="1" w:lastColumn="0" w:noHBand="0" w:noVBand="1"/>
      </w:tblPr>
      <w:tblGrid>
        <w:gridCol w:w="7251"/>
        <w:gridCol w:w="7251"/>
      </w:tblGrid>
      <w:tr w:rsidR="0060666A" w14:paraId="7B920DA5" w14:textId="77777777" w:rsidTr="007C47C9">
        <w:trPr>
          <w:trHeight w:val="4759"/>
        </w:trPr>
        <w:tc>
          <w:tcPr>
            <w:tcW w:w="7251" w:type="dxa"/>
            <w:shd w:val="clear" w:color="auto" w:fill="FFD966" w:themeFill="accent4" w:themeFillTint="99"/>
          </w:tcPr>
          <w:p w14:paraId="29A466A7" w14:textId="77777777" w:rsidR="0060666A" w:rsidRDefault="006503BF" w:rsidP="0060666A">
            <w:pPr>
              <w:rPr>
                <w:b/>
                <w:bCs/>
                <w:sz w:val="24"/>
                <w:szCs w:val="24"/>
                <w:u w:val="single"/>
              </w:rPr>
            </w:pPr>
            <w:r w:rsidRPr="006503BF">
              <w:rPr>
                <w:b/>
                <w:bCs/>
                <w:sz w:val="24"/>
                <w:szCs w:val="24"/>
                <w:u w:val="single"/>
              </w:rPr>
              <w:t>Circumstances</w:t>
            </w:r>
          </w:p>
          <w:p w14:paraId="59B80D33" w14:textId="58ABD602" w:rsidR="00B2750B" w:rsidRPr="00B2750B" w:rsidRDefault="00B2750B" w:rsidP="00B2750B">
            <w:pPr>
              <w:rPr>
                <w:sz w:val="24"/>
                <w:szCs w:val="24"/>
              </w:rPr>
            </w:pPr>
            <w:r w:rsidRPr="00B2750B">
              <w:rPr>
                <w:sz w:val="24"/>
                <w:szCs w:val="24"/>
              </w:rPr>
              <w:t>Lisa was a teenage girl who lived in Nottingham with her mother. Lisa had Down’s Syndrome and severe intellectual disability. She was entirely dependent on her mother for her basic care and survival.</w:t>
            </w:r>
            <w:r w:rsidRPr="00B2750B">
              <w:rPr>
                <w:sz w:val="24"/>
                <w:szCs w:val="24"/>
              </w:rPr>
              <w:br/>
              <w:t xml:space="preserve">On 2 February 2024, Mother made a </w:t>
            </w:r>
            <w:proofErr w:type="gramStart"/>
            <w:r w:rsidRPr="00B2750B">
              <w:rPr>
                <w:sz w:val="24"/>
                <w:szCs w:val="24"/>
              </w:rPr>
              <w:t>999 call</w:t>
            </w:r>
            <w:proofErr w:type="gramEnd"/>
            <w:r w:rsidRPr="00B2750B">
              <w:rPr>
                <w:sz w:val="24"/>
                <w:szCs w:val="24"/>
              </w:rPr>
              <w:t xml:space="preserve"> stating she was cold and unable to move. No ambulance was dispatched. It is believed Mother died shortly after. Lisa, unable to care for herself, likely died weeks later from malnutrition and dehydration. Their bodies were discovered on 21 May 2024 after a concerned neighbour contacted the police.</w:t>
            </w:r>
            <w:r w:rsidRPr="00B2750B">
              <w:rPr>
                <w:sz w:val="24"/>
                <w:szCs w:val="24"/>
              </w:rPr>
              <w:br/>
              <w:t>Despite being known to multiple agencies and having been on a Child Protection Plan for neglect, Lisa was rarely seen or spoken to by professionals. Her mother had a long history of non-engagement with services, and professionals struggled to gain access to the home or understand the family’s lived experience.</w:t>
            </w:r>
          </w:p>
          <w:p w14:paraId="64393455" w14:textId="490380E9" w:rsidR="00B2750B" w:rsidRPr="006503BF" w:rsidRDefault="00B2750B" w:rsidP="0060666A">
            <w:pPr>
              <w:rPr>
                <w:b/>
                <w:bCs/>
                <w:sz w:val="24"/>
                <w:szCs w:val="24"/>
                <w:u w:val="single"/>
              </w:rPr>
            </w:pPr>
          </w:p>
        </w:tc>
        <w:tc>
          <w:tcPr>
            <w:tcW w:w="7251" w:type="dxa"/>
            <w:vMerge w:val="restart"/>
            <w:shd w:val="clear" w:color="auto" w:fill="FFE599" w:themeFill="accent4" w:themeFillTint="66"/>
          </w:tcPr>
          <w:p w14:paraId="09597622" w14:textId="77777777" w:rsidR="0060666A" w:rsidRDefault="006503BF" w:rsidP="0060666A">
            <w:pPr>
              <w:rPr>
                <w:b/>
                <w:bCs/>
                <w:sz w:val="24"/>
                <w:szCs w:val="24"/>
                <w:u w:val="single"/>
              </w:rPr>
            </w:pPr>
            <w:r w:rsidRPr="006503BF">
              <w:rPr>
                <w:b/>
                <w:bCs/>
                <w:sz w:val="24"/>
                <w:szCs w:val="24"/>
                <w:u w:val="single"/>
              </w:rPr>
              <w:t>Partnership Learning Points</w:t>
            </w:r>
          </w:p>
          <w:p w14:paraId="50BF2547" w14:textId="77777777" w:rsidR="00B2750B" w:rsidRPr="00B2750B" w:rsidRDefault="00B2750B" w:rsidP="00B2750B">
            <w:pPr>
              <w:pStyle w:val="ListParagraph"/>
              <w:numPr>
                <w:ilvl w:val="0"/>
                <w:numId w:val="1"/>
              </w:numPr>
              <w:rPr>
                <w:rFonts w:cstheme="minorHAnsi"/>
                <w:sz w:val="24"/>
                <w:szCs w:val="24"/>
              </w:rPr>
            </w:pPr>
            <w:r w:rsidRPr="00B2750B">
              <w:rPr>
                <w:rFonts w:cstheme="minorHAnsi"/>
                <w:sz w:val="24"/>
                <w:szCs w:val="24"/>
              </w:rPr>
              <w:t>Non-engagement procedures across the partnership were not robust.</w:t>
            </w:r>
          </w:p>
          <w:p w14:paraId="5005F48D" w14:textId="77777777" w:rsidR="00B2750B" w:rsidRPr="00B2750B" w:rsidRDefault="00B2750B" w:rsidP="00B2750B">
            <w:pPr>
              <w:pStyle w:val="ListParagraph"/>
              <w:numPr>
                <w:ilvl w:val="0"/>
                <w:numId w:val="1"/>
              </w:numPr>
              <w:rPr>
                <w:rFonts w:cstheme="minorHAnsi"/>
                <w:sz w:val="24"/>
                <w:szCs w:val="24"/>
              </w:rPr>
            </w:pPr>
            <w:r w:rsidRPr="00B2750B">
              <w:rPr>
                <w:rFonts w:cstheme="minorHAnsi"/>
                <w:sz w:val="24"/>
                <w:szCs w:val="24"/>
              </w:rPr>
              <w:t>Professional curiosity and tenacity were lacking; Mother’s reasons for disengagement were never explored.</w:t>
            </w:r>
          </w:p>
          <w:p w14:paraId="0F83A44F" w14:textId="77777777" w:rsidR="00B2750B" w:rsidRPr="00B2750B" w:rsidRDefault="00B2750B" w:rsidP="00B2750B">
            <w:pPr>
              <w:pStyle w:val="ListParagraph"/>
              <w:numPr>
                <w:ilvl w:val="0"/>
                <w:numId w:val="1"/>
              </w:numPr>
              <w:rPr>
                <w:rFonts w:cstheme="minorHAnsi"/>
                <w:sz w:val="24"/>
                <w:szCs w:val="24"/>
              </w:rPr>
            </w:pPr>
            <w:r w:rsidRPr="00B2750B">
              <w:rPr>
                <w:rFonts w:cstheme="minorHAnsi"/>
                <w:sz w:val="24"/>
                <w:szCs w:val="24"/>
              </w:rPr>
              <w:t>Insufficient multi-agency information sharing, especially between health and social care.</w:t>
            </w:r>
          </w:p>
          <w:p w14:paraId="4843316E" w14:textId="77777777" w:rsidR="00B2750B" w:rsidRPr="00B2750B" w:rsidRDefault="00B2750B" w:rsidP="00B2750B">
            <w:pPr>
              <w:pStyle w:val="ListParagraph"/>
              <w:numPr>
                <w:ilvl w:val="0"/>
                <w:numId w:val="1"/>
              </w:numPr>
              <w:rPr>
                <w:rFonts w:cstheme="minorHAnsi"/>
                <w:sz w:val="24"/>
                <w:szCs w:val="24"/>
              </w:rPr>
            </w:pPr>
            <w:r w:rsidRPr="00B2750B">
              <w:rPr>
                <w:rFonts w:cstheme="minorHAnsi"/>
                <w:sz w:val="24"/>
                <w:szCs w:val="24"/>
              </w:rPr>
              <w:t>Neglect toolkits and Was Not Brought/Did Not Engage policies were not applied effectively.</w:t>
            </w:r>
          </w:p>
          <w:p w14:paraId="54CC34C8" w14:textId="77777777" w:rsidR="00B2750B" w:rsidRPr="00B2750B" w:rsidRDefault="00B2750B" w:rsidP="00B2750B">
            <w:pPr>
              <w:pStyle w:val="ListParagraph"/>
              <w:numPr>
                <w:ilvl w:val="0"/>
                <w:numId w:val="1"/>
              </w:numPr>
              <w:rPr>
                <w:rFonts w:cstheme="minorHAnsi"/>
                <w:sz w:val="24"/>
                <w:szCs w:val="24"/>
              </w:rPr>
            </w:pPr>
            <w:r w:rsidRPr="00B2750B">
              <w:rPr>
                <w:rFonts w:cstheme="minorHAnsi"/>
                <w:sz w:val="24"/>
                <w:szCs w:val="24"/>
              </w:rPr>
              <w:t>Housing concerns (lack of gas, heating, and damp) were not escalated appropriately.</w:t>
            </w:r>
          </w:p>
          <w:p w14:paraId="3911C51B" w14:textId="77777777" w:rsidR="00B2750B" w:rsidRPr="00B2750B" w:rsidRDefault="00B2750B" w:rsidP="00B2750B">
            <w:pPr>
              <w:pStyle w:val="ListParagraph"/>
              <w:numPr>
                <w:ilvl w:val="0"/>
                <w:numId w:val="1"/>
              </w:numPr>
              <w:rPr>
                <w:rFonts w:cstheme="minorHAnsi"/>
                <w:sz w:val="24"/>
                <w:szCs w:val="24"/>
              </w:rPr>
            </w:pPr>
            <w:r w:rsidRPr="00B2750B">
              <w:rPr>
                <w:rFonts w:cstheme="minorHAnsi"/>
                <w:sz w:val="24"/>
                <w:szCs w:val="24"/>
              </w:rPr>
              <w:t>Transition planning to adult services was delayed and poorly executed.</w:t>
            </w:r>
          </w:p>
          <w:p w14:paraId="79C37E96" w14:textId="77777777" w:rsidR="00B2750B" w:rsidRPr="00B2750B" w:rsidRDefault="00B2750B" w:rsidP="00B2750B">
            <w:pPr>
              <w:pStyle w:val="ListParagraph"/>
              <w:numPr>
                <w:ilvl w:val="0"/>
                <w:numId w:val="1"/>
              </w:numPr>
              <w:rPr>
                <w:rFonts w:cstheme="minorHAnsi"/>
                <w:sz w:val="24"/>
                <w:szCs w:val="24"/>
              </w:rPr>
            </w:pPr>
            <w:r w:rsidRPr="00B2750B">
              <w:rPr>
                <w:rFonts w:cstheme="minorHAnsi"/>
                <w:sz w:val="24"/>
                <w:szCs w:val="24"/>
              </w:rPr>
              <w:t>Lisa’s mental capacity was never assessed, impacting her ability to access services.</w:t>
            </w:r>
          </w:p>
          <w:p w14:paraId="5BDC4244" w14:textId="77777777" w:rsidR="00B2750B" w:rsidRDefault="00B2750B" w:rsidP="00B2750B">
            <w:pPr>
              <w:pStyle w:val="ListParagraph"/>
              <w:numPr>
                <w:ilvl w:val="0"/>
                <w:numId w:val="1"/>
              </w:numPr>
              <w:rPr>
                <w:rFonts w:cstheme="minorHAnsi"/>
                <w:sz w:val="24"/>
                <w:szCs w:val="24"/>
              </w:rPr>
            </w:pPr>
            <w:r w:rsidRPr="00B2750B">
              <w:rPr>
                <w:rFonts w:cstheme="minorHAnsi"/>
                <w:sz w:val="24"/>
                <w:szCs w:val="24"/>
              </w:rPr>
              <w:t>The child protection process did not improve Lisa’s lived experience.</w:t>
            </w:r>
          </w:p>
          <w:p w14:paraId="1396F64E" w14:textId="77777777" w:rsidR="00B2750B" w:rsidRPr="00B2750B" w:rsidRDefault="00B2750B" w:rsidP="00B2750B">
            <w:pPr>
              <w:rPr>
                <w:rFonts w:cstheme="minorHAnsi"/>
                <w:b/>
                <w:bCs/>
                <w:sz w:val="24"/>
                <w:szCs w:val="24"/>
                <w:u w:val="single"/>
              </w:rPr>
            </w:pPr>
            <w:r w:rsidRPr="00B2750B">
              <w:rPr>
                <w:rFonts w:cstheme="minorHAnsi"/>
                <w:b/>
                <w:bCs/>
                <w:sz w:val="24"/>
                <w:szCs w:val="24"/>
                <w:u w:val="single"/>
              </w:rPr>
              <w:lastRenderedPageBreak/>
              <w:t>Key Messages for Practitioners</w:t>
            </w:r>
          </w:p>
          <w:p w14:paraId="2173DA04" w14:textId="77777777" w:rsidR="00B2750B" w:rsidRPr="00B2750B" w:rsidRDefault="00B2750B" w:rsidP="00B2750B">
            <w:pPr>
              <w:pStyle w:val="ListParagraph"/>
              <w:numPr>
                <w:ilvl w:val="0"/>
                <w:numId w:val="2"/>
              </w:numPr>
              <w:rPr>
                <w:rFonts w:cstheme="minorHAnsi"/>
                <w:sz w:val="24"/>
                <w:szCs w:val="24"/>
              </w:rPr>
            </w:pPr>
            <w:r w:rsidRPr="00B2750B">
              <w:rPr>
                <w:rFonts w:cstheme="minorHAnsi"/>
                <w:b/>
                <w:bCs/>
                <w:sz w:val="24"/>
                <w:szCs w:val="24"/>
              </w:rPr>
              <w:t>Non-engagement is a safeguarding concern</w:t>
            </w:r>
            <w:r w:rsidRPr="00B2750B">
              <w:rPr>
                <w:rFonts w:cstheme="minorHAnsi"/>
                <w:sz w:val="24"/>
                <w:szCs w:val="24"/>
              </w:rPr>
              <w:t>—do not close cases without escalation.</w:t>
            </w:r>
          </w:p>
          <w:p w14:paraId="747F9076" w14:textId="77777777" w:rsidR="00B2750B" w:rsidRPr="00B2750B" w:rsidRDefault="00B2750B" w:rsidP="00B2750B">
            <w:pPr>
              <w:pStyle w:val="ListParagraph"/>
              <w:numPr>
                <w:ilvl w:val="0"/>
                <w:numId w:val="2"/>
              </w:numPr>
              <w:rPr>
                <w:rFonts w:cstheme="minorHAnsi"/>
                <w:sz w:val="24"/>
                <w:szCs w:val="24"/>
              </w:rPr>
            </w:pPr>
            <w:r w:rsidRPr="00B2750B">
              <w:rPr>
                <w:rFonts w:cstheme="minorHAnsi"/>
                <w:b/>
                <w:bCs/>
                <w:sz w:val="24"/>
                <w:szCs w:val="24"/>
              </w:rPr>
              <w:t>Professional curiosity saves lives</w:t>
            </w:r>
            <w:r w:rsidRPr="00B2750B">
              <w:rPr>
                <w:rFonts w:cstheme="minorHAnsi"/>
                <w:sz w:val="24"/>
                <w:szCs w:val="24"/>
              </w:rPr>
              <w:t>—ask questions, seek clarity, and challenge assumptions.</w:t>
            </w:r>
          </w:p>
          <w:p w14:paraId="5CD5E3DE" w14:textId="77777777" w:rsidR="00B2750B" w:rsidRPr="00B2750B" w:rsidRDefault="00B2750B" w:rsidP="00B2750B">
            <w:pPr>
              <w:pStyle w:val="ListParagraph"/>
              <w:numPr>
                <w:ilvl w:val="0"/>
                <w:numId w:val="2"/>
              </w:numPr>
              <w:rPr>
                <w:rFonts w:cstheme="minorHAnsi"/>
                <w:sz w:val="24"/>
                <w:szCs w:val="24"/>
              </w:rPr>
            </w:pPr>
            <w:r w:rsidRPr="00B2750B">
              <w:rPr>
                <w:rFonts w:cstheme="minorHAnsi"/>
                <w:b/>
                <w:bCs/>
                <w:sz w:val="24"/>
                <w:szCs w:val="24"/>
              </w:rPr>
              <w:t>The voice of the child must be heard</w:t>
            </w:r>
            <w:r w:rsidRPr="00B2750B">
              <w:rPr>
                <w:rFonts w:cstheme="minorHAnsi"/>
                <w:sz w:val="24"/>
                <w:szCs w:val="24"/>
              </w:rPr>
              <w:t>—especially for those with communication or cognitive challenges.</w:t>
            </w:r>
          </w:p>
          <w:p w14:paraId="1493B629" w14:textId="77777777" w:rsidR="00B2750B" w:rsidRPr="00B2750B" w:rsidRDefault="00B2750B" w:rsidP="00B2750B">
            <w:pPr>
              <w:pStyle w:val="ListParagraph"/>
              <w:numPr>
                <w:ilvl w:val="0"/>
                <w:numId w:val="2"/>
              </w:numPr>
              <w:rPr>
                <w:rFonts w:cstheme="minorHAnsi"/>
                <w:sz w:val="24"/>
                <w:szCs w:val="24"/>
              </w:rPr>
            </w:pPr>
            <w:r w:rsidRPr="00B2750B">
              <w:rPr>
                <w:rFonts w:cstheme="minorHAnsi"/>
                <w:b/>
                <w:bCs/>
                <w:sz w:val="24"/>
                <w:szCs w:val="24"/>
              </w:rPr>
              <w:t>Information sharing is critical</w:t>
            </w:r>
            <w:r w:rsidRPr="00B2750B">
              <w:rPr>
                <w:rFonts w:cstheme="minorHAnsi"/>
                <w:sz w:val="24"/>
                <w:szCs w:val="24"/>
              </w:rPr>
              <w:t>—document and communicate concerns across agencies.</w:t>
            </w:r>
          </w:p>
          <w:p w14:paraId="01BFF5B3" w14:textId="77777777" w:rsidR="00B2750B" w:rsidRPr="00B2750B" w:rsidRDefault="00B2750B" w:rsidP="00B2750B">
            <w:pPr>
              <w:pStyle w:val="ListParagraph"/>
              <w:numPr>
                <w:ilvl w:val="0"/>
                <w:numId w:val="2"/>
              </w:numPr>
              <w:rPr>
                <w:rFonts w:cstheme="minorHAnsi"/>
                <w:sz w:val="24"/>
                <w:szCs w:val="24"/>
              </w:rPr>
            </w:pPr>
            <w:r w:rsidRPr="00B2750B">
              <w:rPr>
                <w:rFonts w:cstheme="minorHAnsi"/>
                <w:b/>
                <w:bCs/>
                <w:sz w:val="24"/>
                <w:szCs w:val="24"/>
              </w:rPr>
              <w:t>Supervision and oversight</w:t>
            </w:r>
            <w:r w:rsidRPr="00B2750B">
              <w:rPr>
                <w:rFonts w:cstheme="minorHAnsi"/>
                <w:sz w:val="24"/>
                <w:szCs w:val="24"/>
              </w:rPr>
              <w:t> are essential—complex cases must be supported by experienced staff.</w:t>
            </w:r>
          </w:p>
          <w:p w14:paraId="3C418D59" w14:textId="77777777" w:rsidR="00B2750B" w:rsidRPr="00B2750B" w:rsidRDefault="00B2750B" w:rsidP="00B2750B">
            <w:pPr>
              <w:rPr>
                <w:rFonts w:cstheme="minorHAnsi"/>
                <w:b/>
                <w:bCs/>
                <w:sz w:val="24"/>
                <w:szCs w:val="24"/>
                <w:u w:val="single"/>
              </w:rPr>
            </w:pPr>
            <w:r w:rsidRPr="00B2750B">
              <w:rPr>
                <w:rFonts w:cstheme="minorHAnsi"/>
                <w:b/>
                <w:bCs/>
                <w:sz w:val="24"/>
                <w:szCs w:val="24"/>
                <w:u w:val="single"/>
              </w:rPr>
              <w:t>Next Steps for the Partnership</w:t>
            </w:r>
          </w:p>
          <w:p w14:paraId="39D86773" w14:textId="77777777" w:rsidR="00B2750B" w:rsidRPr="00B2750B" w:rsidRDefault="00B2750B" w:rsidP="00B2750B">
            <w:pPr>
              <w:pStyle w:val="ListParagraph"/>
              <w:numPr>
                <w:ilvl w:val="0"/>
                <w:numId w:val="3"/>
              </w:numPr>
              <w:rPr>
                <w:rFonts w:cstheme="minorHAnsi"/>
                <w:sz w:val="24"/>
                <w:szCs w:val="24"/>
              </w:rPr>
            </w:pPr>
            <w:r w:rsidRPr="00B2750B">
              <w:rPr>
                <w:rFonts w:cstheme="minorHAnsi"/>
                <w:sz w:val="24"/>
                <w:szCs w:val="24"/>
              </w:rPr>
              <w:t>Disseminate learning across all agencies.</w:t>
            </w:r>
          </w:p>
          <w:p w14:paraId="3E0588A2" w14:textId="77777777" w:rsidR="00B2750B" w:rsidRPr="00B2750B" w:rsidRDefault="00B2750B" w:rsidP="00B2750B">
            <w:pPr>
              <w:pStyle w:val="ListParagraph"/>
              <w:numPr>
                <w:ilvl w:val="0"/>
                <w:numId w:val="3"/>
              </w:numPr>
              <w:rPr>
                <w:rFonts w:cstheme="minorHAnsi"/>
                <w:sz w:val="24"/>
                <w:szCs w:val="24"/>
              </w:rPr>
            </w:pPr>
            <w:r w:rsidRPr="00B2750B">
              <w:rPr>
                <w:rFonts w:cstheme="minorHAnsi"/>
                <w:sz w:val="24"/>
                <w:szCs w:val="24"/>
              </w:rPr>
              <w:t>Reflect on current practice and identify areas for improvement.</w:t>
            </w:r>
          </w:p>
          <w:p w14:paraId="7557913B" w14:textId="77777777" w:rsidR="00B2750B" w:rsidRPr="00B2750B" w:rsidRDefault="00B2750B" w:rsidP="00B2750B">
            <w:pPr>
              <w:pStyle w:val="ListParagraph"/>
              <w:numPr>
                <w:ilvl w:val="0"/>
                <w:numId w:val="3"/>
              </w:numPr>
              <w:rPr>
                <w:rFonts w:cstheme="minorHAnsi"/>
                <w:sz w:val="24"/>
                <w:szCs w:val="24"/>
              </w:rPr>
            </w:pPr>
            <w:r w:rsidRPr="00B2750B">
              <w:rPr>
                <w:rFonts w:cstheme="minorHAnsi"/>
                <w:sz w:val="24"/>
                <w:szCs w:val="24"/>
              </w:rPr>
              <w:t>Ensure all staff are aware of escalation procedures and the importance of professional curiosity.</w:t>
            </w:r>
          </w:p>
          <w:p w14:paraId="3B6B713B" w14:textId="77777777" w:rsidR="00B2750B" w:rsidRPr="00B2750B" w:rsidRDefault="00B2750B" w:rsidP="00B2750B">
            <w:pPr>
              <w:pStyle w:val="ListParagraph"/>
              <w:numPr>
                <w:ilvl w:val="0"/>
                <w:numId w:val="3"/>
              </w:numPr>
              <w:rPr>
                <w:rFonts w:cstheme="minorHAnsi"/>
                <w:sz w:val="24"/>
                <w:szCs w:val="24"/>
              </w:rPr>
            </w:pPr>
            <w:r w:rsidRPr="00B2750B">
              <w:rPr>
                <w:rFonts w:cstheme="minorHAnsi"/>
                <w:sz w:val="24"/>
                <w:szCs w:val="24"/>
              </w:rPr>
              <w:t>Continue to monitor and embed learning from this case into training and supervision.</w:t>
            </w:r>
          </w:p>
          <w:p w14:paraId="42143D4D" w14:textId="77777777" w:rsidR="00B2750B" w:rsidRPr="00B2750B" w:rsidRDefault="00B2750B" w:rsidP="00B2750B">
            <w:pPr>
              <w:rPr>
                <w:rFonts w:cstheme="minorHAnsi"/>
                <w:sz w:val="24"/>
                <w:szCs w:val="24"/>
              </w:rPr>
            </w:pPr>
          </w:p>
          <w:p w14:paraId="01999266" w14:textId="268C07C6" w:rsidR="00B2750B" w:rsidRPr="006503BF" w:rsidRDefault="00B2750B" w:rsidP="0060666A">
            <w:pPr>
              <w:rPr>
                <w:b/>
                <w:bCs/>
                <w:sz w:val="24"/>
                <w:szCs w:val="24"/>
                <w:u w:val="single"/>
              </w:rPr>
            </w:pPr>
          </w:p>
        </w:tc>
      </w:tr>
      <w:tr w:rsidR="0060666A" w14:paraId="5248EB79" w14:textId="77777777" w:rsidTr="00881556">
        <w:trPr>
          <w:trHeight w:val="1266"/>
        </w:trPr>
        <w:tc>
          <w:tcPr>
            <w:tcW w:w="7251" w:type="dxa"/>
            <w:shd w:val="clear" w:color="auto" w:fill="FFEAAF"/>
          </w:tcPr>
          <w:p w14:paraId="73C317F9" w14:textId="77777777" w:rsidR="0060666A" w:rsidRDefault="006503BF" w:rsidP="0060666A">
            <w:pPr>
              <w:rPr>
                <w:b/>
                <w:bCs/>
                <w:sz w:val="24"/>
                <w:szCs w:val="24"/>
                <w:u w:val="single"/>
              </w:rPr>
            </w:pPr>
            <w:r w:rsidRPr="006503BF">
              <w:rPr>
                <w:b/>
                <w:bCs/>
                <w:sz w:val="24"/>
                <w:szCs w:val="24"/>
                <w:u w:val="single"/>
              </w:rPr>
              <w:t>Links to National/ Themed Guidance</w:t>
            </w:r>
          </w:p>
          <w:p w14:paraId="59D403D5" w14:textId="778322C3" w:rsidR="001250E5" w:rsidRDefault="001250E5" w:rsidP="0060666A">
            <w:pPr>
              <w:rPr>
                <w:b/>
                <w:bCs/>
                <w:sz w:val="24"/>
                <w:szCs w:val="24"/>
                <w:u w:val="single"/>
              </w:rPr>
            </w:pPr>
            <w:hyperlink r:id="rId8" w:history="1">
              <w:r w:rsidRPr="001E4F4C">
                <w:rPr>
                  <w:rStyle w:val="Hyperlink"/>
                  <w:b/>
                  <w:bCs/>
                  <w:sz w:val="24"/>
                  <w:szCs w:val="24"/>
                </w:rPr>
                <w:t>https://basw.co.uk/articles/social-graces-practical-tool-address-inequality</w:t>
              </w:r>
            </w:hyperlink>
          </w:p>
          <w:p w14:paraId="1A757FD2" w14:textId="0F878872" w:rsidR="001250E5" w:rsidRDefault="003F271D" w:rsidP="0060666A">
            <w:pPr>
              <w:rPr>
                <w:b/>
                <w:bCs/>
                <w:sz w:val="24"/>
                <w:szCs w:val="24"/>
                <w:u w:val="single"/>
              </w:rPr>
            </w:pPr>
            <w:hyperlink r:id="rId9" w:history="1">
              <w:r w:rsidRPr="001E4F4C">
                <w:rPr>
                  <w:rStyle w:val="Hyperlink"/>
                  <w:b/>
                  <w:bCs/>
                  <w:sz w:val="24"/>
                  <w:szCs w:val="24"/>
                </w:rPr>
                <w:t>https://www.gov.uk/government/publications/knowledge-and-skills-statements-for-child-and-family-social-work/knowledge-and-skills-statement-for-child-and-family-practitioners-use-until-31-march-2027</w:t>
              </w:r>
            </w:hyperlink>
          </w:p>
          <w:p w14:paraId="2D2274CB" w14:textId="19F38197" w:rsidR="003F271D" w:rsidRPr="006503BF" w:rsidRDefault="003F271D" w:rsidP="0060666A">
            <w:pPr>
              <w:rPr>
                <w:b/>
                <w:bCs/>
                <w:sz w:val="24"/>
                <w:szCs w:val="24"/>
                <w:u w:val="single"/>
              </w:rPr>
            </w:pPr>
          </w:p>
        </w:tc>
        <w:tc>
          <w:tcPr>
            <w:tcW w:w="7251" w:type="dxa"/>
            <w:vMerge/>
            <w:shd w:val="clear" w:color="auto" w:fill="FFE599" w:themeFill="accent4" w:themeFillTint="66"/>
          </w:tcPr>
          <w:p w14:paraId="1DE76CE2" w14:textId="77777777" w:rsidR="0060666A" w:rsidRDefault="0060666A" w:rsidP="0060666A">
            <w:pPr>
              <w:rPr>
                <w:b/>
                <w:bCs/>
                <w:sz w:val="24"/>
                <w:szCs w:val="24"/>
              </w:rPr>
            </w:pPr>
          </w:p>
        </w:tc>
      </w:tr>
    </w:tbl>
    <w:p w14:paraId="106A45F9" w14:textId="77777777" w:rsidR="00B2750B" w:rsidRDefault="00B2750B" w:rsidP="0060666A">
      <w:pPr>
        <w:jc w:val="center"/>
        <w:rPr>
          <w:noProof/>
        </w:rPr>
      </w:pPr>
    </w:p>
    <w:p w14:paraId="5FEBB55E" w14:textId="0D299C9F" w:rsidR="0060666A" w:rsidRDefault="00881556" w:rsidP="0060666A">
      <w:pPr>
        <w:jc w:val="center"/>
        <w:rPr>
          <w:b/>
          <w:bCs/>
          <w:sz w:val="24"/>
          <w:szCs w:val="24"/>
        </w:rPr>
      </w:pPr>
      <w:r>
        <w:rPr>
          <w:noProof/>
        </w:rPr>
        <w:lastRenderedPageBreak/>
        <w:drawing>
          <wp:inline distT="0" distB="0" distL="0" distR="0" wp14:anchorId="3617F800" wp14:editId="70BAC826">
            <wp:extent cx="1080135" cy="1276350"/>
            <wp:effectExtent l="0" t="0" r="5715"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0656" cy="1276966"/>
                    </a:xfrm>
                    <a:prstGeom prst="rect">
                      <a:avLst/>
                    </a:prstGeom>
                  </pic:spPr>
                </pic:pic>
              </a:graphicData>
            </a:graphic>
          </wp:inline>
        </w:drawing>
      </w:r>
    </w:p>
    <w:p w14:paraId="26EE3061" w14:textId="1DAD061F" w:rsidR="0060666A" w:rsidRDefault="0060666A" w:rsidP="0060666A">
      <w:pPr>
        <w:jc w:val="center"/>
        <w:rPr>
          <w:b/>
          <w:bCs/>
          <w:sz w:val="24"/>
          <w:szCs w:val="24"/>
        </w:rPr>
      </w:pPr>
      <w:r w:rsidRPr="0060666A">
        <w:rPr>
          <w:b/>
          <w:bCs/>
          <w:sz w:val="36"/>
          <w:szCs w:val="36"/>
        </w:rPr>
        <w:t>Learning Briefing</w:t>
      </w:r>
    </w:p>
    <w:tbl>
      <w:tblPr>
        <w:tblStyle w:val="TableGrid"/>
        <w:tblW w:w="0" w:type="auto"/>
        <w:tblLook w:val="04A0" w:firstRow="1" w:lastRow="0" w:firstColumn="1" w:lastColumn="0" w:noHBand="0" w:noVBand="1"/>
      </w:tblPr>
      <w:tblGrid>
        <w:gridCol w:w="13753"/>
      </w:tblGrid>
      <w:tr w:rsidR="0060666A" w14:paraId="7AE0D373" w14:textId="77777777" w:rsidTr="00881556">
        <w:trPr>
          <w:trHeight w:val="5671"/>
        </w:trPr>
        <w:tc>
          <w:tcPr>
            <w:tcW w:w="13753" w:type="dxa"/>
            <w:shd w:val="clear" w:color="auto" w:fill="FFFFCC"/>
          </w:tcPr>
          <w:p w14:paraId="5BA45D6F" w14:textId="77777777" w:rsidR="0060666A" w:rsidRDefault="006503BF" w:rsidP="0060666A">
            <w:pPr>
              <w:rPr>
                <w:b/>
                <w:bCs/>
                <w:sz w:val="24"/>
                <w:szCs w:val="24"/>
                <w:u w:val="single"/>
              </w:rPr>
            </w:pPr>
            <w:r w:rsidRPr="006503BF">
              <w:rPr>
                <w:b/>
                <w:bCs/>
                <w:sz w:val="24"/>
                <w:szCs w:val="24"/>
                <w:u w:val="single"/>
              </w:rPr>
              <w:t>Agency Specific Learning</w:t>
            </w:r>
          </w:p>
          <w:p w14:paraId="00859352" w14:textId="77777777" w:rsidR="00FA50D7" w:rsidRDefault="00FA50D7" w:rsidP="0060666A">
            <w:pPr>
              <w:rPr>
                <w:b/>
                <w:bCs/>
                <w:sz w:val="24"/>
                <w:szCs w:val="24"/>
                <w:u w:val="single"/>
              </w:rPr>
            </w:pPr>
          </w:p>
          <w:p w14:paraId="5D73871D" w14:textId="77777777" w:rsidR="00881556" w:rsidRDefault="00881556" w:rsidP="0060666A">
            <w:pPr>
              <w:rPr>
                <w:b/>
                <w:bCs/>
                <w:sz w:val="24"/>
                <w:szCs w:val="24"/>
                <w:u w:val="single"/>
              </w:rPr>
            </w:pPr>
          </w:p>
          <w:p w14:paraId="544F2239" w14:textId="1F716D1C" w:rsidR="00881556" w:rsidRPr="006503BF" w:rsidRDefault="00881556" w:rsidP="0060666A">
            <w:pPr>
              <w:rPr>
                <w:b/>
                <w:bCs/>
                <w:sz w:val="24"/>
                <w:szCs w:val="24"/>
                <w:u w:val="single"/>
              </w:rPr>
            </w:pPr>
          </w:p>
        </w:tc>
      </w:tr>
    </w:tbl>
    <w:p w14:paraId="6FE1B8CE" w14:textId="77777777" w:rsidR="0060666A" w:rsidRPr="0060666A" w:rsidRDefault="0060666A" w:rsidP="0060666A">
      <w:pPr>
        <w:rPr>
          <w:b/>
          <w:bCs/>
          <w:sz w:val="24"/>
          <w:szCs w:val="24"/>
        </w:rPr>
      </w:pPr>
    </w:p>
    <w:sectPr w:rsidR="0060666A" w:rsidRPr="0060666A" w:rsidSect="0060666A">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3BF46" w14:textId="77777777" w:rsidR="00F90C5D" w:rsidRDefault="00F90C5D" w:rsidP="0060666A">
      <w:pPr>
        <w:spacing w:after="0" w:line="240" w:lineRule="auto"/>
      </w:pPr>
      <w:r>
        <w:separator/>
      </w:r>
    </w:p>
  </w:endnote>
  <w:endnote w:type="continuationSeparator" w:id="0">
    <w:p w14:paraId="28D47752" w14:textId="77777777" w:rsidR="00F90C5D" w:rsidRDefault="00F90C5D" w:rsidP="00606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91A8" w14:textId="77777777" w:rsidR="00F90C5D" w:rsidRDefault="00F90C5D" w:rsidP="0060666A">
      <w:pPr>
        <w:spacing w:after="0" w:line="240" w:lineRule="auto"/>
      </w:pPr>
      <w:r>
        <w:separator/>
      </w:r>
    </w:p>
  </w:footnote>
  <w:footnote w:type="continuationSeparator" w:id="0">
    <w:p w14:paraId="7F027FDB" w14:textId="77777777" w:rsidR="00F90C5D" w:rsidRDefault="00F90C5D" w:rsidP="00606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E24C2" w14:textId="60096B9D" w:rsidR="0060666A" w:rsidRDefault="0060666A" w:rsidP="0060666A">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96ACE"/>
    <w:multiLevelType w:val="multilevel"/>
    <w:tmpl w:val="D498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027345"/>
    <w:multiLevelType w:val="hybridMultilevel"/>
    <w:tmpl w:val="F726F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0C7F8A"/>
    <w:multiLevelType w:val="multilevel"/>
    <w:tmpl w:val="5E8C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6163164">
    <w:abstractNumId w:val="1"/>
  </w:num>
  <w:num w:numId="2" w16cid:durableId="1873571838">
    <w:abstractNumId w:val="2"/>
  </w:num>
  <w:num w:numId="3" w16cid:durableId="2012678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66A"/>
    <w:rsid w:val="001250E5"/>
    <w:rsid w:val="002072A0"/>
    <w:rsid w:val="003F271D"/>
    <w:rsid w:val="0060666A"/>
    <w:rsid w:val="006503BF"/>
    <w:rsid w:val="007844C0"/>
    <w:rsid w:val="007B7B3B"/>
    <w:rsid w:val="007C47C9"/>
    <w:rsid w:val="008476BE"/>
    <w:rsid w:val="00881556"/>
    <w:rsid w:val="00941E98"/>
    <w:rsid w:val="00952724"/>
    <w:rsid w:val="00B2750B"/>
    <w:rsid w:val="00D07A11"/>
    <w:rsid w:val="00DF25C3"/>
    <w:rsid w:val="00F90C5D"/>
    <w:rsid w:val="00FA50D7"/>
    <w:rsid w:val="00FA74E2"/>
    <w:rsid w:val="00FF5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0E7DF"/>
  <w15:chartTrackingRefBased/>
  <w15:docId w15:val="{6804412B-5CB4-4554-BD74-3097F76F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6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66A"/>
  </w:style>
  <w:style w:type="paragraph" w:styleId="Footer">
    <w:name w:val="footer"/>
    <w:basedOn w:val="Normal"/>
    <w:link w:val="FooterChar"/>
    <w:uiPriority w:val="99"/>
    <w:unhideWhenUsed/>
    <w:rsid w:val="00606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66A"/>
  </w:style>
  <w:style w:type="paragraph" w:styleId="ListParagraph">
    <w:name w:val="List Paragraph"/>
    <w:basedOn w:val="Normal"/>
    <w:uiPriority w:val="34"/>
    <w:qFormat/>
    <w:rsid w:val="00B2750B"/>
    <w:pPr>
      <w:spacing w:after="200" w:line="276" w:lineRule="auto"/>
      <w:ind w:left="720"/>
      <w:contextualSpacing/>
    </w:pPr>
    <w:rPr>
      <w:rFonts w:eastAsiaTheme="minorEastAsia"/>
    </w:rPr>
  </w:style>
  <w:style w:type="character" w:styleId="Hyperlink">
    <w:name w:val="Hyperlink"/>
    <w:basedOn w:val="DefaultParagraphFont"/>
    <w:uiPriority w:val="99"/>
    <w:unhideWhenUsed/>
    <w:rsid w:val="001250E5"/>
    <w:rPr>
      <w:color w:val="0563C1" w:themeColor="hyperlink"/>
      <w:u w:val="single"/>
    </w:rPr>
  </w:style>
  <w:style w:type="character" w:styleId="UnresolvedMention">
    <w:name w:val="Unresolved Mention"/>
    <w:basedOn w:val="DefaultParagraphFont"/>
    <w:uiPriority w:val="99"/>
    <w:semiHidden/>
    <w:unhideWhenUsed/>
    <w:rsid w:val="00125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sw.co.uk/articles/social-graces-practical-tool-address-inequality"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overnment/publications/knowledge-and-skills-statements-for-child-and-family-social-work/knowledge-and-skills-statement-for-child-and-family-practitioners-use-until-31-march-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NCSCP Learning Briefing Lisa</dc:title>
  <dc:subject/>
  <dc:creator>Sarah Beet</dc:creator>
  <cp:keywords/>
  <dc:description/>
  <cp:lastModifiedBy>Lewis Tracy-Winson</cp:lastModifiedBy>
  <cp:revision>4</cp:revision>
  <dcterms:created xsi:type="dcterms:W3CDTF">2026-06-12T12:33:00Z</dcterms:created>
  <dcterms:modified xsi:type="dcterms:W3CDTF">2026-09-24T12:32:00Z</dcterms:modified>
</cp:coreProperties>
</file>