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XSpec="center" w:tblpY="-226"/>
        <w:tblW w:w="16088" w:type="dxa"/>
        <w:tblLook w:val="04A0" w:firstRow="1" w:lastRow="0" w:firstColumn="1" w:lastColumn="0" w:noHBand="0" w:noVBand="1"/>
      </w:tblPr>
      <w:tblGrid>
        <w:gridCol w:w="5240"/>
        <w:gridCol w:w="10848"/>
      </w:tblGrid>
      <w:tr w:rsidR="00674275" w14:paraId="7B4554A2" w14:textId="77777777" w:rsidTr="00674275">
        <w:trPr>
          <w:trHeight w:val="6092"/>
        </w:trPr>
        <w:tc>
          <w:tcPr>
            <w:tcW w:w="5240" w:type="dxa"/>
            <w:shd w:val="clear" w:color="auto" w:fill="FFD966" w:themeFill="accent4" w:themeFillTint="99"/>
          </w:tcPr>
          <w:p w14:paraId="1AAEF8DD" w14:textId="77777777" w:rsidR="00674275" w:rsidRDefault="00674275" w:rsidP="00674275">
            <w:pPr>
              <w:rPr>
                <w:b/>
                <w:bCs/>
                <w:sz w:val="24"/>
                <w:szCs w:val="24"/>
                <w:u w:val="single"/>
              </w:rPr>
            </w:pPr>
            <w:r w:rsidRPr="006503BF">
              <w:rPr>
                <w:b/>
                <w:bCs/>
                <w:sz w:val="24"/>
                <w:szCs w:val="24"/>
                <w:u w:val="single"/>
              </w:rPr>
              <w:t>Circumstances</w:t>
            </w:r>
          </w:p>
          <w:p w14:paraId="458E081B" w14:textId="77777777" w:rsidR="00674275" w:rsidRPr="00D47B10" w:rsidRDefault="00674275" w:rsidP="00674275">
            <w:pPr>
              <w:rPr>
                <w:sz w:val="24"/>
                <w:szCs w:val="24"/>
              </w:rPr>
            </w:pPr>
            <w:r w:rsidRPr="00D47B10">
              <w:rPr>
                <w:sz w:val="24"/>
                <w:szCs w:val="24"/>
              </w:rPr>
              <w:t xml:space="preserve">A non-mobile infant was presented to the emergency department due to being distressed. His parents reported that whilst bouncing baby B, their leg angled awkwardly behind them. A fracture to the femur was confirmed on x-ray. There had been a recent call out for domestic abuse, but this was not known to the hospital at the time. The injury was initially assessed as being accidental but was later challenged and a safeguarding referral was made. Subsequent safeguarding assessments identified that Baby B had other older injuries, and it was concluded that these were inflicted abusive injuries. There was a history of adverse childhood events for the parents and movement between local authorities during pregnancy led to challenges in identifying which local authority had responsibility for support and assessments. </w:t>
            </w:r>
          </w:p>
          <w:p w14:paraId="74D9DB22" w14:textId="77777777" w:rsidR="00674275" w:rsidRPr="002147AE" w:rsidRDefault="00674275" w:rsidP="00674275">
            <w:pPr>
              <w:rPr>
                <w:sz w:val="24"/>
                <w:szCs w:val="24"/>
              </w:rPr>
            </w:pPr>
          </w:p>
        </w:tc>
        <w:tc>
          <w:tcPr>
            <w:tcW w:w="10848" w:type="dxa"/>
            <w:vMerge w:val="restart"/>
            <w:shd w:val="clear" w:color="auto" w:fill="FFE599" w:themeFill="accent4" w:themeFillTint="66"/>
          </w:tcPr>
          <w:p w14:paraId="64B893B2" w14:textId="77777777" w:rsidR="00674275" w:rsidRDefault="00674275" w:rsidP="00674275">
            <w:pPr>
              <w:rPr>
                <w:b/>
                <w:bCs/>
                <w:sz w:val="24"/>
                <w:szCs w:val="24"/>
                <w:u w:val="single"/>
              </w:rPr>
            </w:pPr>
            <w:r w:rsidRPr="006503BF">
              <w:rPr>
                <w:b/>
                <w:bCs/>
                <w:sz w:val="24"/>
                <w:szCs w:val="24"/>
                <w:u w:val="single"/>
              </w:rPr>
              <w:t>Partnership Learning Points</w:t>
            </w:r>
          </w:p>
          <w:p w14:paraId="180706AF" w14:textId="77777777" w:rsidR="00674275" w:rsidRDefault="00674275" w:rsidP="00674275">
            <w:pPr>
              <w:rPr>
                <w:b/>
                <w:bCs/>
                <w:sz w:val="24"/>
                <w:szCs w:val="24"/>
                <w:u w:val="single"/>
              </w:rPr>
            </w:pPr>
          </w:p>
          <w:p w14:paraId="60981414" w14:textId="77777777" w:rsidR="00674275" w:rsidRPr="00674275" w:rsidRDefault="00674275" w:rsidP="00674275">
            <w:pPr>
              <w:numPr>
                <w:ilvl w:val="0"/>
                <w:numId w:val="1"/>
              </w:numPr>
              <w:spacing w:line="276" w:lineRule="auto"/>
              <w:contextualSpacing/>
              <w:jc w:val="both"/>
              <w:rPr>
                <w:rFonts w:ascii="Arial" w:eastAsia="Calibri" w:hAnsi="Arial" w:cs="Arial"/>
                <w:sz w:val="20"/>
                <w:szCs w:val="20"/>
              </w:rPr>
            </w:pPr>
            <w:r w:rsidRPr="002147AE">
              <w:rPr>
                <w:rFonts w:ascii="Arial" w:eastAsia="Calibri" w:hAnsi="Arial" w:cs="Arial"/>
                <w:b/>
                <w:bCs/>
                <w:sz w:val="20"/>
                <w:szCs w:val="20"/>
              </w:rPr>
              <w:t xml:space="preserve">Escalation and Responsibility Protocol: </w:t>
            </w:r>
            <w:r w:rsidRPr="002147AE">
              <w:rPr>
                <w:rFonts w:ascii="Arial" w:eastAsia="Calibri" w:hAnsi="Arial" w:cs="Arial"/>
                <w:sz w:val="20"/>
                <w:szCs w:val="20"/>
              </w:rPr>
              <w:t>The partnership should review and strengthen protocols for resolving disputes over local authority responsibility.</w:t>
            </w:r>
          </w:p>
          <w:p w14:paraId="45473F6C" w14:textId="77777777" w:rsidR="00674275" w:rsidRPr="00674275" w:rsidRDefault="00674275" w:rsidP="00674275">
            <w:pPr>
              <w:numPr>
                <w:ilvl w:val="0"/>
                <w:numId w:val="1"/>
              </w:numPr>
              <w:spacing w:line="276" w:lineRule="auto"/>
              <w:contextualSpacing/>
              <w:jc w:val="both"/>
              <w:rPr>
                <w:rFonts w:ascii="Arial" w:eastAsia="Calibri" w:hAnsi="Arial" w:cs="Arial"/>
                <w:sz w:val="20"/>
                <w:szCs w:val="20"/>
              </w:rPr>
            </w:pPr>
            <w:r w:rsidRPr="002147AE">
              <w:rPr>
                <w:rFonts w:ascii="Arial" w:eastAsia="Calibri" w:hAnsi="Arial" w:cs="Arial"/>
                <w:b/>
                <w:bCs/>
                <w:sz w:val="20"/>
                <w:szCs w:val="20"/>
              </w:rPr>
              <w:t>Pre-Birth Assessment Practice:</w:t>
            </w:r>
            <w:r w:rsidRPr="002147AE">
              <w:rPr>
                <w:rFonts w:ascii="Arial" w:eastAsia="Calibri" w:hAnsi="Arial" w:cs="Arial"/>
                <w:sz w:val="20"/>
                <w:szCs w:val="20"/>
              </w:rPr>
              <w:t xml:space="preserve"> Social care guidance should be maintained ensuring that pre-birth assessments are only undertaken by experienced social workers, with clear supervision and support arrangements in place</w:t>
            </w:r>
            <w:r>
              <w:rPr>
                <w:rFonts w:ascii="Arial" w:eastAsia="Calibri" w:hAnsi="Arial" w:cs="Arial"/>
                <w:sz w:val="20"/>
                <w:szCs w:val="20"/>
              </w:rPr>
              <w:t>.</w:t>
            </w:r>
          </w:p>
          <w:p w14:paraId="5958EB3F" w14:textId="77777777" w:rsidR="00674275" w:rsidRPr="00674275" w:rsidRDefault="00674275" w:rsidP="00674275">
            <w:pPr>
              <w:numPr>
                <w:ilvl w:val="0"/>
                <w:numId w:val="1"/>
              </w:numPr>
              <w:spacing w:line="276" w:lineRule="auto"/>
              <w:contextualSpacing/>
              <w:jc w:val="both"/>
              <w:rPr>
                <w:rFonts w:ascii="Arial" w:eastAsia="Calibri" w:hAnsi="Arial" w:cs="Arial"/>
                <w:sz w:val="20"/>
                <w:szCs w:val="20"/>
              </w:rPr>
            </w:pPr>
            <w:r w:rsidRPr="002147AE">
              <w:rPr>
                <w:rFonts w:ascii="Arial" w:eastAsia="Calibri" w:hAnsi="Arial" w:cs="Arial"/>
                <w:b/>
                <w:bCs/>
                <w:sz w:val="20"/>
                <w:szCs w:val="20"/>
              </w:rPr>
              <w:t xml:space="preserve">Supervision and Support for Newly Qualified Staff: </w:t>
            </w:r>
            <w:r w:rsidRPr="002147AE">
              <w:rPr>
                <w:rFonts w:ascii="Arial" w:eastAsia="Calibri" w:hAnsi="Arial" w:cs="Arial"/>
                <w:sz w:val="20"/>
                <w:szCs w:val="20"/>
              </w:rPr>
              <w:t>All agencies should ensure that newly qualified practitioners receive regular, reflective supervision.</w:t>
            </w:r>
          </w:p>
          <w:p w14:paraId="4345C7FF" w14:textId="77777777" w:rsidR="00674275" w:rsidRPr="00674275" w:rsidRDefault="00674275" w:rsidP="00674275">
            <w:pPr>
              <w:numPr>
                <w:ilvl w:val="0"/>
                <w:numId w:val="1"/>
              </w:numPr>
              <w:spacing w:line="276" w:lineRule="auto"/>
              <w:contextualSpacing/>
              <w:jc w:val="both"/>
              <w:rPr>
                <w:rFonts w:ascii="Arial" w:eastAsia="Calibri" w:hAnsi="Arial" w:cs="Arial"/>
                <w:sz w:val="20"/>
                <w:szCs w:val="20"/>
              </w:rPr>
            </w:pPr>
            <w:r w:rsidRPr="002147AE">
              <w:rPr>
                <w:rFonts w:ascii="Arial" w:eastAsia="Calibri" w:hAnsi="Arial" w:cs="Arial"/>
                <w:b/>
                <w:bCs/>
                <w:sz w:val="20"/>
                <w:szCs w:val="20"/>
              </w:rPr>
              <w:t xml:space="preserve">Consent and Information Sharing Guidance: </w:t>
            </w:r>
            <w:r w:rsidRPr="002147AE">
              <w:rPr>
                <w:rFonts w:ascii="Arial" w:eastAsia="Calibri" w:hAnsi="Arial" w:cs="Arial"/>
                <w:sz w:val="20"/>
                <w:szCs w:val="20"/>
              </w:rPr>
              <w:t>The partnership should update and disseminate clear guidance on consent and information sharing, including when it is appropriate to proceed without consent in the interests of safeguarding</w:t>
            </w:r>
            <w:r>
              <w:rPr>
                <w:rFonts w:ascii="Arial" w:eastAsia="Calibri" w:hAnsi="Arial" w:cs="Arial"/>
                <w:sz w:val="20"/>
                <w:szCs w:val="20"/>
              </w:rPr>
              <w:t>.</w:t>
            </w:r>
          </w:p>
          <w:p w14:paraId="671661FE" w14:textId="77777777" w:rsidR="00674275" w:rsidRPr="00674275" w:rsidRDefault="00674275" w:rsidP="00674275">
            <w:pPr>
              <w:numPr>
                <w:ilvl w:val="0"/>
                <w:numId w:val="1"/>
              </w:numPr>
              <w:spacing w:line="300" w:lineRule="atLeast"/>
              <w:contextualSpacing/>
              <w:jc w:val="both"/>
              <w:rPr>
                <w:rFonts w:ascii="Arial" w:eastAsia="Times New Roman" w:hAnsi="Arial" w:cs="Arial"/>
                <w:sz w:val="20"/>
                <w:szCs w:val="20"/>
                <w:lang w:eastAsia="en-GB"/>
              </w:rPr>
            </w:pPr>
            <w:r w:rsidRPr="002147AE">
              <w:rPr>
                <w:rFonts w:ascii="Arial" w:eastAsia="Times New Roman" w:hAnsi="Arial" w:cs="Arial"/>
                <w:b/>
                <w:bCs/>
                <w:sz w:val="20"/>
                <w:szCs w:val="20"/>
                <w:lang w:eastAsia="en-GB"/>
              </w:rPr>
              <w:t>Issue clear guidance on SCIMT</w:t>
            </w:r>
            <w:r>
              <w:rPr>
                <w:rFonts w:ascii="Arial" w:eastAsia="Times New Roman" w:hAnsi="Arial" w:cs="Arial"/>
                <w:b/>
                <w:bCs/>
                <w:sz w:val="20"/>
                <w:szCs w:val="20"/>
                <w:lang w:eastAsia="en-GB"/>
              </w:rPr>
              <w:t xml:space="preserve"> (Safeguarding Children Information Management Team)</w:t>
            </w:r>
            <w:r w:rsidRPr="002147AE">
              <w:rPr>
                <w:rFonts w:ascii="Arial" w:eastAsia="Times New Roman" w:hAnsi="Arial" w:cs="Arial"/>
                <w:b/>
                <w:bCs/>
                <w:sz w:val="20"/>
                <w:szCs w:val="20"/>
                <w:lang w:eastAsia="en-GB"/>
              </w:rPr>
              <w:t xml:space="preserve"> checks:</w:t>
            </w:r>
            <w:r w:rsidRPr="002147AE">
              <w:rPr>
                <w:rFonts w:ascii="Arial" w:eastAsia="Times New Roman" w:hAnsi="Arial" w:cs="Arial"/>
                <w:sz w:val="20"/>
                <w:szCs w:val="20"/>
                <w:lang w:eastAsia="en-GB"/>
              </w:rPr>
              <w:t xml:space="preserve"> Develop and circulate comprehensive guidance outlining the essential information that must be included in SCIMT checks.</w:t>
            </w:r>
          </w:p>
          <w:p w14:paraId="60BA3DBD" w14:textId="77777777" w:rsidR="00674275" w:rsidRPr="00674275" w:rsidRDefault="00674275" w:rsidP="00674275">
            <w:pPr>
              <w:numPr>
                <w:ilvl w:val="0"/>
                <w:numId w:val="1"/>
              </w:numPr>
              <w:spacing w:line="300" w:lineRule="atLeast"/>
              <w:contextualSpacing/>
              <w:jc w:val="both"/>
              <w:rPr>
                <w:rFonts w:ascii="Arial" w:eastAsia="Times New Roman" w:hAnsi="Arial" w:cs="Arial"/>
                <w:sz w:val="20"/>
                <w:szCs w:val="20"/>
                <w:lang w:eastAsia="en-GB"/>
              </w:rPr>
            </w:pPr>
            <w:r w:rsidRPr="002147AE">
              <w:rPr>
                <w:rFonts w:ascii="Arial" w:eastAsia="Times New Roman" w:hAnsi="Arial" w:cs="Arial"/>
                <w:b/>
                <w:bCs/>
                <w:sz w:val="20"/>
                <w:szCs w:val="20"/>
                <w:lang w:eastAsia="en-GB"/>
              </w:rPr>
              <w:t>Structured escalation for injuries with safeguarding concerns:</w:t>
            </w:r>
            <w:r w:rsidRPr="002147AE">
              <w:rPr>
                <w:rFonts w:ascii="Arial" w:eastAsia="Times New Roman" w:hAnsi="Arial" w:cs="Arial"/>
                <w:sz w:val="20"/>
                <w:szCs w:val="20"/>
                <w:lang w:eastAsia="en-GB"/>
              </w:rPr>
              <w:t xml:space="preserve"> To support effective safeguarding practice, health agencies are encouraged to have clear processes that promote timely discussion of injuries with a higher association with non-accidental injury (e.g. femoral fractures in a non-mobile child) with a consultant.</w:t>
            </w:r>
          </w:p>
          <w:p w14:paraId="63DF6E26" w14:textId="77777777" w:rsidR="00674275" w:rsidRPr="00674275" w:rsidRDefault="00674275" w:rsidP="00674275">
            <w:pPr>
              <w:numPr>
                <w:ilvl w:val="0"/>
                <w:numId w:val="1"/>
              </w:numPr>
              <w:spacing w:line="300" w:lineRule="atLeast"/>
              <w:contextualSpacing/>
              <w:jc w:val="both"/>
              <w:rPr>
                <w:rFonts w:ascii="Arial" w:eastAsia="Calibri" w:hAnsi="Arial" w:cs="Arial"/>
                <w:sz w:val="20"/>
                <w:szCs w:val="20"/>
              </w:rPr>
            </w:pPr>
            <w:r w:rsidRPr="002147AE">
              <w:rPr>
                <w:rFonts w:ascii="Arial" w:eastAsia="Times New Roman" w:hAnsi="Arial" w:cs="Arial"/>
                <w:b/>
                <w:bCs/>
                <w:sz w:val="20"/>
                <w:szCs w:val="20"/>
                <w:lang w:eastAsia="en-GB"/>
              </w:rPr>
              <w:t>To strengthen clinical decision-making in safeguarding cases</w:t>
            </w:r>
            <w:r w:rsidRPr="002147AE">
              <w:rPr>
                <w:rFonts w:ascii="Arial" w:eastAsia="Times New Roman" w:hAnsi="Arial" w:cs="Arial"/>
                <w:sz w:val="20"/>
                <w:szCs w:val="20"/>
                <w:lang w:eastAsia="en-GB"/>
              </w:rPr>
              <w:t>: Clear guidance should be developed on escalation for suspected fractures or significant injuries in children. This guidance should specify when a consultant opinion must be sought, which specialty should be consulted, and the timescales for doing so</w:t>
            </w:r>
          </w:p>
          <w:p w14:paraId="0D9196A1" w14:textId="77777777" w:rsidR="00674275" w:rsidRPr="00674275" w:rsidRDefault="00674275" w:rsidP="00674275">
            <w:pPr>
              <w:numPr>
                <w:ilvl w:val="0"/>
                <w:numId w:val="1"/>
              </w:numPr>
              <w:spacing w:line="276" w:lineRule="auto"/>
              <w:contextualSpacing/>
              <w:jc w:val="both"/>
              <w:rPr>
                <w:rFonts w:ascii="Arial" w:eastAsia="Calibri" w:hAnsi="Arial" w:cs="Arial"/>
                <w:sz w:val="20"/>
                <w:szCs w:val="20"/>
              </w:rPr>
            </w:pPr>
            <w:r w:rsidRPr="002147AE">
              <w:rPr>
                <w:rFonts w:ascii="Arial" w:eastAsia="Calibri" w:hAnsi="Arial" w:cs="Arial"/>
                <w:b/>
                <w:bCs/>
                <w:sz w:val="20"/>
                <w:szCs w:val="20"/>
              </w:rPr>
              <w:t xml:space="preserve">Strategy Meetings for Non-Mobile Babies: </w:t>
            </w:r>
            <w:r w:rsidRPr="002147AE">
              <w:rPr>
                <w:rFonts w:ascii="Arial" w:eastAsia="Calibri" w:hAnsi="Arial" w:cs="Arial"/>
                <w:sz w:val="20"/>
                <w:szCs w:val="20"/>
              </w:rPr>
              <w:t xml:space="preserve">All agencies should ensure that strategy meetings for non-mobile babies and other high-risk cases are convened promptly. </w:t>
            </w:r>
          </w:p>
          <w:p w14:paraId="254C4467" w14:textId="77777777" w:rsidR="00674275" w:rsidRPr="00674275" w:rsidRDefault="00674275" w:rsidP="00674275">
            <w:pPr>
              <w:numPr>
                <w:ilvl w:val="0"/>
                <w:numId w:val="1"/>
              </w:numPr>
              <w:spacing w:line="276" w:lineRule="auto"/>
              <w:contextualSpacing/>
              <w:jc w:val="both"/>
              <w:rPr>
                <w:rFonts w:ascii="Arial" w:eastAsia="Calibri" w:hAnsi="Arial" w:cs="Arial"/>
                <w:sz w:val="20"/>
                <w:szCs w:val="20"/>
              </w:rPr>
            </w:pPr>
            <w:r w:rsidRPr="002147AE">
              <w:rPr>
                <w:rFonts w:ascii="Arial" w:eastAsia="Calibri" w:hAnsi="Arial" w:cs="Arial"/>
                <w:b/>
                <w:bCs/>
                <w:sz w:val="20"/>
                <w:szCs w:val="20"/>
              </w:rPr>
              <w:t xml:space="preserve">Language in Professional Records and Communication: </w:t>
            </w:r>
            <w:r w:rsidRPr="002147AE">
              <w:rPr>
                <w:rFonts w:ascii="Arial" w:eastAsia="Calibri" w:hAnsi="Arial" w:cs="Arial"/>
                <w:sz w:val="20"/>
                <w:szCs w:val="20"/>
              </w:rPr>
              <w:t>All agencies should review and update documentation and communication practices to ensure that language used is respectful, precise, and child centred. Terms such as “sofa surfing” should be avoided, as they risk downplaying the seriousness of a child’s circumstances.</w:t>
            </w:r>
          </w:p>
          <w:p w14:paraId="79E8F9CF" w14:textId="77777777" w:rsidR="00674275" w:rsidRPr="00674275" w:rsidRDefault="00674275" w:rsidP="00674275">
            <w:pPr>
              <w:numPr>
                <w:ilvl w:val="0"/>
                <w:numId w:val="1"/>
              </w:numPr>
              <w:spacing w:line="276" w:lineRule="auto"/>
              <w:contextualSpacing/>
              <w:jc w:val="both"/>
              <w:rPr>
                <w:rFonts w:ascii="Arial" w:eastAsia="Calibri" w:hAnsi="Arial" w:cs="Arial"/>
                <w:sz w:val="20"/>
                <w:szCs w:val="20"/>
              </w:rPr>
            </w:pPr>
            <w:r w:rsidRPr="002147AE">
              <w:rPr>
                <w:rFonts w:ascii="Arial" w:eastAsia="Calibri" w:hAnsi="Arial" w:cs="Arial"/>
                <w:b/>
                <w:bCs/>
                <w:sz w:val="20"/>
                <w:szCs w:val="20"/>
              </w:rPr>
              <w:t xml:space="preserve">Professional Curiosity and Challenge: </w:t>
            </w:r>
            <w:r w:rsidRPr="002147AE">
              <w:rPr>
                <w:rFonts w:ascii="Arial" w:eastAsia="Calibri" w:hAnsi="Arial" w:cs="Arial"/>
                <w:sz w:val="20"/>
                <w:szCs w:val="20"/>
              </w:rPr>
              <w:t>Training and learning events should be delivered across the partnership to reinforce the importance of professional curiosity.</w:t>
            </w:r>
          </w:p>
          <w:p w14:paraId="79C46498" w14:textId="77777777" w:rsidR="00674275" w:rsidRPr="002147AE" w:rsidRDefault="00674275" w:rsidP="00674275">
            <w:pPr>
              <w:numPr>
                <w:ilvl w:val="0"/>
                <w:numId w:val="1"/>
              </w:numPr>
              <w:spacing w:line="276" w:lineRule="auto"/>
              <w:contextualSpacing/>
              <w:jc w:val="both"/>
              <w:rPr>
                <w:b/>
                <w:bCs/>
                <w:sz w:val="20"/>
                <w:szCs w:val="20"/>
                <w:u w:val="single"/>
              </w:rPr>
            </w:pPr>
            <w:r w:rsidRPr="002147AE">
              <w:rPr>
                <w:rFonts w:ascii="Arial" w:eastAsia="Calibri" w:hAnsi="Arial" w:cs="Arial"/>
                <w:b/>
                <w:bCs/>
                <w:sz w:val="20"/>
                <w:szCs w:val="20"/>
              </w:rPr>
              <w:t xml:space="preserve">Voice of the Child and Family: </w:t>
            </w:r>
            <w:r w:rsidRPr="002147AE">
              <w:rPr>
                <w:rFonts w:ascii="Arial" w:eastAsia="Calibri" w:hAnsi="Arial" w:cs="Arial"/>
                <w:sz w:val="20"/>
                <w:szCs w:val="20"/>
              </w:rPr>
              <w:t>All agencies should ensure that the voice, wishes, and lived experience of the child and family are central to assessment, planning, and decision-making.</w:t>
            </w:r>
          </w:p>
          <w:p w14:paraId="7E5418B8" w14:textId="77777777" w:rsidR="00674275" w:rsidRPr="006503BF" w:rsidRDefault="00674275" w:rsidP="00674275">
            <w:pPr>
              <w:rPr>
                <w:b/>
                <w:bCs/>
                <w:sz w:val="24"/>
                <w:szCs w:val="24"/>
                <w:u w:val="single"/>
              </w:rPr>
            </w:pPr>
          </w:p>
        </w:tc>
      </w:tr>
      <w:tr w:rsidR="00674275" w14:paraId="69344A76" w14:textId="77777777" w:rsidTr="00674275">
        <w:trPr>
          <w:trHeight w:val="1425"/>
        </w:trPr>
        <w:tc>
          <w:tcPr>
            <w:tcW w:w="5240" w:type="dxa"/>
            <w:shd w:val="clear" w:color="auto" w:fill="FFEAAF"/>
          </w:tcPr>
          <w:p w14:paraId="2DCCCC8E" w14:textId="77777777" w:rsidR="00674275" w:rsidRPr="00603784" w:rsidRDefault="00674275" w:rsidP="00674275">
            <w:pPr>
              <w:rPr>
                <w:b/>
                <w:bCs/>
                <w:sz w:val="18"/>
                <w:szCs w:val="18"/>
                <w:u w:val="single"/>
              </w:rPr>
            </w:pPr>
            <w:r w:rsidRPr="00603784">
              <w:rPr>
                <w:b/>
                <w:bCs/>
                <w:sz w:val="18"/>
                <w:szCs w:val="18"/>
                <w:u w:val="single"/>
              </w:rPr>
              <w:t>Links to National/ Themed Guidance</w:t>
            </w:r>
          </w:p>
          <w:p w14:paraId="24D02740" w14:textId="77777777" w:rsidR="00603784" w:rsidRDefault="00603784" w:rsidP="00674275">
            <w:pPr>
              <w:rPr>
                <w:b/>
                <w:bCs/>
                <w:sz w:val="18"/>
                <w:szCs w:val="18"/>
                <w:u w:val="single"/>
              </w:rPr>
            </w:pPr>
            <w:hyperlink r:id="rId7" w:history="1">
              <w:r w:rsidRPr="00603784">
                <w:rPr>
                  <w:rStyle w:val="Hyperlink"/>
                  <w:b/>
                  <w:bCs/>
                  <w:sz w:val="18"/>
                  <w:szCs w:val="18"/>
                </w:rPr>
                <w:t>https://www.gov.uk/government/publications/indicators-of-neglect-missed-opportunities</w:t>
              </w:r>
            </w:hyperlink>
          </w:p>
          <w:p w14:paraId="607E768C" w14:textId="77777777" w:rsidR="00603784" w:rsidRPr="00603784" w:rsidRDefault="00603784" w:rsidP="00674275">
            <w:pPr>
              <w:rPr>
                <w:b/>
                <w:bCs/>
                <w:sz w:val="18"/>
                <w:szCs w:val="18"/>
                <w:u w:val="single"/>
              </w:rPr>
            </w:pPr>
          </w:p>
          <w:p w14:paraId="6E96D0D1" w14:textId="77777777" w:rsidR="00BA5D6A" w:rsidRPr="006503BF" w:rsidRDefault="00603784" w:rsidP="00674275">
            <w:pPr>
              <w:rPr>
                <w:b/>
                <w:bCs/>
                <w:sz w:val="24"/>
                <w:szCs w:val="24"/>
                <w:u w:val="single"/>
              </w:rPr>
            </w:pPr>
            <w:hyperlink r:id="rId8" w:history="1">
              <w:r w:rsidRPr="00603784">
                <w:rPr>
                  <w:rStyle w:val="Hyperlink"/>
                  <w:b/>
                  <w:bCs/>
                  <w:sz w:val="18"/>
                  <w:szCs w:val="18"/>
                </w:rPr>
                <w:t>https://www.gov.uk/government/publications/safeguarding-practitioners-information-sharing-advice</w:t>
              </w:r>
            </w:hyperlink>
          </w:p>
        </w:tc>
        <w:tc>
          <w:tcPr>
            <w:tcW w:w="10848" w:type="dxa"/>
            <w:vMerge/>
            <w:shd w:val="clear" w:color="auto" w:fill="FFE599" w:themeFill="accent4" w:themeFillTint="66"/>
          </w:tcPr>
          <w:p w14:paraId="2AD5DAB6" w14:textId="77777777" w:rsidR="00674275" w:rsidRDefault="00674275" w:rsidP="00674275">
            <w:pPr>
              <w:rPr>
                <w:b/>
                <w:bCs/>
                <w:sz w:val="24"/>
                <w:szCs w:val="24"/>
              </w:rPr>
            </w:pPr>
          </w:p>
        </w:tc>
      </w:tr>
    </w:tbl>
    <w:p w14:paraId="1619829C" w14:textId="77777777" w:rsidR="0060666A" w:rsidRDefault="0060666A" w:rsidP="00BA5D6A">
      <w:pPr>
        <w:rPr>
          <w:b/>
          <w:bCs/>
          <w:sz w:val="24"/>
          <w:szCs w:val="24"/>
        </w:rPr>
      </w:pPr>
    </w:p>
    <w:tbl>
      <w:tblPr>
        <w:tblStyle w:val="TableGrid"/>
        <w:tblW w:w="0" w:type="auto"/>
        <w:tblLook w:val="04A0" w:firstRow="1" w:lastRow="0" w:firstColumn="1" w:lastColumn="0" w:noHBand="0" w:noVBand="1"/>
      </w:tblPr>
      <w:tblGrid>
        <w:gridCol w:w="13753"/>
      </w:tblGrid>
      <w:tr w:rsidR="0060666A" w14:paraId="1DD51C85" w14:textId="77777777" w:rsidTr="00881556">
        <w:trPr>
          <w:trHeight w:val="5671"/>
        </w:trPr>
        <w:tc>
          <w:tcPr>
            <w:tcW w:w="13753" w:type="dxa"/>
            <w:shd w:val="clear" w:color="auto" w:fill="FFFFCC"/>
            <w:tcMar>
              <w:top w:w="120" w:type="dxa"/>
              <w:left w:w="140" w:type="dxa"/>
              <w:bottom w:w="120" w:type="dxa"/>
              <w:right w:w="140" w:type="dxa"/>
            </w:tcMar>
          </w:tcPr>
          <w:p w14:paraId="6BB46A2B" w14:textId="77777777" w:rsidR="0060666A" w:rsidRDefault="006503BF" w:rsidP="0060666A">
            <w:pPr>
              <w:rPr>
                <w:b/>
                <w:bCs/>
                <w:sz w:val="24"/>
                <w:szCs w:val="24"/>
                <w:u w:val="single"/>
              </w:rPr>
            </w:pPr>
            <w:r w:rsidRPr="006503BF">
              <w:rPr>
                <w:b/>
                <w:bCs/>
                <w:color w:val="000000"/>
                <w:sz w:val="24"/>
                <w:szCs w:val="24"/>
                <w:u w:val="single"/>
              </w:rPr>
              <w:t>Agency Specific Learning</w:t>
            </w:r>
          </w:p>
          <w:p w14:paraId="0359E91D" w14:textId="77777777" w:rsidR="004822FA" w:rsidRDefault="008A00B8">
            <w:pPr>
              <w:spacing w:before="60" w:after="20"/>
            </w:pPr>
            <w:r>
              <w:rPr>
                <w:rFonts w:ascii="Arial" w:hAnsi="Arial"/>
                <w:b/>
                <w:color w:val="000000"/>
                <w:sz w:val="20"/>
              </w:rPr>
              <w:t>Children's Social Care</w:t>
            </w:r>
          </w:p>
          <w:p w14:paraId="2B50A9D2" w14:textId="77777777" w:rsidR="004822FA" w:rsidRDefault="008A00B8">
            <w:pPr>
              <w:spacing w:after="20"/>
              <w:ind w:left="260" w:hanging="180"/>
            </w:pPr>
            <w:r>
              <w:rPr>
                <w:rFonts w:ascii="Arial" w:hAnsi="Arial"/>
                <w:color w:val="000000"/>
                <w:sz w:val="18"/>
              </w:rPr>
              <w:t xml:space="preserve">•  </w:t>
            </w:r>
            <w:r>
              <w:rPr>
                <w:rFonts w:ascii="Arial" w:hAnsi="Arial"/>
                <w:b/>
                <w:color w:val="000000"/>
                <w:sz w:val="18"/>
              </w:rPr>
              <w:t xml:space="preserve">Assess the whole family: </w:t>
            </w:r>
            <w:r>
              <w:rPr>
                <w:rFonts w:ascii="Arial" w:hAnsi="Arial"/>
                <w:color w:val="000000"/>
                <w:sz w:val="18"/>
              </w:rPr>
              <w:t>Explore both parents' histories, mental health, substance use, domestic abuse, support networks and housing circumstances. Triangulate parental accounts through proportionate agency checks and direct professional contact.</w:t>
            </w:r>
          </w:p>
          <w:p w14:paraId="508F9E2D" w14:textId="77777777" w:rsidR="004822FA" w:rsidRDefault="008A00B8">
            <w:pPr>
              <w:spacing w:after="20"/>
              <w:ind w:left="260" w:hanging="180"/>
            </w:pPr>
            <w:r>
              <w:rPr>
                <w:rFonts w:ascii="Arial" w:hAnsi="Arial"/>
                <w:color w:val="000000"/>
                <w:sz w:val="18"/>
              </w:rPr>
              <w:t xml:space="preserve">•  </w:t>
            </w:r>
            <w:r>
              <w:rPr>
                <w:rFonts w:ascii="Arial" w:hAnsi="Arial"/>
                <w:b/>
                <w:color w:val="000000"/>
                <w:sz w:val="18"/>
              </w:rPr>
              <w:t xml:space="preserve">Keep the child central: </w:t>
            </w:r>
            <w:r>
              <w:rPr>
                <w:rFonts w:ascii="Arial" w:hAnsi="Arial"/>
                <w:color w:val="000000"/>
                <w:sz w:val="18"/>
              </w:rPr>
              <w:t>Evidence the unborn or baby's lived experience in assessments and plans. See and speak with parents separately where possible and avoid allowing practical issues, such as housing, to displace analysis of risk.</w:t>
            </w:r>
          </w:p>
          <w:p w14:paraId="30B409BA" w14:textId="77777777" w:rsidR="004822FA" w:rsidRDefault="008A00B8">
            <w:pPr>
              <w:spacing w:after="20"/>
              <w:ind w:left="260" w:hanging="180"/>
            </w:pPr>
            <w:r>
              <w:rPr>
                <w:rFonts w:ascii="Arial" w:hAnsi="Arial"/>
                <w:color w:val="000000"/>
                <w:sz w:val="18"/>
              </w:rPr>
              <w:t xml:space="preserve">•  </w:t>
            </w:r>
            <w:r>
              <w:rPr>
                <w:rFonts w:ascii="Arial" w:hAnsi="Arial"/>
                <w:b/>
                <w:color w:val="000000"/>
                <w:sz w:val="18"/>
              </w:rPr>
              <w:t xml:space="preserve">Strengthen oversight and joint working: </w:t>
            </w:r>
            <w:r>
              <w:rPr>
                <w:rFonts w:ascii="Arial" w:hAnsi="Arial"/>
                <w:color w:val="000000"/>
                <w:sz w:val="18"/>
              </w:rPr>
              <w:t>Complex pre-birth work should be allocated to experienced practitioners. Newly qualified staff need regular reflective supervision, clear timescales and management challenge. Workers supporting a young parent and their child should plan and visit jointly where this improves understanding and continuity.</w:t>
            </w:r>
          </w:p>
          <w:p w14:paraId="05E5F532" w14:textId="77777777" w:rsidR="004822FA" w:rsidRDefault="008A00B8">
            <w:pPr>
              <w:spacing w:after="20"/>
              <w:ind w:left="260" w:hanging="180"/>
            </w:pPr>
            <w:r>
              <w:rPr>
                <w:rFonts w:ascii="Arial" w:hAnsi="Arial"/>
                <w:color w:val="000000"/>
                <w:sz w:val="18"/>
              </w:rPr>
              <w:t xml:space="preserve">•  </w:t>
            </w:r>
            <w:r>
              <w:rPr>
                <w:rFonts w:ascii="Arial" w:hAnsi="Arial"/>
                <w:b/>
                <w:color w:val="000000"/>
                <w:sz w:val="18"/>
              </w:rPr>
              <w:t xml:space="preserve">Act when consent is withheld: </w:t>
            </w:r>
            <w:r>
              <w:rPr>
                <w:rFonts w:ascii="Arial" w:hAnsi="Arial"/>
                <w:color w:val="000000"/>
                <w:sz w:val="18"/>
              </w:rPr>
              <w:t>A refusal of consent does not prevent necessary safeguarding enquiries or proportionate information sharing. Seek management advice, record the rationale and consider a multi-agency discussion where concerns remain.</w:t>
            </w:r>
          </w:p>
          <w:p w14:paraId="61FC43B9" w14:textId="77777777" w:rsidR="004822FA" w:rsidRDefault="008A00B8">
            <w:pPr>
              <w:spacing w:before="60" w:after="20"/>
            </w:pPr>
            <w:r>
              <w:rPr>
                <w:rFonts w:ascii="Arial" w:hAnsi="Arial"/>
                <w:b/>
                <w:color w:val="000000"/>
                <w:sz w:val="20"/>
              </w:rPr>
              <w:t>Health Services</w:t>
            </w:r>
          </w:p>
          <w:p w14:paraId="25BEF1C4" w14:textId="77777777" w:rsidR="004822FA" w:rsidRDefault="008A00B8">
            <w:pPr>
              <w:spacing w:after="20"/>
              <w:ind w:left="260" w:hanging="180"/>
            </w:pPr>
            <w:r>
              <w:rPr>
                <w:rFonts w:ascii="Arial" w:hAnsi="Arial"/>
                <w:color w:val="000000"/>
                <w:sz w:val="18"/>
              </w:rPr>
              <w:t xml:space="preserve">•  </w:t>
            </w:r>
            <w:r>
              <w:rPr>
                <w:rFonts w:ascii="Arial" w:hAnsi="Arial"/>
                <w:b/>
                <w:color w:val="000000"/>
                <w:sz w:val="18"/>
              </w:rPr>
              <w:t xml:space="preserve">Recognise high-risk injuries: </w:t>
            </w:r>
            <w:r>
              <w:rPr>
                <w:rFonts w:ascii="Arial" w:hAnsi="Arial"/>
                <w:color w:val="000000"/>
                <w:sz w:val="18"/>
              </w:rPr>
              <w:t>A significant fracture in a non-mobile baby, including a mid-shaft femoral fracture, requires a safeguarding lens, professional curiosity and prompt senior clinical review, even where the explanation initially appears plausible.</w:t>
            </w:r>
          </w:p>
          <w:p w14:paraId="294DB2B6" w14:textId="77777777" w:rsidR="004822FA" w:rsidRDefault="008A00B8">
            <w:pPr>
              <w:spacing w:after="20"/>
              <w:ind w:left="260" w:hanging="180"/>
            </w:pPr>
            <w:r>
              <w:rPr>
                <w:rFonts w:ascii="Arial" w:hAnsi="Arial"/>
                <w:color w:val="000000"/>
                <w:sz w:val="18"/>
              </w:rPr>
              <w:t xml:space="preserve">•  </w:t>
            </w:r>
            <w:r>
              <w:rPr>
                <w:rFonts w:ascii="Arial" w:hAnsi="Arial"/>
                <w:b/>
                <w:color w:val="000000"/>
                <w:sz w:val="18"/>
              </w:rPr>
              <w:t xml:space="preserve">Escalate without delay: </w:t>
            </w:r>
            <w:r>
              <w:rPr>
                <w:rFonts w:ascii="Arial" w:hAnsi="Arial"/>
                <w:color w:val="000000"/>
                <w:sz w:val="18"/>
              </w:rPr>
              <w:t xml:space="preserve">If the relevant consultant is unavailable, use a clear alternative escalation route. Safeguarding concerns should be referred </w:t>
            </w:r>
            <w:proofErr w:type="gramStart"/>
            <w:r>
              <w:rPr>
                <w:rFonts w:ascii="Arial" w:hAnsi="Arial"/>
                <w:color w:val="000000"/>
                <w:sz w:val="18"/>
              </w:rPr>
              <w:t>promptly</w:t>
            </w:r>
            <w:proofErr w:type="gramEnd"/>
            <w:r>
              <w:rPr>
                <w:rFonts w:ascii="Arial" w:hAnsi="Arial"/>
                <w:color w:val="000000"/>
                <w:sz w:val="18"/>
              </w:rPr>
              <w:t xml:space="preserve"> and protective action should not wait for unresolved differences in clinical opinion.</w:t>
            </w:r>
          </w:p>
          <w:p w14:paraId="24CDC709" w14:textId="77777777" w:rsidR="004822FA" w:rsidRDefault="008A00B8">
            <w:pPr>
              <w:spacing w:after="20"/>
              <w:ind w:left="260" w:hanging="180"/>
            </w:pPr>
            <w:r>
              <w:rPr>
                <w:rFonts w:ascii="Arial" w:hAnsi="Arial"/>
                <w:color w:val="000000"/>
                <w:sz w:val="18"/>
              </w:rPr>
              <w:t xml:space="preserve">•  </w:t>
            </w:r>
            <w:r>
              <w:rPr>
                <w:rFonts w:ascii="Arial" w:hAnsi="Arial"/>
                <w:b/>
                <w:color w:val="000000"/>
                <w:sz w:val="18"/>
              </w:rPr>
              <w:t xml:space="preserve">Use safeguarding information checks well: </w:t>
            </w:r>
            <w:r>
              <w:rPr>
                <w:rFonts w:ascii="Arial" w:hAnsi="Arial"/>
                <w:color w:val="000000"/>
                <w:sz w:val="18"/>
              </w:rPr>
              <w:t>Practitioners must understand what CP-IS and SCIMT checks include, interpret the response critically and seek further information when the history appears incomplete or inconsistent.</w:t>
            </w:r>
          </w:p>
          <w:p w14:paraId="055972B9" w14:textId="77777777" w:rsidR="004822FA" w:rsidRDefault="008A00B8">
            <w:pPr>
              <w:spacing w:after="20"/>
              <w:ind w:left="260" w:hanging="180"/>
            </w:pPr>
            <w:r>
              <w:rPr>
                <w:rFonts w:ascii="Arial" w:hAnsi="Arial"/>
                <w:color w:val="000000"/>
                <w:sz w:val="18"/>
              </w:rPr>
              <w:t xml:space="preserve">•  </w:t>
            </w:r>
            <w:r>
              <w:rPr>
                <w:rFonts w:ascii="Arial" w:hAnsi="Arial"/>
                <w:b/>
                <w:color w:val="000000"/>
                <w:sz w:val="18"/>
              </w:rPr>
              <w:t xml:space="preserve">Follow up vulnerable families: </w:t>
            </w:r>
            <w:r>
              <w:rPr>
                <w:rFonts w:ascii="Arial" w:hAnsi="Arial"/>
                <w:color w:val="000000"/>
                <w:sz w:val="18"/>
              </w:rPr>
              <w:t>Antenatal and early-years services should act on missed contacts, waiting-list omissions and exception reports so that known vulnerabilities trigger timely support and multi-agency discussion.</w:t>
            </w:r>
          </w:p>
          <w:p w14:paraId="5392DD80" w14:textId="77777777" w:rsidR="004822FA" w:rsidRDefault="008A00B8">
            <w:pPr>
              <w:spacing w:before="60" w:after="20"/>
            </w:pPr>
            <w:r>
              <w:rPr>
                <w:rFonts w:ascii="Arial" w:hAnsi="Arial"/>
                <w:b/>
                <w:color w:val="000000"/>
                <w:sz w:val="20"/>
              </w:rPr>
              <w:t>Police</w:t>
            </w:r>
          </w:p>
          <w:p w14:paraId="44485D7A" w14:textId="77777777" w:rsidR="004822FA" w:rsidRDefault="008A00B8">
            <w:pPr>
              <w:spacing w:after="20"/>
              <w:ind w:left="260" w:hanging="180"/>
            </w:pPr>
            <w:r>
              <w:rPr>
                <w:rFonts w:ascii="Arial" w:hAnsi="Arial"/>
                <w:color w:val="000000"/>
                <w:sz w:val="18"/>
              </w:rPr>
              <w:t xml:space="preserve">•  </w:t>
            </w:r>
            <w:r>
              <w:rPr>
                <w:rFonts w:ascii="Arial" w:hAnsi="Arial"/>
                <w:b/>
                <w:color w:val="000000"/>
                <w:sz w:val="18"/>
              </w:rPr>
              <w:t xml:space="preserve">See and safeguard the child: </w:t>
            </w:r>
            <w:r>
              <w:rPr>
                <w:rFonts w:ascii="Arial" w:hAnsi="Arial"/>
                <w:color w:val="000000"/>
                <w:sz w:val="18"/>
              </w:rPr>
              <w:t>At domestic abuse incidents, establish and record where every child is, see the child where appropriate and consider what the incident and any proposed return of the alleged perpetrator mean for the child's immediate safety.</w:t>
            </w:r>
          </w:p>
          <w:p w14:paraId="2736F354" w14:textId="77777777" w:rsidR="004822FA" w:rsidRDefault="008A00B8">
            <w:pPr>
              <w:spacing w:after="20"/>
              <w:ind w:left="260" w:hanging="180"/>
            </w:pPr>
            <w:r>
              <w:rPr>
                <w:rFonts w:ascii="Arial" w:hAnsi="Arial"/>
                <w:color w:val="000000"/>
                <w:sz w:val="18"/>
              </w:rPr>
              <w:t xml:space="preserve">•  </w:t>
            </w:r>
            <w:r>
              <w:rPr>
                <w:rFonts w:ascii="Arial" w:hAnsi="Arial"/>
                <w:b/>
                <w:color w:val="000000"/>
                <w:sz w:val="18"/>
              </w:rPr>
              <w:t xml:space="preserve">Understand coercive control: </w:t>
            </w:r>
            <w:r>
              <w:rPr>
                <w:rFonts w:ascii="Arial" w:hAnsi="Arial"/>
                <w:color w:val="000000"/>
                <w:sz w:val="18"/>
              </w:rPr>
              <w:t>Do not rely solely on information provided by the alleged perpetrator. Verify tenancy and other key facts independently and support survivors, particularly young parents, to understand and exercise their rights safely.</w:t>
            </w:r>
          </w:p>
          <w:p w14:paraId="0221A779" w14:textId="77777777" w:rsidR="004822FA" w:rsidRDefault="008A00B8">
            <w:pPr>
              <w:spacing w:after="20"/>
              <w:ind w:left="260" w:hanging="180"/>
            </w:pPr>
            <w:r>
              <w:rPr>
                <w:rFonts w:ascii="Arial" w:hAnsi="Arial"/>
                <w:color w:val="000000"/>
                <w:sz w:val="18"/>
              </w:rPr>
              <w:t xml:space="preserve">•  </w:t>
            </w:r>
            <w:r>
              <w:rPr>
                <w:rFonts w:ascii="Arial" w:hAnsi="Arial"/>
                <w:b/>
                <w:color w:val="000000"/>
                <w:sz w:val="18"/>
              </w:rPr>
              <w:t xml:space="preserve">Share information promptly: </w:t>
            </w:r>
            <w:r>
              <w:rPr>
                <w:rFonts w:ascii="Arial" w:hAnsi="Arial"/>
                <w:color w:val="000000"/>
                <w:sz w:val="18"/>
              </w:rPr>
              <w:t>Ensure domestic abuse information and police protection notifications reach the professionals responsible for the child so that risk can be assessed without avoidable delay.</w:t>
            </w:r>
          </w:p>
          <w:p w14:paraId="60228B25" w14:textId="77777777" w:rsidR="004822FA" w:rsidRDefault="008A00B8">
            <w:pPr>
              <w:spacing w:before="60" w:after="20"/>
            </w:pPr>
            <w:r>
              <w:rPr>
                <w:rFonts w:ascii="Arial" w:hAnsi="Arial"/>
                <w:b/>
                <w:color w:val="000000"/>
                <w:sz w:val="20"/>
              </w:rPr>
              <w:t>Housing and Other Partner Agencies</w:t>
            </w:r>
          </w:p>
          <w:p w14:paraId="28410182" w14:textId="77777777" w:rsidR="004822FA" w:rsidRDefault="008A00B8">
            <w:pPr>
              <w:spacing w:after="20"/>
              <w:ind w:left="260" w:hanging="180"/>
            </w:pPr>
            <w:r>
              <w:rPr>
                <w:rFonts w:ascii="Arial" w:hAnsi="Arial"/>
                <w:color w:val="000000"/>
                <w:sz w:val="18"/>
              </w:rPr>
              <w:t xml:space="preserve">•  </w:t>
            </w:r>
            <w:r>
              <w:rPr>
                <w:rFonts w:ascii="Arial" w:hAnsi="Arial"/>
                <w:b/>
                <w:color w:val="000000"/>
                <w:sz w:val="18"/>
              </w:rPr>
              <w:t xml:space="preserve">Respond to homelessness accurately: </w:t>
            </w:r>
            <w:r>
              <w:rPr>
                <w:rFonts w:ascii="Arial" w:hAnsi="Arial"/>
                <w:color w:val="000000"/>
                <w:sz w:val="18"/>
              </w:rPr>
              <w:t>Describe a young person's circumstances precisely. Terms such as 'sofa surfing' can minimise homelessness, instability and the effect these have on a parent and child.</w:t>
            </w:r>
          </w:p>
          <w:p w14:paraId="60E39464" w14:textId="77777777" w:rsidR="004822FA" w:rsidRDefault="008A00B8">
            <w:pPr>
              <w:spacing w:after="20"/>
              <w:ind w:left="260" w:hanging="180"/>
            </w:pPr>
            <w:r>
              <w:rPr>
                <w:rFonts w:ascii="Arial" w:hAnsi="Arial"/>
                <w:color w:val="000000"/>
                <w:sz w:val="18"/>
              </w:rPr>
              <w:t xml:space="preserve">•  </w:t>
            </w:r>
            <w:r>
              <w:rPr>
                <w:rFonts w:ascii="Arial" w:hAnsi="Arial"/>
                <w:b/>
                <w:color w:val="000000"/>
                <w:sz w:val="18"/>
              </w:rPr>
              <w:t xml:space="preserve">Escalate responsibility disputes: </w:t>
            </w:r>
            <w:r>
              <w:rPr>
                <w:rFonts w:ascii="Arial" w:hAnsi="Arial"/>
                <w:color w:val="000000"/>
                <w:sz w:val="18"/>
              </w:rPr>
              <w:t>Use direct communication and agreed escalation routes when local authority responsibility is unclear. Support and safeguarding assessment must continue while responsibility is resolved.</w:t>
            </w:r>
          </w:p>
          <w:p w14:paraId="15C0BB10" w14:textId="77777777" w:rsidR="004822FA" w:rsidRDefault="008A00B8">
            <w:pPr>
              <w:spacing w:after="20"/>
              <w:ind w:left="260" w:hanging="180"/>
            </w:pPr>
            <w:r>
              <w:rPr>
                <w:rFonts w:ascii="Arial" w:hAnsi="Arial"/>
                <w:color w:val="000000"/>
                <w:sz w:val="18"/>
              </w:rPr>
              <w:t xml:space="preserve">•  </w:t>
            </w:r>
            <w:r>
              <w:rPr>
                <w:rFonts w:ascii="Arial" w:hAnsi="Arial"/>
                <w:b/>
                <w:color w:val="000000"/>
                <w:sz w:val="18"/>
              </w:rPr>
              <w:t xml:space="preserve">Contribute to holistic assessment: </w:t>
            </w:r>
            <w:r>
              <w:rPr>
                <w:rFonts w:ascii="Arial" w:hAnsi="Arial"/>
                <w:color w:val="000000"/>
                <w:sz w:val="18"/>
              </w:rPr>
              <w:t>Housing and practical support should be coordinated with safeguarding partners and informed by the family's wider vulnerabilities, relationships and support network.</w:t>
            </w:r>
          </w:p>
        </w:tc>
      </w:tr>
    </w:tbl>
    <w:p w14:paraId="13B3EDA4" w14:textId="77777777" w:rsidR="0060666A" w:rsidRPr="0060666A" w:rsidRDefault="0060666A" w:rsidP="0060666A">
      <w:pPr>
        <w:rPr>
          <w:b/>
          <w:bCs/>
          <w:sz w:val="24"/>
          <w:szCs w:val="24"/>
        </w:rPr>
      </w:pPr>
    </w:p>
    <w:sectPr w:rsidR="0060666A" w:rsidRPr="0060666A" w:rsidSect="00674275">
      <w:headerReference w:type="even" r:id="rId9"/>
      <w:headerReference w:type="default" r:id="rId10"/>
      <w:footerReference w:type="even" r:id="rId11"/>
      <w:footerReference w:type="default" r:id="rId12"/>
      <w:headerReference w:type="first" r:id="rId13"/>
      <w:footerReference w:type="first" r:id="rId14"/>
      <w:pgSz w:w="16838" w:h="11906" w:orient="landscape"/>
      <w:pgMar w:top="1440" w:right="1440" w:bottom="1440" w:left="1440" w:header="57"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BE7F1" w14:textId="77777777" w:rsidR="00132865" w:rsidRDefault="00132865" w:rsidP="0060666A">
      <w:pPr>
        <w:spacing w:after="0" w:line="240" w:lineRule="auto"/>
      </w:pPr>
      <w:r>
        <w:separator/>
      </w:r>
    </w:p>
  </w:endnote>
  <w:endnote w:type="continuationSeparator" w:id="0">
    <w:p w14:paraId="5BCDB984" w14:textId="77777777" w:rsidR="00132865" w:rsidRDefault="00132865" w:rsidP="006066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B5025" w14:textId="77777777" w:rsidR="00A23720" w:rsidRDefault="00A237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A77FC" w14:textId="77777777" w:rsidR="00A23720" w:rsidRDefault="00A237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C864E" w14:textId="77777777" w:rsidR="00A23720" w:rsidRDefault="00A237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5A6A02" w14:textId="77777777" w:rsidR="00132865" w:rsidRDefault="00132865" w:rsidP="0060666A">
      <w:pPr>
        <w:spacing w:after="0" w:line="240" w:lineRule="auto"/>
      </w:pPr>
      <w:r>
        <w:separator/>
      </w:r>
    </w:p>
  </w:footnote>
  <w:footnote w:type="continuationSeparator" w:id="0">
    <w:p w14:paraId="2CA630F8" w14:textId="77777777" w:rsidR="00132865" w:rsidRDefault="00132865" w:rsidP="006066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0818F" w14:textId="77777777" w:rsidR="00A23720" w:rsidRDefault="00A237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FEDC9" w14:textId="77777777" w:rsidR="00BA5D6A" w:rsidRDefault="00BA5D6A" w:rsidP="0060666A">
    <w:pPr>
      <w:pStyle w:val="Header"/>
      <w:jc w:val="both"/>
      <w:rPr>
        <w:noProof/>
      </w:rPr>
    </w:pPr>
  </w:p>
  <w:p w14:paraId="527221E4" w14:textId="77777777" w:rsidR="0060666A" w:rsidRDefault="00674275" w:rsidP="0060666A">
    <w:pPr>
      <w:pStyle w:val="Header"/>
      <w:jc w:val="both"/>
    </w:pPr>
    <w:r>
      <w:rPr>
        <w:noProof/>
      </w:rPr>
      <w:drawing>
        <wp:inline distT="0" distB="0" distL="0" distR="0" wp14:anchorId="36C8F4E4" wp14:editId="46798053">
          <wp:extent cx="624436" cy="571500"/>
          <wp:effectExtent l="0" t="0" r="4445" b="0"/>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633928" cy="580187"/>
                  </a:xfrm>
                  <a:prstGeom prst="rect">
                    <a:avLst/>
                  </a:prstGeom>
                </pic:spPr>
              </pic:pic>
            </a:graphicData>
          </a:graphic>
        </wp:inline>
      </w:drawing>
    </w:r>
    <w:r>
      <w:tab/>
    </w:r>
    <w:r w:rsidR="00BA5D6A">
      <w:t xml:space="preserve">                                                                                       </w:t>
    </w:r>
    <w:r w:rsidRPr="00BA5D6A">
      <w:rPr>
        <w:b/>
        <w:bCs/>
        <w:sz w:val="36"/>
        <w:szCs w:val="36"/>
      </w:rPr>
      <w:t xml:space="preserve">Learning Brief </w:t>
    </w:r>
    <w:r w:rsidRPr="00BA5D6A">
      <w:tab/>
    </w:r>
  </w:p>
  <w:p w14:paraId="7F8B1AEA" w14:textId="77777777" w:rsidR="00BA5D6A" w:rsidRDefault="00BA5D6A" w:rsidP="0060666A">
    <w:pPr>
      <w:pStyle w:val="Header"/>
      <w:jc w:val="both"/>
    </w:pPr>
  </w:p>
  <w:p w14:paraId="16948337" w14:textId="77777777" w:rsidR="00BA5D6A" w:rsidRDefault="00BA5D6A" w:rsidP="0060666A">
    <w:pPr>
      <w:pStyle w:val="Header"/>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3FB6E" w14:textId="77777777" w:rsidR="00A23720" w:rsidRDefault="00A237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B22145"/>
    <w:multiLevelType w:val="hybridMultilevel"/>
    <w:tmpl w:val="34AC0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75436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66A"/>
    <w:rsid w:val="00132865"/>
    <w:rsid w:val="00153472"/>
    <w:rsid w:val="002147AE"/>
    <w:rsid w:val="002A7339"/>
    <w:rsid w:val="002F40E4"/>
    <w:rsid w:val="00383473"/>
    <w:rsid w:val="00462AF5"/>
    <w:rsid w:val="004822FA"/>
    <w:rsid w:val="005852F7"/>
    <w:rsid w:val="00585A04"/>
    <w:rsid w:val="005C706E"/>
    <w:rsid w:val="00603784"/>
    <w:rsid w:val="0060666A"/>
    <w:rsid w:val="006503BF"/>
    <w:rsid w:val="00674275"/>
    <w:rsid w:val="006A66F8"/>
    <w:rsid w:val="006C4FB5"/>
    <w:rsid w:val="006F3EE8"/>
    <w:rsid w:val="007107E1"/>
    <w:rsid w:val="00797A40"/>
    <w:rsid w:val="007A421D"/>
    <w:rsid w:val="007A7F1B"/>
    <w:rsid w:val="007B7B3B"/>
    <w:rsid w:val="007C47C9"/>
    <w:rsid w:val="008476BE"/>
    <w:rsid w:val="00881556"/>
    <w:rsid w:val="008A00B8"/>
    <w:rsid w:val="00941E98"/>
    <w:rsid w:val="009653FE"/>
    <w:rsid w:val="00975106"/>
    <w:rsid w:val="009F419B"/>
    <w:rsid w:val="00A23720"/>
    <w:rsid w:val="00A82D38"/>
    <w:rsid w:val="00A85354"/>
    <w:rsid w:val="00AD5E4F"/>
    <w:rsid w:val="00B519C6"/>
    <w:rsid w:val="00B60CCC"/>
    <w:rsid w:val="00B76A3E"/>
    <w:rsid w:val="00BA5D6A"/>
    <w:rsid w:val="00BA7C54"/>
    <w:rsid w:val="00BF695B"/>
    <w:rsid w:val="00C303F4"/>
    <w:rsid w:val="00CA602A"/>
    <w:rsid w:val="00D467B0"/>
    <w:rsid w:val="00D47B10"/>
    <w:rsid w:val="00D81A45"/>
    <w:rsid w:val="00DA65B2"/>
    <w:rsid w:val="00EA7E92"/>
    <w:rsid w:val="00F05BC3"/>
    <w:rsid w:val="00FA50D7"/>
    <w:rsid w:val="00FA74E2"/>
    <w:rsid w:val="00FF5F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D06A21"/>
  <w15:chartTrackingRefBased/>
  <w15:docId w15:val="{6804412B-5CB4-4554-BD74-3097F76F7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66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066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666A"/>
  </w:style>
  <w:style w:type="paragraph" w:styleId="Footer">
    <w:name w:val="footer"/>
    <w:basedOn w:val="Normal"/>
    <w:link w:val="FooterChar"/>
    <w:uiPriority w:val="99"/>
    <w:unhideWhenUsed/>
    <w:rsid w:val="006066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666A"/>
  </w:style>
  <w:style w:type="paragraph" w:styleId="ListParagraph">
    <w:name w:val="List Paragraph"/>
    <w:basedOn w:val="Normal"/>
    <w:uiPriority w:val="34"/>
    <w:qFormat/>
    <w:rsid w:val="00B519C6"/>
    <w:pPr>
      <w:ind w:left="720"/>
      <w:contextualSpacing/>
    </w:pPr>
  </w:style>
  <w:style w:type="character" w:styleId="CommentReference">
    <w:name w:val="annotation reference"/>
    <w:basedOn w:val="DefaultParagraphFont"/>
    <w:uiPriority w:val="99"/>
    <w:semiHidden/>
    <w:unhideWhenUsed/>
    <w:rsid w:val="00EA7E92"/>
    <w:rPr>
      <w:sz w:val="16"/>
      <w:szCs w:val="16"/>
    </w:rPr>
  </w:style>
  <w:style w:type="paragraph" w:styleId="CommentText">
    <w:name w:val="annotation text"/>
    <w:basedOn w:val="Normal"/>
    <w:link w:val="CommentTextChar"/>
    <w:uiPriority w:val="99"/>
    <w:unhideWhenUsed/>
    <w:rsid w:val="00EA7E92"/>
    <w:pPr>
      <w:spacing w:line="240" w:lineRule="auto"/>
    </w:pPr>
    <w:rPr>
      <w:sz w:val="20"/>
      <w:szCs w:val="20"/>
    </w:rPr>
  </w:style>
  <w:style w:type="character" w:customStyle="1" w:styleId="CommentTextChar">
    <w:name w:val="Comment Text Char"/>
    <w:basedOn w:val="DefaultParagraphFont"/>
    <w:link w:val="CommentText"/>
    <w:uiPriority w:val="99"/>
    <w:rsid w:val="00EA7E92"/>
    <w:rPr>
      <w:sz w:val="20"/>
      <w:szCs w:val="20"/>
    </w:rPr>
  </w:style>
  <w:style w:type="paragraph" w:styleId="CommentSubject">
    <w:name w:val="annotation subject"/>
    <w:basedOn w:val="CommentText"/>
    <w:next w:val="CommentText"/>
    <w:link w:val="CommentSubjectChar"/>
    <w:uiPriority w:val="99"/>
    <w:semiHidden/>
    <w:unhideWhenUsed/>
    <w:rsid w:val="00EA7E92"/>
    <w:rPr>
      <w:b/>
      <w:bCs/>
    </w:rPr>
  </w:style>
  <w:style w:type="character" w:customStyle="1" w:styleId="CommentSubjectChar">
    <w:name w:val="Comment Subject Char"/>
    <w:basedOn w:val="CommentTextChar"/>
    <w:link w:val="CommentSubject"/>
    <w:uiPriority w:val="99"/>
    <w:semiHidden/>
    <w:rsid w:val="00EA7E92"/>
    <w:rPr>
      <w:b/>
      <w:bCs/>
      <w:sz w:val="20"/>
      <w:szCs w:val="20"/>
    </w:rPr>
  </w:style>
  <w:style w:type="character" w:styleId="Hyperlink">
    <w:name w:val="Hyperlink"/>
    <w:basedOn w:val="DefaultParagraphFont"/>
    <w:uiPriority w:val="99"/>
    <w:unhideWhenUsed/>
    <w:rsid w:val="00BA5D6A"/>
    <w:rPr>
      <w:color w:val="0563C1" w:themeColor="hyperlink"/>
      <w:u w:val="single"/>
    </w:rPr>
  </w:style>
  <w:style w:type="character" w:styleId="UnresolvedMention">
    <w:name w:val="Unresolved Mention"/>
    <w:basedOn w:val="DefaultParagraphFont"/>
    <w:uiPriority w:val="99"/>
    <w:semiHidden/>
    <w:unhideWhenUsed/>
    <w:rsid w:val="00BA5D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safeguarding-practitioners-information-sharing-advice"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gov.uk/government/publications/indicators-of-neglect-missed-opportunities"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1081</Words>
  <Characters>6165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NCSP Learning Briefing 2</dc:title>
  <dc:subject/>
  <dc:creator>Sarah Beet</dc:creator>
  <cp:keywords/>
  <dc:description/>
  <cp:lastModifiedBy>Lewis Tracy-Winson</cp:lastModifiedBy>
  <cp:revision>4</cp:revision>
  <dcterms:created xsi:type="dcterms:W3CDTF">2026-09-22T13:30:00Z</dcterms:created>
  <dcterms:modified xsi:type="dcterms:W3CDTF">2026-09-24T12:31:00Z</dcterms:modified>
</cp:coreProperties>
</file>