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8E" w:rsidRPr="00BD6853" w:rsidRDefault="0065338E" w:rsidP="00444A17">
      <w:pPr>
        <w:pStyle w:val="Heading1"/>
      </w:pPr>
      <w:bookmarkStart w:id="0" w:name="_GoBack"/>
    </w:p>
    <w:tbl>
      <w:tblPr>
        <w:tblW w:w="11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6219"/>
      </w:tblGrid>
      <w:tr w:rsidR="00DD75CA" w:rsidRPr="00BD6853">
        <w:trPr>
          <w:jc w:val="center"/>
        </w:trPr>
        <w:tc>
          <w:tcPr>
            <w:tcW w:w="5423" w:type="dxa"/>
          </w:tcPr>
          <w:bookmarkEnd w:id="0"/>
          <w:p w:rsidR="00DD75CA" w:rsidRPr="00BD6853" w:rsidRDefault="00DD75CA" w:rsidP="004947F4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BD685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3190875" cy="927100"/>
                  <wp:effectExtent l="0" t="0" r="9525" b="6350"/>
                  <wp:wrapSquare wrapText="bothSides"/>
                  <wp:docPr id="4" name="Picture 3" descr="NCSAB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SAB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9" w:type="dxa"/>
          </w:tcPr>
          <w:p w:rsidR="008B45F9" w:rsidRDefault="00DD75CA" w:rsidP="004947F4">
            <w:pPr>
              <w:keepNext/>
              <w:keepLines/>
              <w:spacing w:before="40" w:after="0" w:line="240" w:lineRule="auto"/>
              <w:ind w:left="665" w:hanging="632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Nottingham</w:t>
            </w:r>
            <w:r w:rsidR="008B45F9">
              <w:rPr>
                <w:rFonts w:ascii="Arial" w:hAnsi="Arial" w:cs="Arial"/>
                <w:b/>
                <w:sz w:val="24"/>
                <w:szCs w:val="24"/>
              </w:rPr>
              <w:t xml:space="preserve"> City Safeguarding Adults Board</w:t>
            </w:r>
          </w:p>
          <w:p w:rsidR="00DD75CA" w:rsidRPr="00BD6853" w:rsidRDefault="008B45F9" w:rsidP="004947F4">
            <w:pPr>
              <w:keepNext/>
              <w:keepLines/>
              <w:spacing w:before="40" w:after="0" w:line="240" w:lineRule="auto"/>
              <w:ind w:left="665" w:hanging="632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Plan 2019-2022</w:t>
            </w:r>
          </w:p>
          <w:p w:rsidR="00DD75CA" w:rsidRPr="00BD6853" w:rsidRDefault="00DD75CA" w:rsidP="004947F4">
            <w:pPr>
              <w:keepNext/>
              <w:keepLines/>
              <w:spacing w:before="40" w:after="0" w:line="240" w:lineRule="auto"/>
              <w:ind w:left="665" w:hanging="632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 xml:space="preserve">Annual Action </w:t>
            </w:r>
            <w:r w:rsidR="00B743C3" w:rsidRPr="00BD685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BD6853">
              <w:rPr>
                <w:rFonts w:ascii="Arial" w:hAnsi="Arial" w:cs="Arial"/>
                <w:b/>
                <w:sz w:val="24"/>
                <w:szCs w:val="24"/>
              </w:rPr>
              <w:t>lan</w:t>
            </w:r>
          </w:p>
          <w:p w:rsidR="00DD75CA" w:rsidRPr="00BD6853" w:rsidRDefault="00DD75CA" w:rsidP="004947F4">
            <w:pPr>
              <w:keepNext/>
              <w:keepLines/>
              <w:spacing w:before="40" w:after="0" w:line="240" w:lineRule="auto"/>
              <w:ind w:left="665" w:hanging="632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8B45F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D6853">
              <w:rPr>
                <w:rFonts w:ascii="Arial" w:hAnsi="Arial" w:cs="Arial"/>
                <w:b/>
                <w:sz w:val="24"/>
                <w:szCs w:val="24"/>
              </w:rPr>
              <w:t xml:space="preserve"> (201</w:t>
            </w:r>
            <w:r w:rsidR="008B45F9">
              <w:rPr>
                <w:rFonts w:ascii="Arial" w:hAnsi="Arial" w:cs="Arial"/>
                <w:b/>
                <w:sz w:val="24"/>
                <w:szCs w:val="24"/>
              </w:rPr>
              <w:t>9-2020</w:t>
            </w:r>
            <w:r w:rsidRPr="00BD685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279A5">
              <w:rPr>
                <w:rFonts w:ascii="Arial" w:hAnsi="Arial" w:cs="Arial"/>
                <w:b/>
                <w:sz w:val="24"/>
                <w:szCs w:val="24"/>
              </w:rPr>
              <w:t xml:space="preserve"> - Initiating</w:t>
            </w:r>
          </w:p>
          <w:p w:rsidR="00DD75CA" w:rsidRPr="00BD6853" w:rsidRDefault="00DD75CA" w:rsidP="008B45F9">
            <w:pPr>
              <w:keepNext/>
              <w:keepLines/>
              <w:spacing w:before="40" w:after="0" w:line="240" w:lineRule="auto"/>
              <w:ind w:left="665" w:hanging="63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5CA" w:rsidRPr="00BD6853" w:rsidRDefault="00DD75CA" w:rsidP="004947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D75CA" w:rsidRPr="00BD6853" w:rsidRDefault="006C370D" w:rsidP="004947F4">
      <w:pPr>
        <w:keepNext/>
        <w:keepLines/>
        <w:spacing w:before="40" w:after="0" w:line="240" w:lineRule="auto"/>
        <w:ind w:left="665" w:hanging="632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D6853">
        <w:rPr>
          <w:rFonts w:ascii="Arial" w:hAnsi="Arial" w:cs="Arial"/>
          <w:b/>
          <w:sz w:val="24"/>
          <w:szCs w:val="24"/>
        </w:rPr>
        <w:t xml:space="preserve">Annual Action </w:t>
      </w:r>
      <w:r w:rsidR="00B743C3" w:rsidRPr="00BD6853">
        <w:rPr>
          <w:rFonts w:ascii="Arial" w:hAnsi="Arial" w:cs="Arial"/>
          <w:b/>
          <w:sz w:val="24"/>
          <w:szCs w:val="24"/>
        </w:rPr>
        <w:t>Plan</w:t>
      </w:r>
      <w:r w:rsidR="008B45F9">
        <w:rPr>
          <w:rFonts w:ascii="Arial" w:hAnsi="Arial" w:cs="Arial"/>
          <w:b/>
          <w:sz w:val="24"/>
          <w:szCs w:val="24"/>
        </w:rPr>
        <w:t xml:space="preserve"> for 201</w:t>
      </w:r>
      <w:r w:rsidR="002A5996" w:rsidRPr="00BD6853">
        <w:rPr>
          <w:rFonts w:ascii="Arial" w:hAnsi="Arial" w:cs="Arial"/>
          <w:b/>
          <w:sz w:val="24"/>
          <w:szCs w:val="24"/>
        </w:rPr>
        <w:t>9</w:t>
      </w:r>
      <w:r w:rsidR="008B45F9">
        <w:rPr>
          <w:rFonts w:ascii="Arial" w:hAnsi="Arial" w:cs="Arial"/>
          <w:b/>
          <w:sz w:val="24"/>
          <w:szCs w:val="24"/>
        </w:rPr>
        <w:t>- 20</w:t>
      </w:r>
      <w:r w:rsidRPr="00BD6853">
        <w:rPr>
          <w:rFonts w:ascii="Arial" w:hAnsi="Arial" w:cs="Arial"/>
          <w:b/>
          <w:sz w:val="24"/>
          <w:szCs w:val="24"/>
        </w:rPr>
        <w:t xml:space="preserve"> </w:t>
      </w:r>
      <w:r w:rsidR="007F5BA4" w:rsidRPr="00BD6853">
        <w:rPr>
          <w:rFonts w:ascii="Arial" w:hAnsi="Arial" w:cs="Arial"/>
          <w:b/>
          <w:sz w:val="24"/>
          <w:szCs w:val="24"/>
        </w:rPr>
        <w:t>–</w:t>
      </w:r>
      <w:r w:rsidR="003C7BF5">
        <w:rPr>
          <w:rFonts w:ascii="Arial" w:hAnsi="Arial" w:cs="Arial"/>
          <w:b/>
          <w:sz w:val="24"/>
          <w:szCs w:val="24"/>
        </w:rPr>
        <w:t xml:space="preserve"> </w:t>
      </w:r>
      <w:r w:rsidR="00BF6E2B">
        <w:rPr>
          <w:rFonts w:ascii="Arial" w:hAnsi="Arial" w:cs="Arial"/>
          <w:b/>
          <w:sz w:val="24"/>
          <w:szCs w:val="24"/>
        </w:rPr>
        <w:t>following</w:t>
      </w:r>
      <w:r w:rsidR="008B45F9">
        <w:rPr>
          <w:rFonts w:ascii="Arial" w:hAnsi="Arial" w:cs="Arial"/>
          <w:b/>
          <w:sz w:val="24"/>
          <w:szCs w:val="24"/>
        </w:rPr>
        <w:t xml:space="preserve"> Board</w:t>
      </w:r>
      <w:r w:rsidR="003F7AFC">
        <w:rPr>
          <w:rFonts w:ascii="Arial" w:hAnsi="Arial" w:cs="Arial"/>
          <w:b/>
          <w:sz w:val="24"/>
          <w:szCs w:val="24"/>
        </w:rPr>
        <w:t>, 19</w:t>
      </w:r>
      <w:r w:rsidR="003F7AFC" w:rsidRPr="003F7AF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B45F9">
        <w:rPr>
          <w:rFonts w:ascii="Arial" w:hAnsi="Arial" w:cs="Arial"/>
          <w:b/>
          <w:sz w:val="24"/>
          <w:szCs w:val="24"/>
        </w:rPr>
        <w:t xml:space="preserve"> March </w:t>
      </w:r>
      <w:r w:rsidR="000676A0" w:rsidRPr="00BD6853">
        <w:rPr>
          <w:rFonts w:ascii="Arial" w:hAnsi="Arial" w:cs="Arial"/>
          <w:b/>
          <w:sz w:val="24"/>
          <w:szCs w:val="24"/>
        </w:rPr>
        <w:t>2019</w:t>
      </w:r>
    </w:p>
    <w:p w:rsidR="004169FF" w:rsidRPr="00BD6853" w:rsidRDefault="004169FF" w:rsidP="004947F4">
      <w:pPr>
        <w:keepNext/>
        <w:keepLines/>
        <w:spacing w:before="40" w:after="0" w:line="240" w:lineRule="auto"/>
        <w:ind w:left="665" w:hanging="632"/>
        <w:jc w:val="center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8234"/>
      </w:tblGrid>
      <w:tr w:rsidR="00DD75CA" w:rsidRPr="00BD6853">
        <w:trPr>
          <w:jc w:val="center"/>
        </w:trPr>
        <w:tc>
          <w:tcPr>
            <w:tcW w:w="9776" w:type="dxa"/>
            <w:gridSpan w:val="2"/>
            <w:shd w:val="clear" w:color="auto" w:fill="BFBFBF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RAG Rating key</w:t>
            </w:r>
          </w:p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5CA" w:rsidRPr="00BD6853">
        <w:trPr>
          <w:jc w:val="center"/>
        </w:trPr>
        <w:tc>
          <w:tcPr>
            <w:tcW w:w="1542" w:type="dxa"/>
            <w:vAlign w:val="center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Clear</w:t>
            </w:r>
          </w:p>
        </w:tc>
        <w:tc>
          <w:tcPr>
            <w:tcW w:w="8234" w:type="dxa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>Work is underway and, in the judgment of the lead individual/subgroup is expected to be completed within the agreed timescale</w:t>
            </w:r>
          </w:p>
        </w:tc>
      </w:tr>
      <w:tr w:rsidR="00DD75CA" w:rsidRPr="00BD6853">
        <w:trPr>
          <w:jc w:val="center"/>
        </w:trPr>
        <w:tc>
          <w:tcPr>
            <w:tcW w:w="1542" w:type="dxa"/>
            <w:shd w:val="clear" w:color="auto" w:fill="FF0000"/>
            <w:vAlign w:val="center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Red</w:t>
            </w:r>
          </w:p>
        </w:tc>
        <w:tc>
          <w:tcPr>
            <w:tcW w:w="8234" w:type="dxa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 xml:space="preserve">Work is underway however, </w:t>
            </w:r>
            <w:proofErr w:type="gramStart"/>
            <w:r w:rsidRPr="00BD6853">
              <w:rPr>
                <w:rFonts w:ascii="Arial" w:hAnsi="Arial" w:cs="Arial"/>
                <w:sz w:val="24"/>
                <w:szCs w:val="24"/>
              </w:rPr>
              <w:t>is not expected to be completed</w:t>
            </w:r>
            <w:proofErr w:type="gramEnd"/>
            <w:r w:rsidRPr="00BD6853">
              <w:rPr>
                <w:rFonts w:ascii="Arial" w:hAnsi="Arial" w:cs="Arial"/>
                <w:sz w:val="24"/>
                <w:szCs w:val="24"/>
              </w:rPr>
              <w:t xml:space="preserve"> within the agreed timescale. In the judgement of the lead individual/subgroup either</w:t>
            </w:r>
          </w:p>
          <w:p w:rsidR="00DD75CA" w:rsidRPr="00BD6853" w:rsidRDefault="00DD75CA" w:rsidP="004947F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>The deadline will be missed by more than three months and / or</w:t>
            </w:r>
          </w:p>
          <w:p w:rsidR="00DD75CA" w:rsidRPr="00BD6853" w:rsidRDefault="00DD75CA" w:rsidP="004947F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>The impact of missing this deadline is likely to be significant</w:t>
            </w:r>
          </w:p>
        </w:tc>
      </w:tr>
      <w:tr w:rsidR="00DD75CA" w:rsidRPr="00BD6853">
        <w:trPr>
          <w:jc w:val="center"/>
        </w:trPr>
        <w:tc>
          <w:tcPr>
            <w:tcW w:w="1542" w:type="dxa"/>
            <w:shd w:val="clear" w:color="auto" w:fill="FFC000"/>
            <w:vAlign w:val="center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Amber</w:t>
            </w:r>
          </w:p>
        </w:tc>
        <w:tc>
          <w:tcPr>
            <w:tcW w:w="8234" w:type="dxa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 xml:space="preserve">Work is underway however, </w:t>
            </w:r>
            <w:proofErr w:type="gramStart"/>
            <w:r w:rsidRPr="00BD6853">
              <w:rPr>
                <w:rFonts w:ascii="Arial" w:hAnsi="Arial" w:cs="Arial"/>
                <w:sz w:val="24"/>
                <w:szCs w:val="24"/>
              </w:rPr>
              <w:t>is not expected to be completed</w:t>
            </w:r>
            <w:proofErr w:type="gramEnd"/>
            <w:r w:rsidRPr="00BD6853">
              <w:rPr>
                <w:rFonts w:ascii="Arial" w:hAnsi="Arial" w:cs="Arial"/>
                <w:sz w:val="24"/>
                <w:szCs w:val="24"/>
              </w:rPr>
              <w:t xml:space="preserve"> within the agreed timescale. In the judgement of the lead individual/subgroup either</w:t>
            </w:r>
          </w:p>
          <w:p w:rsidR="00DD75CA" w:rsidRPr="00BD6853" w:rsidRDefault="00DD75CA" w:rsidP="004947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>The deadline will be missed by less than three months and / or</w:t>
            </w:r>
          </w:p>
          <w:p w:rsidR="00DD75CA" w:rsidRPr="00BD6853" w:rsidRDefault="00DD75CA" w:rsidP="004947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>The impact of missing this deadline is unlikely to be significant</w:t>
            </w:r>
          </w:p>
        </w:tc>
      </w:tr>
      <w:tr w:rsidR="00DD75CA" w:rsidRPr="00BD6853">
        <w:trPr>
          <w:jc w:val="center"/>
        </w:trPr>
        <w:tc>
          <w:tcPr>
            <w:tcW w:w="1542" w:type="dxa"/>
            <w:shd w:val="clear" w:color="auto" w:fill="92D050"/>
            <w:vAlign w:val="center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  <w:tc>
          <w:tcPr>
            <w:tcW w:w="8234" w:type="dxa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>Action completed</w:t>
            </w:r>
          </w:p>
        </w:tc>
      </w:tr>
      <w:tr w:rsidR="00DD75CA" w:rsidRPr="00BD6853">
        <w:trPr>
          <w:jc w:val="center"/>
        </w:trPr>
        <w:tc>
          <w:tcPr>
            <w:tcW w:w="1542" w:type="dxa"/>
            <w:shd w:val="clear" w:color="auto" w:fill="00B0F0"/>
            <w:vAlign w:val="center"/>
          </w:tcPr>
          <w:p w:rsidR="00DD75CA" w:rsidRPr="00BD6853" w:rsidRDefault="00DD75CA" w:rsidP="00494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Blue</w:t>
            </w:r>
          </w:p>
        </w:tc>
        <w:tc>
          <w:tcPr>
            <w:tcW w:w="8234" w:type="dxa"/>
          </w:tcPr>
          <w:p w:rsidR="00DD75CA" w:rsidRPr="00BD6853" w:rsidRDefault="008B2BA6" w:rsidP="0049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53">
              <w:rPr>
                <w:rFonts w:ascii="Arial" w:hAnsi="Arial" w:cs="Arial"/>
                <w:sz w:val="24"/>
                <w:szCs w:val="24"/>
              </w:rPr>
              <w:t xml:space="preserve">Action not yet commenced. </w:t>
            </w:r>
          </w:p>
        </w:tc>
      </w:tr>
    </w:tbl>
    <w:p w:rsidR="001063F5" w:rsidRPr="00BD6853" w:rsidRDefault="001063F5" w:rsidP="004947F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063F5" w:rsidRPr="00BD6853" w:rsidRDefault="001063F5" w:rsidP="004947F4">
      <w:pPr>
        <w:spacing w:after="16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137"/>
        <w:gridCol w:w="3115"/>
        <w:gridCol w:w="2268"/>
        <w:gridCol w:w="1710"/>
        <w:gridCol w:w="987"/>
        <w:gridCol w:w="708"/>
        <w:gridCol w:w="3344"/>
      </w:tblGrid>
      <w:tr w:rsidR="009A6C40" w:rsidRPr="00BD6853">
        <w:trPr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40" w:rsidRPr="00BD6853" w:rsidRDefault="009A6C40" w:rsidP="00660911">
            <w:pPr>
              <w:pStyle w:val="Heading1"/>
              <w:ind w:left="-3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40" w:rsidRPr="00BD6853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What do we want to achieve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40" w:rsidRPr="00BD6853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What we are going to do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40" w:rsidRPr="00BD6853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Who will lead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40" w:rsidRPr="00BD6853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Timescale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40" w:rsidRPr="00BD6853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RAG rating</w:t>
            </w:r>
          </w:p>
          <w:p w:rsidR="009A6C40" w:rsidRPr="00BD6853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BD6853">
              <w:rPr>
                <w:rFonts w:ascii="Arial" w:hAnsi="Arial" w:cs="Arial"/>
                <w:color w:val="00B050"/>
                <w:sz w:val="24"/>
                <w:szCs w:val="24"/>
              </w:rPr>
              <w:sym w:font="Wingdings" w:char="F0EA"/>
            </w:r>
            <w:r w:rsidRPr="00BD6853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E9"/>
            </w:r>
            <w:r w:rsidRPr="00BD6853">
              <w:rPr>
                <w:rFonts w:ascii="Arial" w:hAnsi="Arial" w:cs="Arial"/>
                <w:sz w:val="24"/>
                <w:szCs w:val="24"/>
              </w:rPr>
              <w:sym w:font="Wingdings" w:char="F0E8"/>
            </w:r>
            <w:r w:rsidRPr="00BD68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C40" w:rsidRPr="00BD6853" w:rsidRDefault="009A6C40" w:rsidP="00660911">
            <w:pPr>
              <w:keepNext/>
              <w:keepLines/>
              <w:tabs>
                <w:tab w:val="left" w:pos="314"/>
                <w:tab w:val="center" w:pos="1333"/>
              </w:tabs>
              <w:spacing w:before="40"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ab/>
              <w:t xml:space="preserve">Updates   </w:t>
            </w:r>
          </w:p>
        </w:tc>
      </w:tr>
      <w:tr w:rsidR="009A6C40" w:rsidRPr="00BD685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A6C40" w:rsidRPr="00BD6853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D6853">
              <w:rPr>
                <w:rFonts w:ascii="Arial" w:hAnsi="Arial" w:cs="Arial"/>
                <w:b/>
                <w:sz w:val="24"/>
                <w:szCs w:val="24"/>
              </w:rPr>
              <w:t>Strategic Priority 1) Prevention</w:t>
            </w:r>
          </w:p>
        </w:tc>
      </w:tr>
      <w:tr w:rsidR="00E6144D" w:rsidRPr="00BD6853">
        <w:trPr>
          <w:trHeight w:val="2760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 xml:space="preserve">1.1 </w:t>
            </w:r>
          </w:p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:rsidR="009A6C40" w:rsidRPr="00E87BC4" w:rsidRDefault="009A6C40" w:rsidP="00660911">
            <w:pPr>
              <w:spacing w:line="240" w:lineRule="auto"/>
              <w:rPr>
                <w:rStyle w:val="s4"/>
              </w:rPr>
            </w:pPr>
            <w:r w:rsidRPr="00E87BC4">
              <w:rPr>
                <w:rStyle w:val="s4"/>
                <w:rFonts w:ascii="Arial" w:hAnsi="Arial" w:cs="Arial"/>
                <w:sz w:val="24"/>
                <w:szCs w:val="24"/>
              </w:rPr>
              <w:t>To identify and mitigate risks to effective multi-agency safeguarding in Nottingham</w:t>
            </w:r>
          </w:p>
          <w:p w:rsidR="009A6C40" w:rsidRPr="00E87BC4" w:rsidRDefault="009A6C40" w:rsidP="00660911">
            <w:pPr>
              <w:spacing w:line="240" w:lineRule="auto"/>
              <w:rPr>
                <w:rStyle w:val="s4"/>
              </w:rPr>
            </w:pPr>
          </w:p>
        </w:tc>
        <w:tc>
          <w:tcPr>
            <w:tcW w:w="1051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 xml:space="preserve">To create a new Risk Register with Board </w:t>
            </w:r>
            <w:proofErr w:type="gramStart"/>
            <w:r w:rsidRPr="00E87BC4">
              <w:rPr>
                <w:rFonts w:ascii="Arial" w:hAnsi="Arial"/>
                <w:sz w:val="24"/>
                <w:szCs w:val="24"/>
              </w:rPr>
              <w:t>members,</w:t>
            </w:r>
            <w:proofErr w:type="gramEnd"/>
            <w:r w:rsidRPr="00E87BC4">
              <w:rPr>
                <w:rFonts w:ascii="Arial" w:hAnsi="Arial"/>
                <w:sz w:val="24"/>
                <w:szCs w:val="24"/>
              </w:rPr>
              <w:t xml:space="preserve"> linked to achieving the new Strategic and Annual Plans, that will involve Board members in active identification, mitigation and tracking of risks by allocating specific responsibilities.</w:t>
            </w:r>
            <w:r w:rsidR="00715A3B">
              <w:rPr>
                <w:rFonts w:ascii="Arial" w:hAnsi="Arial"/>
                <w:sz w:val="24"/>
                <w:szCs w:val="24"/>
              </w:rPr>
              <w:t xml:space="preserve"> This will often be to funding organisations’ reps.</w:t>
            </w:r>
          </w:p>
          <w:p w:rsidR="009A6C40" w:rsidRPr="00E87BC4" w:rsidRDefault="009A6C40" w:rsidP="00660911">
            <w:pPr>
              <w:pStyle w:val="ListParagraph"/>
              <w:spacing w:after="0" w:line="240" w:lineRule="auto"/>
              <w:ind w:left="2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Board Chair and Board Manager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Develop the Risk Register at the first 2019-20 Board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4D" w:rsidRPr="00BD6853">
        <w:trPr>
          <w:trHeight w:val="925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9A6C40" w:rsidRPr="00E87BC4" w:rsidRDefault="009A6C40" w:rsidP="00660911">
            <w:pPr>
              <w:spacing w:line="240" w:lineRule="auto"/>
              <w:rPr>
                <w:rStyle w:val="s4"/>
              </w:rPr>
            </w:pPr>
            <w:r w:rsidRPr="00E87BC4">
              <w:rPr>
                <w:rStyle w:val="s4"/>
                <w:rFonts w:ascii="Arial" w:hAnsi="Arial"/>
                <w:sz w:val="24"/>
                <w:szCs w:val="24"/>
              </w:rPr>
              <w:t>To assist the Voluntary and Community Sector in safeguarding adults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a)</w:t>
            </w:r>
            <w:r w:rsidRPr="00E87BC4">
              <w:rPr>
                <w:rFonts w:ascii="Arial" w:hAnsi="Arial"/>
                <w:sz w:val="24"/>
                <w:szCs w:val="24"/>
              </w:rPr>
              <w:t xml:space="preserve"> To improve co-ordination between statutory and VCS organisations involved in safeguarding – including a potential liaison meeting of safeguarding leads, review of information sharing, transitions/handovers, overlap of training programmes.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E6144D" w:rsidRDefault="00E6144D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b) To improve the training offer to the VCS – online module/s, available info on Board website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lastRenderedPageBreak/>
              <w:t xml:space="preserve">ASC and NCVS/VAPN – </w:t>
            </w:r>
            <w:r w:rsidRPr="00E87BC4">
              <w:rPr>
                <w:rFonts w:ascii="Arial" w:hAnsi="Arial"/>
                <w:sz w:val="24"/>
                <w:szCs w:val="24"/>
              </w:rPr>
              <w:t xml:space="preserve">ASC to identify a lead staff member, who will establish </w:t>
            </w:r>
            <w:r w:rsidR="006279A5">
              <w:rPr>
                <w:rFonts w:ascii="Arial" w:hAnsi="Arial"/>
                <w:sz w:val="24"/>
                <w:szCs w:val="24"/>
              </w:rPr>
              <w:t xml:space="preserve">an </w:t>
            </w:r>
            <w:r w:rsidRPr="00E87BC4">
              <w:rPr>
                <w:rFonts w:ascii="Arial" w:hAnsi="Arial"/>
                <w:sz w:val="24"/>
                <w:szCs w:val="24"/>
              </w:rPr>
              <w:t>exploratory meeting through NCVS/VAPN with safeguarding leads and, if judged feasible, develop a joint plan of action for the remainder of the year and report to BMG.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TLI Subgroup – TLI subgroup Chair and Board Manager to define Year 1 actions and report to BMG</w:t>
            </w:r>
          </w:p>
        </w:tc>
        <w:tc>
          <w:tcPr>
            <w:tcW w:w="577" w:type="pct"/>
            <w:tcBorders>
              <w:bottom w:val="single" w:sz="4" w:space="0" w:color="auto"/>
              <w:right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lastRenderedPageBreak/>
              <w:t>Progress report to first 2019-20 Board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Progress report to first 2019-20 Board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left w:val="single" w:sz="4" w:space="0" w:color="auto"/>
              <w:bottom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4D" w:rsidRPr="00BD6853">
        <w:trPr>
          <w:trHeight w:val="1972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9A6C40" w:rsidRPr="00E87BC4" w:rsidRDefault="009A6C40" w:rsidP="00660911">
            <w:pPr>
              <w:spacing w:line="240" w:lineRule="auto"/>
              <w:rPr>
                <w:rStyle w:val="s4"/>
              </w:rPr>
            </w:pPr>
            <w:r w:rsidRPr="00E87BC4">
              <w:rPr>
                <w:rStyle w:val="s4"/>
                <w:rFonts w:ascii="Arial" w:hAnsi="Arial"/>
                <w:sz w:val="24"/>
                <w:szCs w:val="24"/>
              </w:rPr>
              <w:t>To increase public awareness of adult safeguarding</w:t>
            </w:r>
          </w:p>
          <w:p w:rsidR="009A6C40" w:rsidRPr="00E87BC4" w:rsidRDefault="009A6C40" w:rsidP="00660911">
            <w:pPr>
              <w:spacing w:line="240" w:lineRule="auto"/>
              <w:rPr>
                <w:rStyle w:val="s4"/>
              </w:rPr>
            </w:pPr>
          </w:p>
          <w:p w:rsidR="009A6C40" w:rsidRPr="00E87BC4" w:rsidRDefault="009A6C40" w:rsidP="00660911">
            <w:pPr>
              <w:spacing w:line="240" w:lineRule="auto"/>
              <w:rPr>
                <w:rStyle w:val="s4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To review the Communications and Engagement strategy and identify priority actions, including to and with new and developing communities in the City and a refresh of engagement.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TLI subgroup</w:t>
            </w:r>
          </w:p>
        </w:tc>
        <w:tc>
          <w:tcPr>
            <w:tcW w:w="577" w:type="pct"/>
            <w:tcBorders>
              <w:bottom w:val="single" w:sz="4" w:space="0" w:color="auto"/>
              <w:right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Report to July BMG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  <w:lang w:eastAsia="en-GB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left w:val="single" w:sz="4" w:space="0" w:color="auto"/>
              <w:bottom w:val="single" w:sz="4" w:space="0" w:color="auto"/>
            </w:tcBorders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6144D" w:rsidRPr="00BD6853">
        <w:trPr>
          <w:trHeight w:val="9813"/>
          <w:jc w:val="center"/>
        </w:trPr>
        <w:tc>
          <w:tcPr>
            <w:tcW w:w="186" w:type="pct"/>
          </w:tcPr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lastRenderedPageBreak/>
              <w:t>1.4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:rsidR="009334C5" w:rsidRPr="00E87BC4" w:rsidRDefault="009334C5" w:rsidP="00660911">
            <w:pPr>
              <w:spacing w:line="240" w:lineRule="auto"/>
              <w:rPr>
                <w:rStyle w:val="s4"/>
              </w:rPr>
            </w:pPr>
            <w:r w:rsidRPr="00E87BC4">
              <w:rPr>
                <w:rStyle w:val="s4"/>
                <w:rFonts w:ascii="Arial" w:hAnsi="Arial"/>
                <w:sz w:val="24"/>
                <w:szCs w:val="24"/>
              </w:rPr>
              <w:t>To reduce specific risk areas</w:t>
            </w:r>
          </w:p>
          <w:p w:rsidR="009334C5" w:rsidRPr="00E87BC4" w:rsidRDefault="009334C5" w:rsidP="00660911">
            <w:pPr>
              <w:spacing w:line="240" w:lineRule="auto"/>
              <w:rPr>
                <w:rStyle w:val="s4"/>
              </w:rPr>
            </w:pPr>
          </w:p>
        </w:tc>
        <w:tc>
          <w:tcPr>
            <w:tcW w:w="1051" w:type="pct"/>
          </w:tcPr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a) Explore the possibilities of funding for a developmental pilot social work post to assist with safeguarding vulnerable adults in HMP Nottingham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b) Learn the specific lessons and implement actions arising from Equinox and the IICSA report when published 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44D" w:rsidRDefault="00E6144D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44D" w:rsidRDefault="00E6144D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44D" w:rsidRDefault="00E6144D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c) Financial abuse and scams – to review existing investigation and support services for adults with safeguarding needs and training for staff and report to the Board </w:t>
            </w:r>
          </w:p>
          <w:p w:rsidR="009334C5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2625" w:rsidRPr="00E87BC4" w:rsidRDefault="0067262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8875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</w:tcPr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lastRenderedPageBreak/>
              <w:t>Current Chair aiming to determine whether an agreed bid can be put forward by end of March 2019; if this progresses, leads will be ASC and HMP Nottingham, with NHCFT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ASC and Police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44D" w:rsidRDefault="00E6144D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44D" w:rsidRDefault="00E6144D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44D" w:rsidRDefault="00E6144D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NCC Trading Standards and Police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lastRenderedPageBreak/>
              <w:t>Progress report to first 2019-20 Board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E6144D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monthly Equinox SMG reports to Board and </w:t>
            </w:r>
            <w:r w:rsidR="00D14988">
              <w:rPr>
                <w:rFonts w:ascii="Arial" w:hAnsi="Arial" w:cs="Arial"/>
                <w:sz w:val="24"/>
                <w:szCs w:val="24"/>
              </w:rPr>
              <w:t>r</w:t>
            </w:r>
            <w:r w:rsidR="009334C5" w:rsidRPr="00E87BC4">
              <w:rPr>
                <w:rFonts w:ascii="Arial" w:hAnsi="Arial" w:cs="Arial"/>
                <w:sz w:val="24"/>
                <w:szCs w:val="24"/>
              </w:rPr>
              <w:t xml:space="preserve">eport to Board after </w:t>
            </w:r>
            <w:r>
              <w:rPr>
                <w:rFonts w:ascii="Arial" w:hAnsi="Arial" w:cs="Arial"/>
                <w:sz w:val="24"/>
                <w:szCs w:val="24"/>
              </w:rPr>
              <w:t xml:space="preserve">IICSA Report </w:t>
            </w:r>
            <w:r w:rsidR="009334C5" w:rsidRPr="00E87BC4">
              <w:rPr>
                <w:rFonts w:ascii="Arial" w:hAnsi="Arial" w:cs="Arial"/>
                <w:sz w:val="24"/>
                <w:szCs w:val="24"/>
              </w:rPr>
              <w:t>publication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Report to December Board</w:t>
            </w: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9334C5" w:rsidRPr="00E87BC4" w:rsidRDefault="009334C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4C5" w:rsidRPr="00E87BC4" w:rsidRDefault="009334C5" w:rsidP="00660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4D" w:rsidRPr="00BD6853">
        <w:trPr>
          <w:trHeight w:val="7613"/>
          <w:jc w:val="center"/>
        </w:trPr>
        <w:tc>
          <w:tcPr>
            <w:tcW w:w="186" w:type="pct"/>
          </w:tcPr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A87" w:rsidRDefault="00867A87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2CBB" w:rsidRPr="00E87BC4" w:rsidRDefault="00452CBB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721" w:type="pct"/>
          </w:tcPr>
          <w:p w:rsidR="003327AF" w:rsidRDefault="003327AF" w:rsidP="00660911">
            <w:pPr>
              <w:spacing w:line="240" w:lineRule="auto"/>
              <w:rPr>
                <w:rStyle w:val="s4"/>
              </w:rPr>
            </w:pPr>
          </w:p>
          <w:p w:rsidR="003327AF" w:rsidRDefault="003327AF" w:rsidP="00660911">
            <w:pPr>
              <w:spacing w:line="240" w:lineRule="auto"/>
              <w:rPr>
                <w:rStyle w:val="s4"/>
              </w:rPr>
            </w:pPr>
          </w:p>
          <w:p w:rsidR="003327AF" w:rsidRDefault="003327AF" w:rsidP="00660911">
            <w:pPr>
              <w:spacing w:line="240" w:lineRule="auto"/>
              <w:rPr>
                <w:rStyle w:val="s4"/>
              </w:rPr>
            </w:pPr>
          </w:p>
          <w:p w:rsidR="003327AF" w:rsidRDefault="003327AF" w:rsidP="00660911">
            <w:pPr>
              <w:spacing w:line="240" w:lineRule="auto"/>
              <w:rPr>
                <w:rStyle w:val="s4"/>
              </w:rPr>
            </w:pPr>
          </w:p>
          <w:p w:rsidR="003327AF" w:rsidRDefault="003327AF" w:rsidP="00660911">
            <w:pPr>
              <w:spacing w:line="240" w:lineRule="auto"/>
              <w:rPr>
                <w:rStyle w:val="s4"/>
              </w:rPr>
            </w:pPr>
          </w:p>
          <w:p w:rsidR="00867A87" w:rsidRDefault="00867A87" w:rsidP="00660911">
            <w:pPr>
              <w:spacing w:line="240" w:lineRule="auto"/>
              <w:rPr>
                <w:rStyle w:val="s4"/>
                <w:rFonts w:ascii="Arial" w:hAnsi="Arial"/>
                <w:sz w:val="24"/>
                <w:szCs w:val="24"/>
              </w:rPr>
            </w:pPr>
          </w:p>
          <w:p w:rsidR="00452CBB" w:rsidRPr="00E87BC4" w:rsidRDefault="00452CBB" w:rsidP="00660911">
            <w:pPr>
              <w:spacing w:line="240" w:lineRule="auto"/>
              <w:rPr>
                <w:rStyle w:val="s4"/>
              </w:rPr>
            </w:pPr>
            <w:r w:rsidRPr="00E87BC4">
              <w:rPr>
                <w:rStyle w:val="s4"/>
                <w:rFonts w:ascii="Arial" w:hAnsi="Arial"/>
                <w:sz w:val="24"/>
                <w:szCs w:val="24"/>
              </w:rPr>
              <w:t>To learn from serious incidents and ensure that learning is embedded across the partnership</w:t>
            </w:r>
          </w:p>
          <w:p w:rsidR="00452CBB" w:rsidRPr="00E87BC4" w:rsidRDefault="00452CBB" w:rsidP="006609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51" w:type="pct"/>
          </w:tcPr>
          <w:p w:rsidR="003327AF" w:rsidRDefault="003327AF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d) Identify multi-agency learning from local </w:t>
            </w:r>
            <w:r w:rsidR="00867A87">
              <w:rPr>
                <w:rFonts w:ascii="Arial" w:hAnsi="Arial"/>
                <w:sz w:val="24"/>
                <w:szCs w:val="24"/>
              </w:rPr>
              <w:t xml:space="preserve">early intervention approach to social isolation </w:t>
            </w:r>
            <w:r>
              <w:rPr>
                <w:rFonts w:ascii="Arial" w:hAnsi="Arial"/>
                <w:sz w:val="24"/>
                <w:szCs w:val="24"/>
              </w:rPr>
              <w:t>and national pilots and develop ‘Top Tips’ for assisting with social isolation and safeguarding</w:t>
            </w:r>
          </w:p>
          <w:p w:rsidR="003327AF" w:rsidRDefault="003327AF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452CBB" w:rsidRPr="00E87BC4" w:rsidRDefault="00452CB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Conduct of SARs and complex case reviews, receiving reports and deciding on actions. Learning from local, regional and national SARs, DHRs, SCRs, and other significant events.</w:t>
            </w:r>
            <w:r w:rsidRPr="00E87BC4">
              <w:rPr>
                <w:rFonts w:ascii="Arial" w:hAnsi="Arial" w:cs="Arial"/>
                <w:bCs/>
                <w:sz w:val="24"/>
                <w:szCs w:val="24"/>
              </w:rPr>
              <w:t xml:space="preserve"> This includes ensuring that lessons learned </w:t>
            </w:r>
            <w:proofErr w:type="gramStart"/>
            <w:r w:rsidRPr="00E87BC4">
              <w:rPr>
                <w:rFonts w:ascii="Arial" w:hAnsi="Arial" w:cs="Arial"/>
                <w:bCs/>
                <w:sz w:val="24"/>
                <w:szCs w:val="24"/>
              </w:rPr>
              <w:t>are disseminated</w:t>
            </w:r>
            <w:proofErr w:type="gramEnd"/>
            <w:r w:rsidRPr="00E87BC4">
              <w:rPr>
                <w:rFonts w:ascii="Arial" w:hAnsi="Arial" w:cs="Arial"/>
                <w:bCs/>
                <w:sz w:val="24"/>
                <w:szCs w:val="24"/>
              </w:rPr>
              <w:t xml:space="preserve"> in learning &amp; development initiatives through the TLI subgroup.</w:t>
            </w:r>
          </w:p>
        </w:tc>
        <w:tc>
          <w:tcPr>
            <w:tcW w:w="765" w:type="pct"/>
          </w:tcPr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</w:t>
            </w: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52CBB" w:rsidRPr="00E87BC4" w:rsidRDefault="00452CB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SAR subgroup, involving other subgroups as appropriate and reporting through BMG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3327AF" w:rsidRDefault="00867A87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report to September Board</w:t>
            </w: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7AF" w:rsidRDefault="003327A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67A87" w:rsidRDefault="00867A87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67A87" w:rsidRDefault="00867A87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67A87" w:rsidRDefault="00867A87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52CBB" w:rsidRPr="00E87BC4" w:rsidRDefault="00452CB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As required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BB" w:rsidRPr="00E87BC4" w:rsidRDefault="00452CBB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BB" w:rsidRPr="00E87BC4" w:rsidRDefault="00452CB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452CBB" w:rsidRPr="00E87BC4" w:rsidRDefault="00452CBB" w:rsidP="00660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40" w:rsidRPr="00BD6853">
        <w:trPr>
          <w:trHeight w:val="38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E87BC4">
              <w:rPr>
                <w:rFonts w:ascii="Arial" w:hAnsi="Arial" w:cs="Arial"/>
                <w:b/>
                <w:sz w:val="24"/>
                <w:szCs w:val="24"/>
              </w:rPr>
              <w:t>Strategic Priority 2) Assurance</w:t>
            </w:r>
          </w:p>
        </w:tc>
      </w:tr>
      <w:tr w:rsidR="00E6144D" w:rsidRPr="00BD6853">
        <w:trPr>
          <w:trHeight w:val="5421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721" w:type="pct"/>
          </w:tcPr>
          <w:p w:rsidR="009A6C40" w:rsidRPr="00E87BC4" w:rsidRDefault="009A6C40" w:rsidP="006609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 xml:space="preserve">Assurance that Safeguarding arrangements in the City are effective, person centred and outcome focussed.  </w:t>
            </w:r>
          </w:p>
          <w:p w:rsidR="009A6C40" w:rsidRPr="00E87BC4" w:rsidRDefault="009A6C40" w:rsidP="006609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>The Board receives assurance from all partner agencies on the effectiveness of their safeguarding arrangements</w:t>
            </w:r>
          </w:p>
        </w:tc>
        <w:tc>
          <w:tcPr>
            <w:tcW w:w="1051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 xml:space="preserve">a) To implement, and review the effectiveness of, the replacement to the SAAF – the Partnership Assurance Tool, (with the County SAB) 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A6C40" w:rsidRDefault="009A6C40" w:rsidP="006609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 xml:space="preserve">b) To review the implementation of the Board’s 4 quadrant performance framework and determine specific actions that would improve the Board’s information </w:t>
            </w:r>
          </w:p>
          <w:p w:rsidR="00672625" w:rsidRDefault="00672625" w:rsidP="006609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2625" w:rsidRPr="00E87BC4" w:rsidRDefault="00672625" w:rsidP="006609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c) Monitor and evaluate trends in S42 referrals</w:t>
            </w:r>
          </w:p>
          <w:p w:rsidR="009A6C40" w:rsidRPr="00E87BC4" w:rsidRDefault="009A6C40" w:rsidP="00660911">
            <w:pPr>
              <w:spacing w:after="0" w:line="240" w:lineRule="auto"/>
              <w:rPr>
                <w:sz w:val="24"/>
                <w:szCs w:val="24"/>
              </w:rPr>
            </w:pPr>
          </w:p>
          <w:p w:rsidR="009A6C40" w:rsidRPr="00E87BC4" w:rsidRDefault="00672625" w:rsidP="00660911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9A6C40" w:rsidRPr="00E87BC4">
              <w:rPr>
                <w:rFonts w:ascii="Arial" w:hAnsi="Arial" w:cs="Arial"/>
                <w:bCs/>
                <w:sz w:val="24"/>
                <w:szCs w:val="24"/>
              </w:rPr>
              <w:t xml:space="preserve">) All partner agencies to provide assurance </w:t>
            </w:r>
            <w:proofErr w:type="gramStart"/>
            <w:r w:rsidR="009A6C40" w:rsidRPr="00E87BC4">
              <w:rPr>
                <w:rFonts w:ascii="Arial" w:hAnsi="Arial" w:cs="Arial"/>
                <w:bCs/>
                <w:sz w:val="24"/>
                <w:szCs w:val="24"/>
              </w:rPr>
              <w:t>that risks</w:t>
            </w:r>
            <w:proofErr w:type="gramEnd"/>
            <w:r w:rsidR="009A6C40" w:rsidRPr="00E87BC4">
              <w:rPr>
                <w:rFonts w:ascii="Arial" w:hAnsi="Arial" w:cs="Arial"/>
                <w:bCs/>
                <w:sz w:val="24"/>
                <w:szCs w:val="24"/>
              </w:rPr>
              <w:t xml:space="preserve"> to safeguarding arrangements through budget reductions and organisational and service change have been mitigated.</w:t>
            </w:r>
          </w:p>
        </w:tc>
        <w:tc>
          <w:tcPr>
            <w:tcW w:w="765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QA subgroup, reporting to BMG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QA subgroup, reporting to BMG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2625" w:rsidRDefault="0067262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 subgroup, reporting to BMG</w:t>
            </w:r>
          </w:p>
          <w:p w:rsidR="00672625" w:rsidRDefault="0067262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Board Manager to lead annual ‘start of year’ survey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Report to July BMG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Report to </w:t>
            </w:r>
            <w:r w:rsidR="00672625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Pr="00E87BC4">
              <w:rPr>
                <w:rFonts w:ascii="Arial" w:hAnsi="Arial" w:cs="Arial"/>
                <w:sz w:val="24"/>
                <w:szCs w:val="24"/>
              </w:rPr>
              <w:t>BMG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2625" w:rsidRPr="00E87BC4" w:rsidRDefault="00672625" w:rsidP="0067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Report to </w:t>
            </w: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Pr="00E87BC4">
              <w:rPr>
                <w:rFonts w:ascii="Arial" w:hAnsi="Arial" w:cs="Arial"/>
                <w:sz w:val="24"/>
                <w:szCs w:val="24"/>
              </w:rPr>
              <w:t>BMG</w:t>
            </w:r>
          </w:p>
          <w:p w:rsidR="00672625" w:rsidRDefault="00672625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Report to first 2019-20 Board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4D" w:rsidRPr="00BD6853">
        <w:trPr>
          <w:trHeight w:val="2158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 </w:t>
            </w: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:rsidR="009A6C40" w:rsidRPr="00E87BC4" w:rsidRDefault="009A6C40" w:rsidP="006609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Assurance that arrangements in specific areas ensure good adult safeguarding practice</w:t>
            </w:r>
          </w:p>
        </w:tc>
        <w:tc>
          <w:tcPr>
            <w:tcW w:w="1051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87BC4">
              <w:rPr>
                <w:rFonts w:ascii="Arial" w:hAnsi="Arial"/>
                <w:color w:val="000000"/>
                <w:sz w:val="24"/>
                <w:szCs w:val="24"/>
              </w:rPr>
              <w:t xml:space="preserve">a) Explore with the local Children’s safeguarding leads mutual learning/best practice with regard to young people and young adults 18-25 who may be vulnerable to exploitation and coercion, including involvement in serious violence and criminal exploitation. This work to be undertaken with reference to </w:t>
            </w:r>
            <w:proofErr w:type="spellStart"/>
            <w:r w:rsidRPr="00E87BC4">
              <w:rPr>
                <w:rFonts w:ascii="Arial" w:hAnsi="Arial"/>
                <w:color w:val="000000"/>
                <w:sz w:val="24"/>
                <w:szCs w:val="24"/>
              </w:rPr>
              <w:t>Dartington</w:t>
            </w:r>
            <w:proofErr w:type="spellEnd"/>
            <w:r w:rsidRPr="00E87BC4">
              <w:rPr>
                <w:rFonts w:ascii="Arial" w:hAnsi="Arial"/>
                <w:color w:val="000000"/>
                <w:sz w:val="24"/>
                <w:szCs w:val="24"/>
              </w:rPr>
              <w:t xml:space="preserve"> Research in Practice ‘Transitional Safeguarding – adolescence to adulthood’</w:t>
            </w:r>
            <w:r w:rsidR="00715A3B">
              <w:rPr>
                <w:rFonts w:ascii="Arial" w:hAnsi="Arial"/>
                <w:color w:val="000000"/>
                <w:sz w:val="24"/>
                <w:szCs w:val="24"/>
              </w:rPr>
              <w:t xml:space="preserve"> and ‘Think Family’ principles.</w:t>
            </w:r>
          </w:p>
          <w:p w:rsidR="009A6C40" w:rsidRPr="00E87BC4" w:rsidRDefault="009A6C40" w:rsidP="0066091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b) I</w:t>
            </w:r>
            <w:r w:rsidR="003C5583">
              <w:rPr>
                <w:rFonts w:ascii="Arial" w:hAnsi="Arial"/>
                <w:sz w:val="24"/>
                <w:szCs w:val="24"/>
              </w:rPr>
              <w:t xml:space="preserve">ntegrated </w:t>
            </w:r>
            <w:r w:rsidRPr="00E87BC4">
              <w:rPr>
                <w:rFonts w:ascii="Arial" w:hAnsi="Arial"/>
                <w:sz w:val="24"/>
                <w:szCs w:val="24"/>
              </w:rPr>
              <w:t>C</w:t>
            </w:r>
            <w:r w:rsidR="003C5583">
              <w:rPr>
                <w:rFonts w:ascii="Arial" w:hAnsi="Arial"/>
                <w:sz w:val="24"/>
                <w:szCs w:val="24"/>
              </w:rPr>
              <w:t xml:space="preserve">are </w:t>
            </w:r>
            <w:r w:rsidRPr="00E87BC4">
              <w:rPr>
                <w:rFonts w:ascii="Arial" w:hAnsi="Arial"/>
                <w:sz w:val="24"/>
                <w:szCs w:val="24"/>
              </w:rPr>
              <w:t>S</w:t>
            </w:r>
            <w:r w:rsidR="003C5583">
              <w:rPr>
                <w:rFonts w:ascii="Arial" w:hAnsi="Arial"/>
                <w:sz w:val="24"/>
                <w:szCs w:val="24"/>
              </w:rPr>
              <w:t>ystem</w:t>
            </w:r>
            <w:r w:rsidRPr="00E87BC4">
              <w:rPr>
                <w:rFonts w:ascii="Arial" w:hAnsi="Arial"/>
                <w:sz w:val="24"/>
                <w:szCs w:val="24"/>
              </w:rPr>
              <w:t xml:space="preserve"> – to seek assurance that consideration of safeguarding is integral to change processes, particularly on mental health and self-care, and establish an assurance reporting process from the ICS to the Board, perhaps jointly with NSAB.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c) To seek assurance on local approaches to people who are homeless or rough sleeping who may have safeguarding needs – commissioning of services, understanding of responsibilities, pathways for referral and assessment, implementation of the London guidance.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715A3B" w:rsidRPr="00E87BC4" w:rsidDel="00715A3B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 xml:space="preserve">d) Assurance on case planning for people released from prison who have Care Act eligible safeguarding needs: report to Board on </w:t>
            </w:r>
            <w:r w:rsidR="00715A3B">
              <w:rPr>
                <w:rFonts w:ascii="Arial" w:hAnsi="Arial"/>
                <w:sz w:val="24"/>
                <w:szCs w:val="24"/>
              </w:rPr>
              <w:t>the work of the CDP Offender Homelessness Strategic Group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0962DF" w:rsidRDefault="00392F87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 xml:space="preserve">e) Recruitment and HR processes – assurance that best practice on safeguarding is integral to </w:t>
            </w:r>
            <w:r w:rsidRPr="00E87BC4">
              <w:rPr>
                <w:rFonts w:ascii="Arial" w:hAnsi="Arial"/>
                <w:sz w:val="24"/>
                <w:szCs w:val="24"/>
              </w:rPr>
              <w:lastRenderedPageBreak/>
              <w:t>local recruitment and to organisational processes concerning allegations again</w:t>
            </w:r>
            <w:r w:rsidR="000962DF">
              <w:rPr>
                <w:rFonts w:ascii="Arial" w:hAnsi="Arial"/>
                <w:sz w:val="24"/>
                <w:szCs w:val="24"/>
              </w:rPr>
              <w:t xml:space="preserve">st people in positions of trust.  Develop an approach with County SAB for assurance and development of best practice </w:t>
            </w:r>
            <w:r w:rsidR="008B5515">
              <w:rPr>
                <w:rFonts w:ascii="Arial" w:hAnsi="Arial"/>
                <w:sz w:val="24"/>
                <w:szCs w:val="24"/>
              </w:rPr>
              <w:t>e.g.</w:t>
            </w:r>
            <w:r w:rsidR="000962DF">
              <w:rPr>
                <w:rFonts w:ascii="Arial" w:hAnsi="Arial"/>
                <w:sz w:val="24"/>
                <w:szCs w:val="24"/>
              </w:rPr>
              <w:t xml:space="preserve"> a questionnaire or guidance</w:t>
            </w:r>
          </w:p>
          <w:p w:rsidR="00392F87" w:rsidRDefault="00392F87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92F87" w:rsidRDefault="00392F87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>f) Assurance report on care home monitoring and interventions (annual report as required following Autumn Grange SAR</w:t>
            </w:r>
            <w:r w:rsidR="003C558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392F87" w:rsidRDefault="00392F87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E444C0" w:rsidRDefault="00392F87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>g) Assurance that areas of practice that are not directly accountable to this Board give due attention to adult safeguarding (</w:t>
            </w:r>
            <w:r w:rsidR="008B5515" w:rsidRPr="00E87BC4">
              <w:rPr>
                <w:rFonts w:ascii="Arial" w:hAnsi="Arial" w:cs="Arial"/>
                <w:bCs/>
                <w:sz w:val="24"/>
                <w:szCs w:val="24"/>
              </w:rPr>
              <w:t>e.g.</w:t>
            </w:r>
            <w:r w:rsidRPr="00E87BC4">
              <w:rPr>
                <w:rFonts w:ascii="Arial" w:hAnsi="Arial" w:cs="Arial"/>
                <w:bCs/>
                <w:sz w:val="24"/>
                <w:szCs w:val="24"/>
              </w:rPr>
              <w:t xml:space="preserve"> FGM, DSVA, Prevent, Modern Slavery, Suicide reduction, Advocacy</w:t>
            </w:r>
          </w:p>
          <w:p w:rsidR="00392F87" w:rsidRDefault="00392F87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 xml:space="preserve">h) </w:t>
            </w:r>
            <w:proofErr w:type="spellStart"/>
            <w:r w:rsidRPr="00E87BC4">
              <w:rPr>
                <w:rFonts w:ascii="Arial" w:hAnsi="Arial"/>
                <w:sz w:val="24"/>
                <w:szCs w:val="24"/>
              </w:rPr>
              <w:t>DoLs</w:t>
            </w:r>
            <w:proofErr w:type="spellEnd"/>
            <w:r w:rsidRPr="00E87BC4">
              <w:rPr>
                <w:rFonts w:ascii="Arial" w:hAnsi="Arial"/>
                <w:sz w:val="24"/>
                <w:szCs w:val="24"/>
              </w:rPr>
              <w:t xml:space="preserve"> – Assurance on local implementation of </w:t>
            </w:r>
            <w:r w:rsidRPr="00E87BC4">
              <w:rPr>
                <w:rFonts w:ascii="Arial" w:hAnsi="Arial"/>
                <w:sz w:val="24"/>
                <w:szCs w:val="24"/>
              </w:rPr>
              <w:lastRenderedPageBreak/>
              <w:t xml:space="preserve">legislative changes once established. </w:t>
            </w:r>
          </w:p>
          <w:p w:rsidR="009A6C40" w:rsidRPr="00E87BC4" w:rsidRDefault="009A6C40" w:rsidP="00933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87BC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Board Chair with City Council and Police - plan and establish a Task and Finish group</w:t>
            </w:r>
            <w:r w:rsidR="003C5583">
              <w:rPr>
                <w:rFonts w:ascii="Arial" w:hAnsi="Arial"/>
                <w:color w:val="000000"/>
                <w:sz w:val="24"/>
                <w:szCs w:val="24"/>
              </w:rPr>
              <w:t xml:space="preserve"> or other change process</w:t>
            </w:r>
            <w:r w:rsidRPr="00E87BC4">
              <w:rPr>
                <w:rFonts w:ascii="Arial" w:hAnsi="Arial"/>
                <w:color w:val="000000"/>
                <w:sz w:val="24"/>
                <w:szCs w:val="24"/>
              </w:rPr>
              <w:t>, to report to Board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715A3B" w:rsidRDefault="00715A3B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Board Chair with CCG and ASC.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5A3B" w:rsidRDefault="00715A3B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Nottingham City Council and SAR subgroup</w:t>
            </w: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Probation and DLNR CRC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Board Manager with NHCFT and Police</w:t>
            </w: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ASC and CCG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5A3B" w:rsidRDefault="00715A3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Board Chair and Board Manager to review existing process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5A3B" w:rsidRPr="00E87BC4" w:rsidDel="00715A3B" w:rsidRDefault="00715A3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ASC</w:t>
            </w:r>
          </w:p>
        </w:tc>
        <w:tc>
          <w:tcPr>
            <w:tcW w:w="577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lastRenderedPageBreak/>
              <w:t>First report to September Board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5A3B" w:rsidRDefault="00715A3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Report on progress to September Board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5A3B" w:rsidRDefault="00715A3B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BMG in April to review this area of the plan following the March Board item and SAR</w:t>
            </w:r>
            <w:r w:rsidR="003C5583">
              <w:rPr>
                <w:rFonts w:ascii="Arial" w:hAnsi="Arial" w:cs="Arial"/>
                <w:sz w:val="24"/>
                <w:szCs w:val="24"/>
              </w:rPr>
              <w:t xml:space="preserve"> subgroup</w:t>
            </w:r>
            <w:r w:rsidRPr="00E87BC4">
              <w:rPr>
                <w:rFonts w:ascii="Arial" w:hAnsi="Arial" w:cs="Arial"/>
                <w:sz w:val="24"/>
                <w:szCs w:val="24"/>
              </w:rPr>
              <w:t xml:space="preserve"> case review</w:t>
            </w:r>
            <w:r w:rsidR="003C55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5583" w:rsidRDefault="003C5583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583" w:rsidRDefault="003C5583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Report to September Board at latest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BC4" w:rsidRPr="00E87BC4" w:rsidRDefault="00E87BC4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E87BC4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 report to </w:t>
            </w:r>
            <w:r w:rsidR="009A6C40" w:rsidRPr="00E87BC4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>
              <w:rPr>
                <w:rFonts w:ascii="Arial" w:hAnsi="Arial" w:cs="Arial"/>
                <w:sz w:val="24"/>
                <w:szCs w:val="24"/>
              </w:rPr>
              <w:t>Board</w:t>
            </w: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Report to first 2019-20 Board 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2DF" w:rsidRPr="00E87BC4" w:rsidDel="000962DF" w:rsidRDefault="000962D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Review at April BMG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 xml:space="preserve">Report to Board as and when </w:t>
            </w:r>
            <w:r w:rsidRPr="00E87BC4">
              <w:rPr>
                <w:rFonts w:ascii="Arial" w:hAnsi="Arial"/>
                <w:sz w:val="24"/>
                <w:szCs w:val="24"/>
              </w:rPr>
              <w:lastRenderedPageBreak/>
              <w:t>changes are required.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95AEE" w:rsidRDefault="00195AEE">
      <w:r>
        <w:lastRenderedPageBreak/>
        <w:br w:type="page"/>
      </w:r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137"/>
        <w:gridCol w:w="3115"/>
        <w:gridCol w:w="2268"/>
        <w:gridCol w:w="1710"/>
        <w:gridCol w:w="987"/>
        <w:gridCol w:w="708"/>
        <w:gridCol w:w="3344"/>
      </w:tblGrid>
      <w:tr w:rsidR="009A6C40" w:rsidRPr="00BD6853">
        <w:trPr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E87BC4">
              <w:rPr>
                <w:rFonts w:ascii="Arial" w:hAnsi="Arial" w:cs="Arial"/>
                <w:b/>
                <w:sz w:val="24"/>
                <w:szCs w:val="24"/>
              </w:rPr>
              <w:t>Strategic Priority 3) Making Safeguarding Personal</w:t>
            </w: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C40" w:rsidRPr="00BD6853">
        <w:tblPrEx>
          <w:tblLook w:val="0000" w:firstRow="0" w:lastRow="0" w:firstColumn="0" w:lastColumn="0" w:noHBand="0" w:noVBand="0"/>
        </w:tblPrEx>
        <w:trPr>
          <w:trHeight w:val="6969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721" w:type="pct"/>
          </w:tcPr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proofErr w:type="gramStart"/>
            <w:r w:rsidRPr="00E87BC4">
              <w:rPr>
                <w:rFonts w:ascii="Arial" w:hAnsi="Arial" w:cs="Arial"/>
                <w:sz w:val="24"/>
                <w:szCs w:val="24"/>
              </w:rPr>
              <w:t>is assured</w:t>
            </w:r>
            <w:proofErr w:type="gramEnd"/>
            <w:r w:rsidRPr="00E87BC4">
              <w:rPr>
                <w:rFonts w:ascii="Arial" w:hAnsi="Arial" w:cs="Arial"/>
                <w:sz w:val="24"/>
                <w:szCs w:val="24"/>
              </w:rPr>
              <w:t xml:space="preserve"> of strong multi-agency commitment to MSP across the partnership.  </w:t>
            </w: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The principles of MSP </w:t>
            </w:r>
            <w:proofErr w:type="gramStart"/>
            <w:r w:rsidRPr="00E87BC4">
              <w:rPr>
                <w:rFonts w:ascii="Arial" w:hAnsi="Arial" w:cs="Arial"/>
                <w:sz w:val="24"/>
                <w:szCs w:val="24"/>
              </w:rPr>
              <w:t>are embedded</w:t>
            </w:r>
            <w:proofErr w:type="gramEnd"/>
            <w:r w:rsidRPr="00E87BC4">
              <w:rPr>
                <w:rFonts w:ascii="Arial" w:hAnsi="Arial" w:cs="Arial"/>
                <w:sz w:val="24"/>
                <w:szCs w:val="24"/>
              </w:rPr>
              <w:t xml:space="preserve"> in local safeguarding practice and make safeguarding person-centred and outcome focussed.</w:t>
            </w:r>
          </w:p>
        </w:tc>
        <w:tc>
          <w:tcPr>
            <w:tcW w:w="1051" w:type="pct"/>
          </w:tcPr>
          <w:p w:rsidR="009A6C40" w:rsidRPr="00E87BC4" w:rsidRDefault="009A6C40" w:rsidP="009A6C40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Review progress against national MSP guidance and available data and identify priority actions for Nottingham </w:t>
            </w:r>
          </w:p>
          <w:p w:rsidR="009A6C40" w:rsidRPr="00E87BC4" w:rsidRDefault="009A6C40" w:rsidP="00660911">
            <w:pPr>
              <w:pStyle w:val="ListParagraph"/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E87BC4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Determine minimum local feedback on practice required to inform judgement of effectiveness </w:t>
            </w:r>
          </w:p>
          <w:p w:rsidR="009A6C40" w:rsidRPr="00E87BC4" w:rsidRDefault="009A6C40" w:rsidP="00660911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Default="009A6C40" w:rsidP="00E87BC4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Present regular case studies to the Board</w:t>
            </w:r>
          </w:p>
          <w:p w:rsidR="008875B9" w:rsidRDefault="008875B9" w:rsidP="008875B9">
            <w:pPr>
              <w:pStyle w:val="ListParagraph"/>
              <w:spacing w:after="16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8875B9">
            <w:pPr>
              <w:pStyle w:val="ListParagraph"/>
              <w:spacing w:after="16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875B9" w:rsidRPr="00E87BC4" w:rsidRDefault="008875B9" w:rsidP="00E87BC4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Commissioned advocacy agency to report annual summary of activity to Board </w:t>
            </w:r>
          </w:p>
        </w:tc>
        <w:tc>
          <w:tcPr>
            <w:tcW w:w="765" w:type="pct"/>
          </w:tcPr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QA Subgroup</w:t>
            </w: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BC4" w:rsidRPr="00E87BC4" w:rsidRDefault="00E87BC4" w:rsidP="00E87BC4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55CF" w:rsidRDefault="001755C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QA subgroup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BC4" w:rsidRDefault="00E87BC4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BC4" w:rsidRDefault="00E87BC4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BC4" w:rsidRDefault="00E87BC4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BC4" w:rsidRPr="00E87BC4" w:rsidRDefault="00E87BC4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SAR subgroup to identify suitable cases</w:t>
            </w:r>
          </w:p>
          <w:p w:rsidR="009A6C40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75B9" w:rsidRPr="00E87BC4" w:rsidRDefault="008875B9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Manager and NCC commissioning</w:t>
            </w:r>
          </w:p>
        </w:tc>
        <w:tc>
          <w:tcPr>
            <w:tcW w:w="577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Initial scoping report on a) and b) to July BMG</w:t>
            </w:r>
          </w:p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BC4" w:rsidRPr="00E87BC4" w:rsidRDefault="00E87BC4" w:rsidP="00E87BC4">
            <w:pPr>
              <w:spacing w:after="3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55CF" w:rsidRDefault="001755CF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6C40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5B9" w:rsidRPr="00E87BC4" w:rsidRDefault="008875B9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Board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A6C40" w:rsidRPr="00E87BC4" w:rsidRDefault="009A6C40" w:rsidP="00660911">
            <w:pPr>
              <w:pStyle w:val="Heading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</w:tcPr>
          <w:p w:rsidR="009A6C40" w:rsidRPr="00E87BC4" w:rsidRDefault="009A6C40" w:rsidP="006609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6C40" w:rsidRPr="00BD6853">
        <w:trPr>
          <w:trHeight w:val="524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Strategic Priority 4) Working arrangements for the safeguarding partnership in Nottingham </w:t>
            </w:r>
          </w:p>
        </w:tc>
      </w:tr>
      <w:tr w:rsidR="009A6C40" w:rsidRPr="00BD6853">
        <w:trPr>
          <w:trHeight w:val="1128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ind w:left="-77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721" w:type="pct"/>
          </w:tcPr>
          <w:p w:rsidR="009A6C40" w:rsidRPr="00E87BC4" w:rsidRDefault="009A6C40" w:rsidP="0066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>To have effective Board arrangements in place</w:t>
            </w:r>
          </w:p>
        </w:tc>
        <w:tc>
          <w:tcPr>
            <w:tcW w:w="1051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a) Annual review and statement of Board effectiveness and impact, and of Board member engagement, championing and challenge.</w:t>
            </w: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b) Two-yearly review of Board Chair performance</w:t>
            </w:r>
          </w:p>
        </w:tc>
        <w:tc>
          <w:tcPr>
            <w:tcW w:w="765" w:type="pct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Board Chair</w:t>
            </w: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/>
                <w:sz w:val="24"/>
                <w:szCs w:val="24"/>
              </w:rPr>
              <w:t>NCC and Board Chair</w:t>
            </w:r>
          </w:p>
        </w:tc>
        <w:tc>
          <w:tcPr>
            <w:tcW w:w="577" w:type="pct"/>
            <w:vAlign w:val="center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March 2020 Board</w:t>
            </w: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In 2020-21</w:t>
            </w: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9A6C40" w:rsidRPr="00E87BC4" w:rsidRDefault="009A6C40" w:rsidP="00660911">
            <w:pPr>
              <w:pStyle w:val="Heading2"/>
              <w:keepLines/>
              <w:spacing w:before="40"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9A6C40" w:rsidRPr="00E87BC4" w:rsidRDefault="009A6C40" w:rsidP="006609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40" w:rsidRPr="00BD6853">
        <w:trPr>
          <w:trHeight w:val="998"/>
          <w:jc w:val="center"/>
        </w:trPr>
        <w:tc>
          <w:tcPr>
            <w:tcW w:w="186" w:type="pct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ind w:left="-77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87BC4">
              <w:rPr>
                <w:rFonts w:ascii="Arial" w:hAnsi="Arial" w:cs="Arial"/>
                <w:b/>
                <w:sz w:val="24"/>
                <w:szCs w:val="24"/>
              </w:rPr>
              <w:t>4.2</w:t>
            </w:r>
          </w:p>
        </w:tc>
        <w:tc>
          <w:tcPr>
            <w:tcW w:w="721" w:type="pct"/>
          </w:tcPr>
          <w:p w:rsidR="009A6C40" w:rsidRPr="00E87BC4" w:rsidRDefault="009A6C40" w:rsidP="006609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7BC4">
              <w:rPr>
                <w:rFonts w:ascii="Arial" w:hAnsi="Arial" w:cs="Arial"/>
                <w:bCs/>
                <w:sz w:val="24"/>
                <w:szCs w:val="24"/>
              </w:rPr>
              <w:t>To maintain resources to enable the Board to fulfil its statutory requirements</w:t>
            </w:r>
          </w:p>
        </w:tc>
        <w:tc>
          <w:tcPr>
            <w:tcW w:w="1051" w:type="pct"/>
          </w:tcPr>
          <w:p w:rsidR="009A6C40" w:rsidRPr="00E87BC4" w:rsidRDefault="009A6C40" w:rsidP="0066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Confirm partner funding for Board in 2020-21</w:t>
            </w:r>
          </w:p>
        </w:tc>
        <w:tc>
          <w:tcPr>
            <w:tcW w:w="765" w:type="pct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Funding partners</w:t>
            </w:r>
          </w:p>
        </w:tc>
        <w:tc>
          <w:tcPr>
            <w:tcW w:w="577" w:type="pct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ind w:left="175" w:hanging="28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For December</w:t>
            </w: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ind w:left="175" w:hanging="28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7BC4">
              <w:rPr>
                <w:rFonts w:ascii="Arial" w:hAnsi="Arial" w:cs="Arial"/>
                <w:sz w:val="24"/>
                <w:szCs w:val="24"/>
              </w:rPr>
              <w:t>Board</w:t>
            </w:r>
          </w:p>
        </w:tc>
        <w:tc>
          <w:tcPr>
            <w:tcW w:w="333" w:type="pct"/>
            <w:shd w:val="clear" w:color="auto" w:fill="auto"/>
          </w:tcPr>
          <w:p w:rsidR="009A6C40" w:rsidRPr="00E87BC4" w:rsidRDefault="009A6C40" w:rsidP="00660911">
            <w:pPr>
              <w:pStyle w:val="Heading3"/>
              <w:rPr>
                <w:rFonts w:ascii="Arial" w:hAnsi="Arial" w:cs="Arial"/>
                <w:szCs w:val="24"/>
              </w:rPr>
            </w:pPr>
          </w:p>
          <w:p w:rsidR="009A6C40" w:rsidRPr="00E87BC4" w:rsidRDefault="009A6C40" w:rsidP="00660911">
            <w:pPr>
              <w:pStyle w:val="Heading3"/>
              <w:rPr>
                <w:rFonts w:ascii="Arial" w:hAnsi="Arial" w:cs="Arial"/>
                <w:szCs w:val="24"/>
              </w:rPr>
            </w:pPr>
          </w:p>
          <w:p w:rsidR="009A6C40" w:rsidRPr="00E87BC4" w:rsidRDefault="009A6C40" w:rsidP="00660911">
            <w:pPr>
              <w:pStyle w:val="Heading3"/>
              <w:rPr>
                <w:rFonts w:ascii="Arial" w:hAnsi="Arial" w:cs="Arial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ind w:left="175" w:hanging="28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</w:tcPr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ind w:left="-104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9A6C40" w:rsidRPr="00E87BC4" w:rsidRDefault="009A6C40" w:rsidP="00660911">
            <w:pPr>
              <w:pStyle w:val="ListParagraph"/>
              <w:keepNext/>
              <w:keepLines/>
              <w:spacing w:before="40" w:after="0" w:line="240" w:lineRule="auto"/>
              <w:ind w:left="36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5CA" w:rsidRPr="00BD6853" w:rsidRDefault="00DD75CA" w:rsidP="004947F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D75CA" w:rsidRPr="00BD6853" w:rsidSect="00B20E9D">
      <w:footerReference w:type="default" r:id="rId9"/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83" w:rsidRDefault="003C5583" w:rsidP="00DD75CA">
      <w:pPr>
        <w:spacing w:after="0" w:line="240" w:lineRule="auto"/>
      </w:pPr>
      <w:r>
        <w:separator/>
      </w:r>
    </w:p>
  </w:endnote>
  <w:endnote w:type="continuationSeparator" w:id="0">
    <w:p w:rsidR="003C5583" w:rsidRDefault="003C5583" w:rsidP="00DD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44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583" w:rsidRDefault="008B551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A1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C5583" w:rsidRDefault="003C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83" w:rsidRDefault="003C5583" w:rsidP="00DD75CA">
      <w:pPr>
        <w:spacing w:after="0" w:line="240" w:lineRule="auto"/>
      </w:pPr>
      <w:r>
        <w:separator/>
      </w:r>
    </w:p>
  </w:footnote>
  <w:footnote w:type="continuationSeparator" w:id="0">
    <w:p w:rsidR="003C5583" w:rsidRDefault="003C5583" w:rsidP="00DD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2CA"/>
    <w:multiLevelType w:val="hybridMultilevel"/>
    <w:tmpl w:val="7604DF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078F3"/>
    <w:multiLevelType w:val="hybridMultilevel"/>
    <w:tmpl w:val="52E44FB4"/>
    <w:lvl w:ilvl="0" w:tplc="A7248BDE">
      <w:start w:val="4"/>
      <w:numFmt w:val="bullet"/>
      <w:lvlText w:val="-"/>
      <w:lvlJc w:val="left"/>
      <w:pPr>
        <w:ind w:left="80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0A06438E"/>
    <w:multiLevelType w:val="hybridMultilevel"/>
    <w:tmpl w:val="9AA2D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65281"/>
    <w:multiLevelType w:val="hybridMultilevel"/>
    <w:tmpl w:val="ACEEBC4A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8AD"/>
    <w:multiLevelType w:val="hybridMultilevel"/>
    <w:tmpl w:val="22B6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27990"/>
    <w:multiLevelType w:val="hybridMultilevel"/>
    <w:tmpl w:val="FFCCEB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9013D"/>
    <w:multiLevelType w:val="hybridMultilevel"/>
    <w:tmpl w:val="673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E3592"/>
    <w:multiLevelType w:val="hybridMultilevel"/>
    <w:tmpl w:val="29286572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0007AC9"/>
    <w:multiLevelType w:val="hybridMultilevel"/>
    <w:tmpl w:val="9D429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654E1"/>
    <w:multiLevelType w:val="hybridMultilevel"/>
    <w:tmpl w:val="D43EE9EE"/>
    <w:lvl w:ilvl="0" w:tplc="040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C41B1"/>
    <w:multiLevelType w:val="hybridMultilevel"/>
    <w:tmpl w:val="38F6C5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5685D"/>
    <w:multiLevelType w:val="hybridMultilevel"/>
    <w:tmpl w:val="25B27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5106D"/>
    <w:multiLevelType w:val="hybridMultilevel"/>
    <w:tmpl w:val="F46200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D342FF"/>
    <w:multiLevelType w:val="hybridMultilevel"/>
    <w:tmpl w:val="70B2D7B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5D72FF"/>
    <w:multiLevelType w:val="hybridMultilevel"/>
    <w:tmpl w:val="38F6C5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AF3562"/>
    <w:multiLevelType w:val="hybridMultilevel"/>
    <w:tmpl w:val="A6A203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3079C"/>
    <w:multiLevelType w:val="hybridMultilevel"/>
    <w:tmpl w:val="1A42DC54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D35F9B"/>
    <w:multiLevelType w:val="hybridMultilevel"/>
    <w:tmpl w:val="9AA2D22A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14638"/>
    <w:multiLevelType w:val="hybridMultilevel"/>
    <w:tmpl w:val="D43EE9E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3558B"/>
    <w:multiLevelType w:val="hybridMultilevel"/>
    <w:tmpl w:val="1358550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0280D"/>
    <w:multiLevelType w:val="hybridMultilevel"/>
    <w:tmpl w:val="2C6A5E1A"/>
    <w:lvl w:ilvl="0" w:tplc="D04ED9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86AA9"/>
    <w:multiLevelType w:val="hybridMultilevel"/>
    <w:tmpl w:val="AD16B24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718C5"/>
    <w:multiLevelType w:val="hybridMultilevel"/>
    <w:tmpl w:val="E624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15"/>
  </w:num>
  <w:num w:numId="12">
    <w:abstractNumId w:val="19"/>
  </w:num>
  <w:num w:numId="13">
    <w:abstractNumId w:val="1"/>
  </w:num>
  <w:num w:numId="14">
    <w:abstractNumId w:val="20"/>
  </w:num>
  <w:num w:numId="15">
    <w:abstractNumId w:val="2"/>
  </w:num>
  <w:num w:numId="16">
    <w:abstractNumId w:val="16"/>
  </w:num>
  <w:num w:numId="17">
    <w:abstractNumId w:val="17"/>
  </w:num>
  <w:num w:numId="18">
    <w:abstractNumId w:val="9"/>
  </w:num>
  <w:num w:numId="19">
    <w:abstractNumId w:val="18"/>
  </w:num>
  <w:num w:numId="20">
    <w:abstractNumId w:val="22"/>
  </w:num>
  <w:num w:numId="21">
    <w:abstractNumId w:val="2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61"/>
    <w:rsid w:val="00012E38"/>
    <w:rsid w:val="0004345D"/>
    <w:rsid w:val="00045E05"/>
    <w:rsid w:val="000676A0"/>
    <w:rsid w:val="000732F1"/>
    <w:rsid w:val="000842E4"/>
    <w:rsid w:val="00085E45"/>
    <w:rsid w:val="00086A68"/>
    <w:rsid w:val="00086FA7"/>
    <w:rsid w:val="000916EE"/>
    <w:rsid w:val="000962DF"/>
    <w:rsid w:val="000A13C7"/>
    <w:rsid w:val="000C6289"/>
    <w:rsid w:val="000E2D15"/>
    <w:rsid w:val="000E3C25"/>
    <w:rsid w:val="000E7728"/>
    <w:rsid w:val="000F0607"/>
    <w:rsid w:val="000F34A8"/>
    <w:rsid w:val="000F6C0A"/>
    <w:rsid w:val="00102F8E"/>
    <w:rsid w:val="001063F5"/>
    <w:rsid w:val="001078A1"/>
    <w:rsid w:val="0012707B"/>
    <w:rsid w:val="00146387"/>
    <w:rsid w:val="001530B1"/>
    <w:rsid w:val="00153124"/>
    <w:rsid w:val="001554CD"/>
    <w:rsid w:val="00161B1A"/>
    <w:rsid w:val="00165D0C"/>
    <w:rsid w:val="001755CF"/>
    <w:rsid w:val="001848CE"/>
    <w:rsid w:val="001879BD"/>
    <w:rsid w:val="00195AEE"/>
    <w:rsid w:val="00196311"/>
    <w:rsid w:val="0019735E"/>
    <w:rsid w:val="001B6895"/>
    <w:rsid w:val="001B77C0"/>
    <w:rsid w:val="001E4D46"/>
    <w:rsid w:val="001F7A46"/>
    <w:rsid w:val="00204A54"/>
    <w:rsid w:val="002051F6"/>
    <w:rsid w:val="00214528"/>
    <w:rsid w:val="00221EFA"/>
    <w:rsid w:val="00225B47"/>
    <w:rsid w:val="00241E57"/>
    <w:rsid w:val="002438DF"/>
    <w:rsid w:val="00285D60"/>
    <w:rsid w:val="002A5996"/>
    <w:rsid w:val="002C4EB4"/>
    <w:rsid w:val="002C66D3"/>
    <w:rsid w:val="002C7705"/>
    <w:rsid w:val="002D657D"/>
    <w:rsid w:val="002E78D7"/>
    <w:rsid w:val="00303ED5"/>
    <w:rsid w:val="00306096"/>
    <w:rsid w:val="00314FE2"/>
    <w:rsid w:val="003327AF"/>
    <w:rsid w:val="00335F35"/>
    <w:rsid w:val="003377F8"/>
    <w:rsid w:val="00337A5A"/>
    <w:rsid w:val="00344500"/>
    <w:rsid w:val="003470B2"/>
    <w:rsid w:val="00362BC4"/>
    <w:rsid w:val="003646D1"/>
    <w:rsid w:val="00366077"/>
    <w:rsid w:val="00373B1B"/>
    <w:rsid w:val="003806BB"/>
    <w:rsid w:val="00392F87"/>
    <w:rsid w:val="003A3B6E"/>
    <w:rsid w:val="003A7327"/>
    <w:rsid w:val="003C5583"/>
    <w:rsid w:val="003C5997"/>
    <w:rsid w:val="003C5D98"/>
    <w:rsid w:val="003C7BB6"/>
    <w:rsid w:val="003C7BF5"/>
    <w:rsid w:val="003D33D1"/>
    <w:rsid w:val="003E3DD8"/>
    <w:rsid w:val="003E6027"/>
    <w:rsid w:val="003F3574"/>
    <w:rsid w:val="003F7AFC"/>
    <w:rsid w:val="00400B22"/>
    <w:rsid w:val="00410154"/>
    <w:rsid w:val="004169FF"/>
    <w:rsid w:val="00420E3E"/>
    <w:rsid w:val="00426357"/>
    <w:rsid w:val="0044434E"/>
    <w:rsid w:val="00444A17"/>
    <w:rsid w:val="00452CBB"/>
    <w:rsid w:val="00467374"/>
    <w:rsid w:val="00467F51"/>
    <w:rsid w:val="00472717"/>
    <w:rsid w:val="00474D64"/>
    <w:rsid w:val="0047568F"/>
    <w:rsid w:val="004843D9"/>
    <w:rsid w:val="004947F4"/>
    <w:rsid w:val="004B3569"/>
    <w:rsid w:val="004B442A"/>
    <w:rsid w:val="004C3BAC"/>
    <w:rsid w:val="004C5D9C"/>
    <w:rsid w:val="004D5BA0"/>
    <w:rsid w:val="004D7B8C"/>
    <w:rsid w:val="005049A2"/>
    <w:rsid w:val="00511FEC"/>
    <w:rsid w:val="005213A8"/>
    <w:rsid w:val="00524508"/>
    <w:rsid w:val="005473F5"/>
    <w:rsid w:val="00557C08"/>
    <w:rsid w:val="00562DF5"/>
    <w:rsid w:val="00567C22"/>
    <w:rsid w:val="00571675"/>
    <w:rsid w:val="005A3FBC"/>
    <w:rsid w:val="005B6398"/>
    <w:rsid w:val="005D0731"/>
    <w:rsid w:val="005F74A0"/>
    <w:rsid w:val="0060739E"/>
    <w:rsid w:val="00607A4F"/>
    <w:rsid w:val="0061245E"/>
    <w:rsid w:val="00614B00"/>
    <w:rsid w:val="0061794F"/>
    <w:rsid w:val="006279A5"/>
    <w:rsid w:val="00631428"/>
    <w:rsid w:val="0064694A"/>
    <w:rsid w:val="00652853"/>
    <w:rsid w:val="0065338E"/>
    <w:rsid w:val="00660911"/>
    <w:rsid w:val="006677D7"/>
    <w:rsid w:val="00672625"/>
    <w:rsid w:val="0067559D"/>
    <w:rsid w:val="00676B83"/>
    <w:rsid w:val="006832C8"/>
    <w:rsid w:val="00694954"/>
    <w:rsid w:val="006B2791"/>
    <w:rsid w:val="006B75F2"/>
    <w:rsid w:val="006C370D"/>
    <w:rsid w:val="006C3E3A"/>
    <w:rsid w:val="006C6D95"/>
    <w:rsid w:val="006D53E8"/>
    <w:rsid w:val="006D7B89"/>
    <w:rsid w:val="006E0CCD"/>
    <w:rsid w:val="006E20C9"/>
    <w:rsid w:val="006E7714"/>
    <w:rsid w:val="00703440"/>
    <w:rsid w:val="00710581"/>
    <w:rsid w:val="00715A3B"/>
    <w:rsid w:val="00715F90"/>
    <w:rsid w:val="00726DB4"/>
    <w:rsid w:val="00735E62"/>
    <w:rsid w:val="007553B4"/>
    <w:rsid w:val="0075578D"/>
    <w:rsid w:val="00756321"/>
    <w:rsid w:val="0076071A"/>
    <w:rsid w:val="0076384C"/>
    <w:rsid w:val="00767AE5"/>
    <w:rsid w:val="007710B1"/>
    <w:rsid w:val="00774656"/>
    <w:rsid w:val="0077642D"/>
    <w:rsid w:val="00780CD7"/>
    <w:rsid w:val="00785407"/>
    <w:rsid w:val="00795A98"/>
    <w:rsid w:val="007A0A29"/>
    <w:rsid w:val="007A4156"/>
    <w:rsid w:val="007B1D2F"/>
    <w:rsid w:val="007B36F6"/>
    <w:rsid w:val="007B41AA"/>
    <w:rsid w:val="007B64DE"/>
    <w:rsid w:val="007C0A21"/>
    <w:rsid w:val="007C4706"/>
    <w:rsid w:val="007E2510"/>
    <w:rsid w:val="007E372B"/>
    <w:rsid w:val="007E4090"/>
    <w:rsid w:val="007E5806"/>
    <w:rsid w:val="007F5003"/>
    <w:rsid w:val="007F5BA4"/>
    <w:rsid w:val="008028FA"/>
    <w:rsid w:val="0082115F"/>
    <w:rsid w:val="0082704E"/>
    <w:rsid w:val="00854971"/>
    <w:rsid w:val="00856331"/>
    <w:rsid w:val="008565B0"/>
    <w:rsid w:val="00867A87"/>
    <w:rsid w:val="0088563B"/>
    <w:rsid w:val="008875B9"/>
    <w:rsid w:val="00897E2F"/>
    <w:rsid w:val="008B2BA6"/>
    <w:rsid w:val="008B3C6D"/>
    <w:rsid w:val="008B4285"/>
    <w:rsid w:val="008B433C"/>
    <w:rsid w:val="008B45F9"/>
    <w:rsid w:val="008B5515"/>
    <w:rsid w:val="008C0898"/>
    <w:rsid w:val="008D0B04"/>
    <w:rsid w:val="008E41C4"/>
    <w:rsid w:val="008F4341"/>
    <w:rsid w:val="00900CA8"/>
    <w:rsid w:val="00917FDE"/>
    <w:rsid w:val="009322E6"/>
    <w:rsid w:val="009334C5"/>
    <w:rsid w:val="00940CFB"/>
    <w:rsid w:val="00947804"/>
    <w:rsid w:val="00971C12"/>
    <w:rsid w:val="00977688"/>
    <w:rsid w:val="0099318A"/>
    <w:rsid w:val="00996E2A"/>
    <w:rsid w:val="00997DD5"/>
    <w:rsid w:val="00997E15"/>
    <w:rsid w:val="009A21E8"/>
    <w:rsid w:val="009A6490"/>
    <w:rsid w:val="009A6C40"/>
    <w:rsid w:val="009B2CED"/>
    <w:rsid w:val="009C0C73"/>
    <w:rsid w:val="009C4682"/>
    <w:rsid w:val="009D02DD"/>
    <w:rsid w:val="009D27D6"/>
    <w:rsid w:val="009E4AF9"/>
    <w:rsid w:val="009F2683"/>
    <w:rsid w:val="009F5D18"/>
    <w:rsid w:val="009F77F7"/>
    <w:rsid w:val="00A04E91"/>
    <w:rsid w:val="00A07745"/>
    <w:rsid w:val="00A13492"/>
    <w:rsid w:val="00A227A4"/>
    <w:rsid w:val="00A23FFF"/>
    <w:rsid w:val="00A43F36"/>
    <w:rsid w:val="00A531F7"/>
    <w:rsid w:val="00A55850"/>
    <w:rsid w:val="00A67ADD"/>
    <w:rsid w:val="00A730B7"/>
    <w:rsid w:val="00A736F5"/>
    <w:rsid w:val="00A909C8"/>
    <w:rsid w:val="00AA3198"/>
    <w:rsid w:val="00AD072E"/>
    <w:rsid w:val="00AF40E9"/>
    <w:rsid w:val="00AF7B4E"/>
    <w:rsid w:val="00B00972"/>
    <w:rsid w:val="00B06AF4"/>
    <w:rsid w:val="00B20E9D"/>
    <w:rsid w:val="00B21CC0"/>
    <w:rsid w:val="00B275A6"/>
    <w:rsid w:val="00B4644B"/>
    <w:rsid w:val="00B5130D"/>
    <w:rsid w:val="00B64B60"/>
    <w:rsid w:val="00B66B3E"/>
    <w:rsid w:val="00B72F89"/>
    <w:rsid w:val="00B743C3"/>
    <w:rsid w:val="00B812F1"/>
    <w:rsid w:val="00BA6F30"/>
    <w:rsid w:val="00BC15E8"/>
    <w:rsid w:val="00BC42B5"/>
    <w:rsid w:val="00BD6853"/>
    <w:rsid w:val="00BE6646"/>
    <w:rsid w:val="00BE7DF6"/>
    <w:rsid w:val="00BF2B83"/>
    <w:rsid w:val="00BF6E2B"/>
    <w:rsid w:val="00C06120"/>
    <w:rsid w:val="00C159D1"/>
    <w:rsid w:val="00C32570"/>
    <w:rsid w:val="00C359FE"/>
    <w:rsid w:val="00C37155"/>
    <w:rsid w:val="00C41661"/>
    <w:rsid w:val="00C60D95"/>
    <w:rsid w:val="00C6187C"/>
    <w:rsid w:val="00C93C5F"/>
    <w:rsid w:val="00CB03AF"/>
    <w:rsid w:val="00CB48D0"/>
    <w:rsid w:val="00CC01C1"/>
    <w:rsid w:val="00CD0C87"/>
    <w:rsid w:val="00D05361"/>
    <w:rsid w:val="00D14988"/>
    <w:rsid w:val="00D20A8C"/>
    <w:rsid w:val="00D20A90"/>
    <w:rsid w:val="00D224C8"/>
    <w:rsid w:val="00D24D5C"/>
    <w:rsid w:val="00D26337"/>
    <w:rsid w:val="00D2741A"/>
    <w:rsid w:val="00D37B1F"/>
    <w:rsid w:val="00D43C06"/>
    <w:rsid w:val="00D63846"/>
    <w:rsid w:val="00D7044A"/>
    <w:rsid w:val="00D73C10"/>
    <w:rsid w:val="00D75597"/>
    <w:rsid w:val="00D81DEA"/>
    <w:rsid w:val="00D960FB"/>
    <w:rsid w:val="00D97913"/>
    <w:rsid w:val="00DD0E86"/>
    <w:rsid w:val="00DD42B4"/>
    <w:rsid w:val="00DD75CA"/>
    <w:rsid w:val="00DE5F2A"/>
    <w:rsid w:val="00DF707B"/>
    <w:rsid w:val="00E22492"/>
    <w:rsid w:val="00E25FAB"/>
    <w:rsid w:val="00E30F2F"/>
    <w:rsid w:val="00E34D6E"/>
    <w:rsid w:val="00E34EDC"/>
    <w:rsid w:val="00E43EB6"/>
    <w:rsid w:val="00E444C0"/>
    <w:rsid w:val="00E4617E"/>
    <w:rsid w:val="00E46447"/>
    <w:rsid w:val="00E47DB7"/>
    <w:rsid w:val="00E6144D"/>
    <w:rsid w:val="00E6283F"/>
    <w:rsid w:val="00E65A37"/>
    <w:rsid w:val="00E70C18"/>
    <w:rsid w:val="00E72D3F"/>
    <w:rsid w:val="00E7624F"/>
    <w:rsid w:val="00E866BA"/>
    <w:rsid w:val="00E86ABF"/>
    <w:rsid w:val="00E87BC4"/>
    <w:rsid w:val="00E9104F"/>
    <w:rsid w:val="00EB505C"/>
    <w:rsid w:val="00EC3977"/>
    <w:rsid w:val="00ED0CA3"/>
    <w:rsid w:val="00EE4EC8"/>
    <w:rsid w:val="00EF377D"/>
    <w:rsid w:val="00EF7DF9"/>
    <w:rsid w:val="00F04798"/>
    <w:rsid w:val="00F13E76"/>
    <w:rsid w:val="00F21949"/>
    <w:rsid w:val="00F358B6"/>
    <w:rsid w:val="00F42215"/>
    <w:rsid w:val="00F50FB0"/>
    <w:rsid w:val="00F53F9C"/>
    <w:rsid w:val="00F649FC"/>
    <w:rsid w:val="00F679E1"/>
    <w:rsid w:val="00F7685D"/>
    <w:rsid w:val="00F8770E"/>
    <w:rsid w:val="00F924F4"/>
    <w:rsid w:val="00F929B2"/>
    <w:rsid w:val="00FA3898"/>
    <w:rsid w:val="00FB389E"/>
    <w:rsid w:val="00FC508D"/>
    <w:rsid w:val="00FC5F21"/>
    <w:rsid w:val="00FD203D"/>
    <w:rsid w:val="00FD617A"/>
    <w:rsid w:val="00FE4592"/>
    <w:rsid w:val="00FE564E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331C309-37E6-4EAC-8201-88EBBAA1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89"/>
  </w:style>
  <w:style w:type="paragraph" w:styleId="Heading1">
    <w:name w:val="heading 1"/>
    <w:basedOn w:val="Normal"/>
    <w:next w:val="Normal"/>
    <w:link w:val="Heading1Char"/>
    <w:uiPriority w:val="9"/>
    <w:qFormat/>
    <w:rsid w:val="003646D1"/>
    <w:pPr>
      <w:keepNext/>
      <w:keepLines/>
      <w:spacing w:before="40" w:after="0" w:line="240" w:lineRule="auto"/>
      <w:ind w:left="-311"/>
      <w:jc w:val="center"/>
      <w:outlineLvl w:val="0"/>
    </w:pPr>
    <w:rPr>
      <w:rFonts w:ascii="Calibri Light" w:hAnsi="Calibri Light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6D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3AF"/>
    <w:pPr>
      <w:keepNext/>
      <w:keepLines/>
      <w:spacing w:before="40" w:after="0" w:line="240" w:lineRule="auto"/>
      <w:ind w:left="175" w:hanging="283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3AF"/>
    <w:pPr>
      <w:keepNext/>
      <w:keepLines/>
      <w:spacing w:before="40" w:after="0" w:line="240" w:lineRule="auto"/>
      <w:ind w:left="175" w:hanging="283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3492"/>
    <w:pPr>
      <w:keepNext/>
      <w:spacing w:after="0" w:line="240" w:lineRule="auto"/>
      <w:jc w:val="center"/>
      <w:outlineLvl w:val="4"/>
    </w:pPr>
    <w:rPr>
      <w:rFonts w:ascii="Arial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832C8"/>
    <w:pPr>
      <w:ind w:left="720"/>
      <w:contextualSpacing/>
    </w:pPr>
  </w:style>
  <w:style w:type="character" w:customStyle="1" w:styleId="s4">
    <w:name w:val="s4"/>
    <w:basedOn w:val="DefaultParagraphFont"/>
    <w:rsid w:val="00DD75CA"/>
  </w:style>
  <w:style w:type="paragraph" w:styleId="Header">
    <w:name w:val="header"/>
    <w:basedOn w:val="Normal"/>
    <w:link w:val="HeaderChar"/>
    <w:uiPriority w:val="99"/>
    <w:unhideWhenUsed/>
    <w:rsid w:val="00DD7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CA"/>
  </w:style>
  <w:style w:type="paragraph" w:styleId="Footer">
    <w:name w:val="footer"/>
    <w:basedOn w:val="Normal"/>
    <w:link w:val="FooterChar"/>
    <w:uiPriority w:val="99"/>
    <w:unhideWhenUsed/>
    <w:rsid w:val="00DD7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CA"/>
  </w:style>
  <w:style w:type="character" w:styleId="CommentReference">
    <w:name w:val="annotation reference"/>
    <w:basedOn w:val="DefaultParagraphFont"/>
    <w:uiPriority w:val="99"/>
    <w:semiHidden/>
    <w:unhideWhenUsed/>
    <w:rsid w:val="00C93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C5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46D1"/>
    <w:rPr>
      <w:rFonts w:ascii="Calibri Light" w:hAnsi="Calibri Light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C66D3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3AF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03AF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A13492"/>
    <w:rPr>
      <w:rFonts w:ascii="Arial" w:hAnsi="Arial" w:cs="Arial"/>
      <w:b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204A5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04A54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04A54"/>
    <w:pPr>
      <w:keepNext/>
      <w:keepLines/>
      <w:spacing w:before="40" w:after="0" w:line="240" w:lineRule="auto"/>
      <w:ind w:left="81"/>
      <w:outlineLvl w:val="1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4A54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5338E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5338E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38E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5338E"/>
    <w:rPr>
      <w:rFonts w:eastAsiaTheme="minorEastAsia" w:cs="Times New Roman"/>
      <w:color w:val="5A5A5A" w:themeColor="text1" w:themeTint="A5"/>
      <w:spacing w:val="15"/>
      <w:lang w:val="en-US"/>
    </w:rPr>
  </w:style>
  <w:style w:type="paragraph" w:customStyle="1" w:styleId="Default">
    <w:name w:val="Default"/>
    <w:rsid w:val="00B20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C7BD-C8B9-428D-8277-1197692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Butt</dc:creator>
  <cp:lastModifiedBy>Ross Leather</cp:lastModifiedBy>
  <cp:revision>3</cp:revision>
  <cp:lastPrinted>2019-04-08T08:08:00Z</cp:lastPrinted>
  <dcterms:created xsi:type="dcterms:W3CDTF">2019-03-27T16:26:00Z</dcterms:created>
  <dcterms:modified xsi:type="dcterms:W3CDTF">2019-04-08T08:22:00Z</dcterms:modified>
</cp:coreProperties>
</file>