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A34D" w14:textId="6108776A" w:rsidR="00CE0E8F" w:rsidRPr="004638F8" w:rsidRDefault="00D510D4" w:rsidP="00C26DED">
      <w:pPr>
        <w:spacing w:after="0" w:line="240" w:lineRule="auto"/>
        <w:jc w:val="center"/>
        <w:rPr>
          <w:rFonts w:cs="Arial"/>
          <w:b/>
          <w:sz w:val="24"/>
          <w:szCs w:val="24"/>
          <w:u w:val="single"/>
        </w:rPr>
      </w:pPr>
      <w:r>
        <w:rPr>
          <w:rFonts w:cs="Arial"/>
          <w:b/>
          <w:sz w:val="24"/>
          <w:szCs w:val="24"/>
          <w:u w:val="single"/>
        </w:rPr>
        <w:t>Nottingham City Council, Early Years Schools Forum Sub-Group</w:t>
      </w:r>
      <w:r w:rsidR="00CE0E8F" w:rsidRPr="004638F8">
        <w:rPr>
          <w:rFonts w:cs="Arial"/>
          <w:b/>
          <w:sz w:val="24"/>
          <w:szCs w:val="24"/>
          <w:u w:val="single"/>
        </w:rPr>
        <w:t xml:space="preserve"> Minutes</w:t>
      </w:r>
    </w:p>
    <w:p w14:paraId="317A984A" w14:textId="77777777" w:rsidR="00C26DED" w:rsidRDefault="00C26DED" w:rsidP="00CE0E8F">
      <w:pPr>
        <w:spacing w:after="0" w:line="240" w:lineRule="auto"/>
        <w:rPr>
          <w:rFonts w:cs="Arial"/>
          <w:sz w:val="24"/>
          <w:szCs w:val="24"/>
        </w:rPr>
      </w:pPr>
    </w:p>
    <w:tbl>
      <w:tblPr>
        <w:tblStyle w:val="TableGrid"/>
        <w:tblW w:w="9923" w:type="dxa"/>
        <w:tblInd w:w="-289" w:type="dxa"/>
        <w:tblLook w:val="04A0" w:firstRow="1" w:lastRow="0" w:firstColumn="1" w:lastColumn="0" w:noHBand="0" w:noVBand="1"/>
      </w:tblPr>
      <w:tblGrid>
        <w:gridCol w:w="4962"/>
        <w:gridCol w:w="4961"/>
      </w:tblGrid>
      <w:tr w:rsidR="00C26DED" w14:paraId="4A657265" w14:textId="77777777" w:rsidTr="00C26DED">
        <w:tc>
          <w:tcPr>
            <w:tcW w:w="4962" w:type="dxa"/>
          </w:tcPr>
          <w:p w14:paraId="47312A98" w14:textId="70C657C6" w:rsidR="00C26DED" w:rsidRPr="00C26DED" w:rsidRDefault="00C26DED" w:rsidP="00CE0E8F">
            <w:pPr>
              <w:spacing w:after="0" w:line="240" w:lineRule="auto"/>
              <w:rPr>
                <w:rFonts w:cs="Arial"/>
                <w:b/>
                <w:sz w:val="24"/>
                <w:szCs w:val="24"/>
              </w:rPr>
            </w:pPr>
            <w:r w:rsidRPr="00C26DED">
              <w:rPr>
                <w:rFonts w:cs="Arial"/>
                <w:b/>
                <w:sz w:val="24"/>
                <w:szCs w:val="24"/>
              </w:rPr>
              <w:t>Meeting Date</w:t>
            </w:r>
            <w:r w:rsidRPr="00FF5573">
              <w:rPr>
                <w:rFonts w:cs="Arial"/>
                <w:bCs/>
                <w:sz w:val="24"/>
                <w:szCs w:val="24"/>
              </w:rPr>
              <w:t xml:space="preserve">: </w:t>
            </w:r>
            <w:r w:rsidR="00F30C62">
              <w:rPr>
                <w:rFonts w:cs="Arial"/>
                <w:bCs/>
                <w:sz w:val="24"/>
                <w:szCs w:val="24"/>
              </w:rPr>
              <w:t>09.03.26</w:t>
            </w:r>
            <w:r w:rsidRPr="00C26DED">
              <w:rPr>
                <w:rFonts w:cs="Arial"/>
                <w:b/>
                <w:sz w:val="24"/>
                <w:szCs w:val="24"/>
              </w:rPr>
              <w:t xml:space="preserve">            </w:t>
            </w:r>
          </w:p>
        </w:tc>
        <w:tc>
          <w:tcPr>
            <w:tcW w:w="4961" w:type="dxa"/>
          </w:tcPr>
          <w:p w14:paraId="443BEFA5" w14:textId="2DECCE07" w:rsidR="00C26DED" w:rsidRPr="00C26DED" w:rsidRDefault="00C26DED" w:rsidP="00CE0E8F">
            <w:pPr>
              <w:spacing w:after="0" w:line="240" w:lineRule="auto"/>
              <w:rPr>
                <w:rFonts w:cs="Arial"/>
                <w:b/>
                <w:sz w:val="24"/>
                <w:szCs w:val="24"/>
              </w:rPr>
            </w:pPr>
            <w:r w:rsidRPr="00C26DED">
              <w:rPr>
                <w:rFonts w:cs="Arial"/>
                <w:b/>
                <w:sz w:val="24"/>
                <w:szCs w:val="24"/>
              </w:rPr>
              <w:t xml:space="preserve">Time: </w:t>
            </w:r>
            <w:r w:rsidR="00F30C62">
              <w:rPr>
                <w:rFonts w:cs="Arial"/>
                <w:bCs/>
                <w:sz w:val="24"/>
                <w:szCs w:val="24"/>
              </w:rPr>
              <w:t>6.00pm</w:t>
            </w:r>
          </w:p>
        </w:tc>
      </w:tr>
      <w:tr w:rsidR="00C26DED" w14:paraId="782E04F4" w14:textId="77777777" w:rsidTr="00C26DED">
        <w:tc>
          <w:tcPr>
            <w:tcW w:w="9923" w:type="dxa"/>
            <w:gridSpan w:val="2"/>
          </w:tcPr>
          <w:p w14:paraId="30E26449" w14:textId="6B97C556" w:rsidR="00C26DED" w:rsidRPr="00C26DED" w:rsidRDefault="00C26DED" w:rsidP="00CE0E8F">
            <w:pPr>
              <w:spacing w:after="0" w:line="240" w:lineRule="auto"/>
              <w:rPr>
                <w:rFonts w:cs="Arial"/>
                <w:b/>
                <w:sz w:val="24"/>
                <w:szCs w:val="24"/>
              </w:rPr>
            </w:pPr>
            <w:r w:rsidRPr="00C26DED">
              <w:rPr>
                <w:rFonts w:cs="Arial"/>
                <w:b/>
                <w:sz w:val="24"/>
                <w:szCs w:val="24"/>
              </w:rPr>
              <w:t>Venue</w:t>
            </w:r>
            <w:r w:rsidR="006D78A7">
              <w:rPr>
                <w:rFonts w:cs="Arial"/>
                <w:b/>
                <w:sz w:val="24"/>
                <w:szCs w:val="24"/>
              </w:rPr>
              <w:t>/Platform</w:t>
            </w:r>
            <w:r w:rsidRPr="00C26DED">
              <w:rPr>
                <w:rFonts w:cs="Arial"/>
                <w:b/>
                <w:sz w:val="24"/>
                <w:szCs w:val="24"/>
              </w:rPr>
              <w:t>:</w:t>
            </w:r>
            <w:r w:rsidR="003C3B6F">
              <w:rPr>
                <w:rFonts w:cs="Arial"/>
                <w:b/>
                <w:sz w:val="24"/>
                <w:szCs w:val="24"/>
              </w:rPr>
              <w:t xml:space="preserve"> </w:t>
            </w:r>
            <w:r w:rsidR="00F30C62">
              <w:rPr>
                <w:rFonts w:cs="Arial"/>
                <w:bCs/>
                <w:sz w:val="24"/>
                <w:szCs w:val="24"/>
              </w:rPr>
              <w:t>MS Teams</w:t>
            </w:r>
          </w:p>
        </w:tc>
      </w:tr>
      <w:tr w:rsidR="00C26DED" w14:paraId="29DA1640" w14:textId="77777777" w:rsidTr="00C26DED">
        <w:tc>
          <w:tcPr>
            <w:tcW w:w="9923" w:type="dxa"/>
            <w:gridSpan w:val="2"/>
          </w:tcPr>
          <w:p w14:paraId="18810CF0" w14:textId="79DC9B64" w:rsidR="00C26DED" w:rsidRPr="00C26DED" w:rsidRDefault="00C26DED" w:rsidP="00CE0E8F">
            <w:pPr>
              <w:spacing w:after="0" w:line="240" w:lineRule="auto"/>
              <w:rPr>
                <w:rFonts w:cs="Arial"/>
                <w:b/>
                <w:sz w:val="24"/>
                <w:szCs w:val="24"/>
              </w:rPr>
            </w:pPr>
            <w:r w:rsidRPr="00C26DED">
              <w:rPr>
                <w:rFonts w:cs="Arial"/>
                <w:b/>
                <w:sz w:val="24"/>
                <w:szCs w:val="24"/>
              </w:rPr>
              <w:t>Chair:</w:t>
            </w:r>
            <w:r w:rsidR="00F72B13" w:rsidRPr="008600C6">
              <w:rPr>
                <w:rFonts w:cs="Arial"/>
                <w:bCs/>
                <w:sz w:val="24"/>
                <w:szCs w:val="24"/>
              </w:rPr>
              <w:t xml:space="preserve"> </w:t>
            </w:r>
            <w:r w:rsidR="00D510D4">
              <w:rPr>
                <w:rFonts w:cs="Arial"/>
                <w:bCs/>
                <w:sz w:val="24"/>
                <w:szCs w:val="24"/>
              </w:rPr>
              <w:t>Kathryn Bouchlaghem (KB) – Early Years</w:t>
            </w:r>
          </w:p>
        </w:tc>
      </w:tr>
      <w:tr w:rsidR="00C26DED" w14:paraId="0CFB539D" w14:textId="77777777" w:rsidTr="00C26DED">
        <w:tc>
          <w:tcPr>
            <w:tcW w:w="9923" w:type="dxa"/>
            <w:gridSpan w:val="2"/>
          </w:tcPr>
          <w:p w14:paraId="2E945E88" w14:textId="14246C56" w:rsidR="00C26DED" w:rsidRPr="00D510D4" w:rsidRDefault="00C26DED" w:rsidP="00CE0E8F">
            <w:pPr>
              <w:spacing w:after="0" w:line="240" w:lineRule="auto"/>
              <w:rPr>
                <w:rFonts w:cs="Arial"/>
                <w:bCs/>
                <w:sz w:val="24"/>
                <w:szCs w:val="24"/>
              </w:rPr>
            </w:pPr>
            <w:r w:rsidRPr="00C26DED">
              <w:rPr>
                <w:rFonts w:cs="Arial"/>
                <w:b/>
                <w:sz w:val="24"/>
                <w:szCs w:val="24"/>
              </w:rPr>
              <w:t>Minutes:</w:t>
            </w:r>
            <w:r w:rsidR="00F72B13">
              <w:rPr>
                <w:rFonts w:cs="Arial"/>
                <w:b/>
                <w:sz w:val="24"/>
                <w:szCs w:val="24"/>
              </w:rPr>
              <w:t xml:space="preserve"> </w:t>
            </w:r>
            <w:r w:rsidR="00D510D4">
              <w:rPr>
                <w:rFonts w:cs="Arial"/>
                <w:bCs/>
                <w:sz w:val="24"/>
                <w:szCs w:val="24"/>
              </w:rPr>
              <w:t>Katherine Crossley (KC) – Early Years</w:t>
            </w:r>
          </w:p>
        </w:tc>
      </w:tr>
      <w:tr w:rsidR="00C26DED" w14:paraId="00F1223E" w14:textId="77777777" w:rsidTr="00C26DED">
        <w:tc>
          <w:tcPr>
            <w:tcW w:w="9923" w:type="dxa"/>
            <w:gridSpan w:val="2"/>
          </w:tcPr>
          <w:p w14:paraId="5CFF35A6" w14:textId="77777777" w:rsidR="00C26DED" w:rsidRDefault="00C26DED" w:rsidP="00CE0E8F">
            <w:pPr>
              <w:spacing w:after="0" w:line="240" w:lineRule="auto"/>
              <w:rPr>
                <w:rFonts w:cs="Arial"/>
                <w:b/>
                <w:sz w:val="24"/>
                <w:szCs w:val="24"/>
              </w:rPr>
            </w:pPr>
            <w:r w:rsidRPr="00C26DED">
              <w:rPr>
                <w:rFonts w:cs="Arial"/>
                <w:b/>
                <w:sz w:val="24"/>
                <w:szCs w:val="24"/>
              </w:rPr>
              <w:t>In Attendance:</w:t>
            </w:r>
          </w:p>
          <w:p w14:paraId="20C35719" w14:textId="01E8E4FF" w:rsidR="00E04D6B" w:rsidRPr="00D510D4" w:rsidRDefault="00D510D4" w:rsidP="00F017F4">
            <w:pPr>
              <w:spacing w:after="0" w:line="240" w:lineRule="auto"/>
              <w:jc w:val="both"/>
              <w:rPr>
                <w:rFonts w:cs="Arial"/>
                <w:bCs/>
                <w:sz w:val="24"/>
                <w:szCs w:val="24"/>
              </w:rPr>
            </w:pPr>
            <w:r w:rsidRPr="00473126">
              <w:rPr>
                <w:rFonts w:cs="Arial"/>
                <w:bCs/>
                <w:color w:val="000000" w:themeColor="text1"/>
                <w:sz w:val="24"/>
                <w:szCs w:val="24"/>
              </w:rPr>
              <w:t>Kathryn Bouchla</w:t>
            </w:r>
            <w:r w:rsidRPr="007617DB">
              <w:rPr>
                <w:rFonts w:cs="Arial"/>
                <w:bCs/>
                <w:sz w:val="24"/>
                <w:szCs w:val="24"/>
              </w:rPr>
              <w:t>ghem (KB) – Early Years</w:t>
            </w:r>
            <w:r w:rsidR="008E5A12" w:rsidRPr="007617DB">
              <w:rPr>
                <w:rFonts w:cs="Arial"/>
                <w:bCs/>
                <w:sz w:val="24"/>
                <w:szCs w:val="24"/>
              </w:rPr>
              <w:t xml:space="preserve">, </w:t>
            </w:r>
            <w:r w:rsidRPr="007617DB">
              <w:rPr>
                <w:rFonts w:cs="Arial"/>
                <w:bCs/>
                <w:sz w:val="24"/>
                <w:szCs w:val="24"/>
              </w:rPr>
              <w:t>Katherine Crossley (KC) – Early Years</w:t>
            </w:r>
            <w:r w:rsidR="008E5A12" w:rsidRPr="007617DB">
              <w:rPr>
                <w:rFonts w:cs="Arial"/>
                <w:bCs/>
                <w:sz w:val="24"/>
                <w:szCs w:val="24"/>
              </w:rPr>
              <w:t xml:space="preserve">, </w:t>
            </w:r>
            <w:r w:rsidR="00F017F4" w:rsidRPr="007617DB">
              <w:rPr>
                <w:rFonts w:cs="Arial"/>
                <w:bCs/>
                <w:sz w:val="24"/>
                <w:szCs w:val="24"/>
              </w:rPr>
              <w:t>Catherine Smith</w:t>
            </w:r>
            <w:r w:rsidRPr="007617DB">
              <w:rPr>
                <w:rFonts w:cs="Arial"/>
                <w:bCs/>
                <w:sz w:val="24"/>
                <w:szCs w:val="24"/>
              </w:rPr>
              <w:t xml:space="preserve"> </w:t>
            </w:r>
            <w:r w:rsidR="00F017F4" w:rsidRPr="007617DB">
              <w:rPr>
                <w:rFonts w:cs="Arial"/>
                <w:bCs/>
                <w:sz w:val="24"/>
                <w:szCs w:val="24"/>
              </w:rPr>
              <w:t>(</w:t>
            </w:r>
            <w:r w:rsidRPr="007617DB">
              <w:rPr>
                <w:rFonts w:cs="Arial"/>
                <w:bCs/>
                <w:sz w:val="24"/>
                <w:szCs w:val="24"/>
              </w:rPr>
              <w:t>C</w:t>
            </w:r>
            <w:r w:rsidR="00F017F4" w:rsidRPr="007617DB">
              <w:rPr>
                <w:rFonts w:cs="Arial"/>
                <w:bCs/>
                <w:sz w:val="24"/>
                <w:szCs w:val="24"/>
              </w:rPr>
              <w:t>S</w:t>
            </w:r>
            <w:r w:rsidRPr="007617DB">
              <w:rPr>
                <w:rFonts w:cs="Arial"/>
                <w:bCs/>
                <w:sz w:val="24"/>
                <w:szCs w:val="24"/>
              </w:rPr>
              <w:t>) – Early Years</w:t>
            </w:r>
            <w:r w:rsidR="008E5A12" w:rsidRPr="007617DB">
              <w:rPr>
                <w:rFonts w:cs="Arial"/>
                <w:bCs/>
                <w:sz w:val="24"/>
                <w:szCs w:val="24"/>
              </w:rPr>
              <w:t xml:space="preserve">, </w:t>
            </w:r>
            <w:r w:rsidR="00783485" w:rsidRPr="007617DB">
              <w:rPr>
                <w:rFonts w:cs="Arial"/>
                <w:bCs/>
                <w:sz w:val="24"/>
                <w:szCs w:val="24"/>
              </w:rPr>
              <w:t>Kelly Sumner (KS), St George’s Day Nursery</w:t>
            </w:r>
            <w:r w:rsidR="008E5A12" w:rsidRPr="007617DB">
              <w:rPr>
                <w:rFonts w:cs="Arial"/>
                <w:bCs/>
                <w:sz w:val="24"/>
                <w:szCs w:val="24"/>
              </w:rPr>
              <w:t xml:space="preserve">, </w:t>
            </w:r>
            <w:r w:rsidR="00783485" w:rsidRPr="007617DB">
              <w:rPr>
                <w:rFonts w:cs="Arial"/>
                <w:bCs/>
                <w:sz w:val="24"/>
                <w:szCs w:val="24"/>
              </w:rPr>
              <w:t>Steven Hallgarth McGhee (SH) – St Augustine’s</w:t>
            </w:r>
            <w:r w:rsidR="00BF7A97" w:rsidRPr="007617DB">
              <w:rPr>
                <w:rFonts w:cs="Arial"/>
                <w:bCs/>
                <w:sz w:val="24"/>
                <w:szCs w:val="24"/>
              </w:rPr>
              <w:t xml:space="preserve"> School</w:t>
            </w:r>
            <w:r w:rsidR="008E5A12" w:rsidRPr="007617DB">
              <w:rPr>
                <w:rFonts w:cs="Arial"/>
                <w:bCs/>
                <w:sz w:val="24"/>
                <w:szCs w:val="24"/>
              </w:rPr>
              <w:t xml:space="preserve">, </w:t>
            </w:r>
            <w:r w:rsidR="00783485" w:rsidRPr="007617DB">
              <w:rPr>
                <w:rFonts w:cs="Arial"/>
                <w:bCs/>
                <w:sz w:val="24"/>
                <w:szCs w:val="24"/>
              </w:rPr>
              <w:t>Clare Thomas (CT) – Greenfields</w:t>
            </w:r>
            <w:r w:rsidR="00BF7A97" w:rsidRPr="007617DB">
              <w:rPr>
                <w:rFonts w:cs="Arial"/>
                <w:bCs/>
                <w:sz w:val="24"/>
                <w:szCs w:val="24"/>
              </w:rPr>
              <w:t xml:space="preserve"> Community School</w:t>
            </w:r>
            <w:r w:rsidR="008E5A12" w:rsidRPr="007617DB">
              <w:rPr>
                <w:rFonts w:cs="Arial"/>
                <w:bCs/>
                <w:sz w:val="24"/>
                <w:szCs w:val="24"/>
              </w:rPr>
              <w:t xml:space="preserve">, </w:t>
            </w:r>
            <w:r w:rsidR="00B2392E" w:rsidRPr="007617DB">
              <w:rPr>
                <w:rFonts w:cs="Arial"/>
                <w:bCs/>
                <w:sz w:val="24"/>
                <w:szCs w:val="24"/>
              </w:rPr>
              <w:t>Ellie Fox (EF), Think for the Future Tots</w:t>
            </w:r>
            <w:r w:rsidR="00BF7A97" w:rsidRPr="007617DB">
              <w:rPr>
                <w:rFonts w:cs="Arial"/>
                <w:bCs/>
                <w:sz w:val="24"/>
                <w:szCs w:val="24"/>
              </w:rPr>
              <w:t xml:space="preserve"> Nursery</w:t>
            </w:r>
            <w:r w:rsidR="008E5A12" w:rsidRPr="007617DB">
              <w:rPr>
                <w:rFonts w:cs="Arial"/>
                <w:bCs/>
                <w:sz w:val="24"/>
                <w:szCs w:val="24"/>
              </w:rPr>
              <w:t xml:space="preserve">, </w:t>
            </w:r>
            <w:r w:rsidR="00B2392E" w:rsidRPr="007617DB">
              <w:rPr>
                <w:rFonts w:cs="Arial"/>
                <w:bCs/>
                <w:sz w:val="24"/>
                <w:szCs w:val="24"/>
              </w:rPr>
              <w:t>Shona Caulton (SC), Bestwood Park Day Nursery</w:t>
            </w:r>
            <w:r w:rsidR="00E04D6B" w:rsidRPr="007617DB">
              <w:rPr>
                <w:rFonts w:cs="Arial"/>
                <w:bCs/>
                <w:sz w:val="24"/>
                <w:szCs w:val="24"/>
              </w:rPr>
              <w:t xml:space="preserve"> and Out of School Club</w:t>
            </w:r>
            <w:r w:rsidR="008E5A12" w:rsidRPr="007617DB">
              <w:rPr>
                <w:rFonts w:cs="Arial"/>
                <w:bCs/>
                <w:sz w:val="24"/>
                <w:szCs w:val="24"/>
              </w:rPr>
              <w:t xml:space="preserve">, </w:t>
            </w:r>
            <w:r w:rsidR="00B2392E" w:rsidRPr="007617DB">
              <w:rPr>
                <w:rFonts w:cs="Arial"/>
                <w:bCs/>
                <w:sz w:val="24"/>
                <w:szCs w:val="24"/>
              </w:rPr>
              <w:t xml:space="preserve">Lindsey Bamford (LB) – Djanogly Strelley </w:t>
            </w:r>
            <w:r w:rsidR="00BF7A97" w:rsidRPr="007617DB">
              <w:rPr>
                <w:rFonts w:cs="Arial"/>
                <w:bCs/>
                <w:sz w:val="24"/>
                <w:szCs w:val="24"/>
              </w:rPr>
              <w:t>Academy</w:t>
            </w:r>
            <w:r w:rsidR="008E5A12" w:rsidRPr="007617DB">
              <w:rPr>
                <w:rFonts w:cs="Arial"/>
                <w:bCs/>
                <w:sz w:val="24"/>
                <w:szCs w:val="24"/>
              </w:rPr>
              <w:t xml:space="preserve">, </w:t>
            </w:r>
            <w:r w:rsidR="00E04D6B" w:rsidRPr="007617DB">
              <w:rPr>
                <w:rFonts w:cs="Arial"/>
                <w:bCs/>
                <w:sz w:val="24"/>
                <w:szCs w:val="24"/>
              </w:rPr>
              <w:t>Becky Ward (BW) – Haydn</w:t>
            </w:r>
            <w:r w:rsidR="00BF7A97" w:rsidRPr="007617DB">
              <w:rPr>
                <w:rFonts w:cs="Arial"/>
                <w:bCs/>
                <w:sz w:val="24"/>
                <w:szCs w:val="24"/>
              </w:rPr>
              <w:t xml:space="preserve"> Primary School</w:t>
            </w:r>
            <w:r w:rsidR="00F017F4" w:rsidRPr="007617DB">
              <w:rPr>
                <w:rFonts w:cs="Arial"/>
                <w:bCs/>
                <w:sz w:val="24"/>
                <w:szCs w:val="24"/>
              </w:rPr>
              <w:t xml:space="preserve">, </w:t>
            </w:r>
            <w:r w:rsidR="007617DB">
              <w:rPr>
                <w:rFonts w:cs="Arial"/>
                <w:bCs/>
                <w:sz w:val="24"/>
                <w:szCs w:val="24"/>
              </w:rPr>
              <w:t xml:space="preserve">Chantelle McGuiness </w:t>
            </w:r>
            <w:r w:rsidR="004D33D2">
              <w:rPr>
                <w:rFonts w:cs="Arial"/>
                <w:bCs/>
                <w:sz w:val="24"/>
                <w:szCs w:val="24"/>
              </w:rPr>
              <w:t xml:space="preserve"> (CMG) </w:t>
            </w:r>
            <w:r w:rsidR="007617DB">
              <w:rPr>
                <w:rFonts w:cs="Arial"/>
                <w:bCs/>
                <w:sz w:val="24"/>
                <w:szCs w:val="24"/>
              </w:rPr>
              <w:t>– Djanogly Northgate Academy</w:t>
            </w:r>
            <w:r w:rsidR="004D33D2">
              <w:rPr>
                <w:rFonts w:cs="Arial"/>
                <w:bCs/>
                <w:sz w:val="24"/>
                <w:szCs w:val="24"/>
              </w:rPr>
              <w:t xml:space="preserve"> and</w:t>
            </w:r>
            <w:r w:rsidR="007617DB">
              <w:rPr>
                <w:rFonts w:cs="Arial"/>
                <w:bCs/>
                <w:sz w:val="24"/>
                <w:szCs w:val="24"/>
              </w:rPr>
              <w:t xml:space="preserve"> </w:t>
            </w:r>
            <w:r w:rsidR="00F017F4" w:rsidRPr="007617DB">
              <w:rPr>
                <w:rFonts w:cs="Arial"/>
                <w:bCs/>
                <w:sz w:val="24"/>
                <w:szCs w:val="24"/>
              </w:rPr>
              <w:t>Joanna Hill (</w:t>
            </w:r>
            <w:proofErr w:type="spellStart"/>
            <w:r w:rsidR="00F017F4" w:rsidRPr="007617DB">
              <w:rPr>
                <w:rFonts w:cs="Arial"/>
                <w:bCs/>
                <w:sz w:val="24"/>
                <w:szCs w:val="24"/>
              </w:rPr>
              <w:t>J</w:t>
            </w:r>
            <w:r w:rsidR="00514E41" w:rsidRPr="007617DB">
              <w:rPr>
                <w:rFonts w:cs="Arial"/>
                <w:bCs/>
                <w:sz w:val="24"/>
                <w:szCs w:val="24"/>
              </w:rPr>
              <w:t>o</w:t>
            </w:r>
            <w:r w:rsidR="00F017F4" w:rsidRPr="007617DB">
              <w:rPr>
                <w:rFonts w:cs="Arial"/>
                <w:bCs/>
                <w:sz w:val="24"/>
                <w:szCs w:val="24"/>
              </w:rPr>
              <w:t>H</w:t>
            </w:r>
            <w:proofErr w:type="spellEnd"/>
            <w:r w:rsidR="00F017F4" w:rsidRPr="007617DB">
              <w:rPr>
                <w:rFonts w:cs="Arial"/>
                <w:bCs/>
                <w:sz w:val="24"/>
                <w:szCs w:val="24"/>
              </w:rPr>
              <w:t>) EY SEND Team Lead</w:t>
            </w:r>
            <w:r w:rsidR="004D33D2">
              <w:rPr>
                <w:rFonts w:cs="Arial"/>
                <w:bCs/>
                <w:sz w:val="24"/>
                <w:szCs w:val="24"/>
              </w:rPr>
              <w:t>.</w:t>
            </w:r>
          </w:p>
        </w:tc>
      </w:tr>
      <w:tr w:rsidR="00C26DED" w14:paraId="56B5EEF9" w14:textId="77777777" w:rsidTr="00C26DED">
        <w:tc>
          <w:tcPr>
            <w:tcW w:w="9923" w:type="dxa"/>
            <w:gridSpan w:val="2"/>
          </w:tcPr>
          <w:p w14:paraId="6E077D81" w14:textId="77777777" w:rsidR="00C26DED" w:rsidRDefault="00C26DED" w:rsidP="00CE0E8F">
            <w:pPr>
              <w:spacing w:after="0" w:line="240" w:lineRule="auto"/>
              <w:rPr>
                <w:rFonts w:cs="Arial"/>
                <w:b/>
                <w:sz w:val="24"/>
                <w:szCs w:val="24"/>
              </w:rPr>
            </w:pPr>
            <w:r w:rsidRPr="00C26DED">
              <w:rPr>
                <w:rFonts w:cs="Arial"/>
                <w:b/>
                <w:sz w:val="24"/>
                <w:szCs w:val="24"/>
              </w:rPr>
              <w:t>Apologies:</w:t>
            </w:r>
            <w:r w:rsidR="00F72B13">
              <w:rPr>
                <w:rFonts w:cs="Arial"/>
                <w:b/>
                <w:sz w:val="24"/>
                <w:szCs w:val="24"/>
              </w:rPr>
              <w:t xml:space="preserve"> </w:t>
            </w:r>
            <w:r w:rsidR="00910D7A">
              <w:rPr>
                <w:rFonts w:cs="Arial"/>
                <w:b/>
                <w:sz w:val="24"/>
                <w:szCs w:val="24"/>
              </w:rPr>
              <w:t xml:space="preserve"> </w:t>
            </w:r>
          </w:p>
          <w:p w14:paraId="3DBB54ED" w14:textId="4D5E22C7" w:rsidR="00B2392E" w:rsidRPr="00D510D4" w:rsidRDefault="00F30C62" w:rsidP="00CE0E8F">
            <w:pPr>
              <w:spacing w:after="0" w:line="240" w:lineRule="auto"/>
              <w:rPr>
                <w:rFonts w:cs="Arial"/>
                <w:bCs/>
                <w:sz w:val="24"/>
                <w:szCs w:val="24"/>
              </w:rPr>
            </w:pPr>
            <w:r w:rsidRPr="000B5870">
              <w:rPr>
                <w:rFonts w:cs="Arial"/>
                <w:bCs/>
                <w:sz w:val="24"/>
                <w:szCs w:val="24"/>
              </w:rPr>
              <w:t>Laura Dyer (LD) – Djanogly Northgate Academy</w:t>
            </w:r>
            <w:r w:rsidR="009B625B">
              <w:rPr>
                <w:rFonts w:cs="Arial"/>
                <w:bCs/>
                <w:sz w:val="24"/>
                <w:szCs w:val="24"/>
              </w:rPr>
              <w:t xml:space="preserve"> and </w:t>
            </w:r>
            <w:r w:rsidR="009B625B" w:rsidRPr="004D33D2">
              <w:rPr>
                <w:rFonts w:cs="Arial"/>
                <w:bCs/>
                <w:sz w:val="24"/>
                <w:szCs w:val="24"/>
              </w:rPr>
              <w:t>Alice Houldsworth (AH) – Once Upon A Time Nursery</w:t>
            </w:r>
          </w:p>
        </w:tc>
      </w:tr>
      <w:tr w:rsidR="00D510D4" w14:paraId="56C93348" w14:textId="77777777" w:rsidTr="00C26DED">
        <w:tc>
          <w:tcPr>
            <w:tcW w:w="9923" w:type="dxa"/>
            <w:gridSpan w:val="2"/>
          </w:tcPr>
          <w:p w14:paraId="5F9ADBE1" w14:textId="77777777" w:rsidR="00D510D4" w:rsidRPr="00F017F4" w:rsidRDefault="00D510D4" w:rsidP="00CE0E8F">
            <w:pPr>
              <w:spacing w:after="0" w:line="240" w:lineRule="auto"/>
              <w:rPr>
                <w:rFonts w:cs="Arial"/>
                <w:bCs/>
                <w:sz w:val="24"/>
                <w:szCs w:val="24"/>
              </w:rPr>
            </w:pPr>
            <w:r w:rsidRPr="00F017F4">
              <w:rPr>
                <w:rFonts w:cs="Arial"/>
                <w:b/>
                <w:sz w:val="24"/>
                <w:szCs w:val="24"/>
              </w:rPr>
              <w:t xml:space="preserve">Non-attendance/apologies: </w:t>
            </w:r>
          </w:p>
          <w:p w14:paraId="4F5A5059" w14:textId="2F690CA7" w:rsidR="00D510D4" w:rsidRPr="00F017F4" w:rsidRDefault="00F017F4" w:rsidP="004D33D2">
            <w:pPr>
              <w:spacing w:after="0" w:line="240" w:lineRule="auto"/>
              <w:jc w:val="both"/>
              <w:rPr>
                <w:rFonts w:cs="Arial"/>
                <w:bCs/>
                <w:sz w:val="24"/>
                <w:szCs w:val="24"/>
              </w:rPr>
            </w:pPr>
            <w:r w:rsidRPr="004D33D2">
              <w:rPr>
                <w:rFonts w:cs="Arial"/>
                <w:bCs/>
                <w:sz w:val="24"/>
                <w:szCs w:val="24"/>
              </w:rPr>
              <w:t>Rebecca McGrory (RM) - Little People Pre-School and Nursery</w:t>
            </w:r>
            <w:r w:rsidR="004D33D2" w:rsidRPr="004D33D2">
              <w:rPr>
                <w:rFonts w:cs="Arial"/>
                <w:bCs/>
                <w:sz w:val="24"/>
                <w:szCs w:val="24"/>
              </w:rPr>
              <w:t xml:space="preserve"> and Judith Kemplay – Melbury Primary.</w:t>
            </w:r>
          </w:p>
        </w:tc>
      </w:tr>
    </w:tbl>
    <w:p w14:paraId="6A14E77F" w14:textId="102A8223" w:rsidR="00CE0E8F" w:rsidRDefault="00CE0E8F" w:rsidP="00CE0E8F">
      <w:pPr>
        <w:spacing w:after="0" w:line="240" w:lineRule="auto"/>
        <w:rPr>
          <w:rFonts w:cs="Arial"/>
          <w:sz w:val="24"/>
          <w:szCs w:val="24"/>
        </w:rPr>
      </w:pPr>
    </w:p>
    <w:tbl>
      <w:tblPr>
        <w:tblStyle w:val="TableGrid"/>
        <w:tblW w:w="10065" w:type="dxa"/>
        <w:tblInd w:w="-289" w:type="dxa"/>
        <w:tblLook w:val="04A0" w:firstRow="1" w:lastRow="0" w:firstColumn="1" w:lastColumn="0" w:noHBand="0" w:noVBand="1"/>
      </w:tblPr>
      <w:tblGrid>
        <w:gridCol w:w="762"/>
        <w:gridCol w:w="7927"/>
        <w:gridCol w:w="1466"/>
      </w:tblGrid>
      <w:tr w:rsidR="00D510D4" w:rsidRPr="00E04D6B" w14:paraId="13A32659" w14:textId="77777777" w:rsidTr="00D510D4">
        <w:tc>
          <w:tcPr>
            <w:tcW w:w="833" w:type="dxa"/>
            <w:shd w:val="clear" w:color="auto" w:fill="D9D9D9" w:themeFill="background1" w:themeFillShade="D9"/>
          </w:tcPr>
          <w:p w14:paraId="3F01F1D7" w14:textId="77777777" w:rsidR="00D510D4" w:rsidRPr="00E04D6B" w:rsidRDefault="00D510D4" w:rsidP="00CE0E8F">
            <w:pPr>
              <w:spacing w:after="0" w:line="240" w:lineRule="auto"/>
              <w:rPr>
                <w:rFonts w:cs="Calibri"/>
                <w:sz w:val="24"/>
                <w:szCs w:val="24"/>
              </w:rPr>
            </w:pPr>
          </w:p>
        </w:tc>
        <w:tc>
          <w:tcPr>
            <w:tcW w:w="7335" w:type="dxa"/>
          </w:tcPr>
          <w:p w14:paraId="48A7A4DD" w14:textId="77777777" w:rsidR="00D510D4" w:rsidRPr="00E04D6B" w:rsidRDefault="00D510D4" w:rsidP="00CE0E8F">
            <w:pPr>
              <w:spacing w:after="0" w:line="240" w:lineRule="auto"/>
              <w:rPr>
                <w:rFonts w:cs="Calibri"/>
                <w:b/>
                <w:sz w:val="24"/>
                <w:szCs w:val="24"/>
              </w:rPr>
            </w:pPr>
          </w:p>
        </w:tc>
        <w:tc>
          <w:tcPr>
            <w:tcW w:w="1897" w:type="dxa"/>
          </w:tcPr>
          <w:p w14:paraId="7A11B03E" w14:textId="77777777" w:rsidR="00D510D4" w:rsidRPr="00E04D6B" w:rsidRDefault="00D510D4" w:rsidP="00CE0E8F">
            <w:pPr>
              <w:rPr>
                <w:rFonts w:cs="Calibri"/>
                <w:b/>
                <w:sz w:val="24"/>
                <w:szCs w:val="24"/>
              </w:rPr>
            </w:pPr>
            <w:r w:rsidRPr="00E04D6B">
              <w:rPr>
                <w:rFonts w:cs="Calibri"/>
                <w:b/>
                <w:sz w:val="24"/>
                <w:szCs w:val="24"/>
              </w:rPr>
              <w:t>Action</w:t>
            </w:r>
          </w:p>
        </w:tc>
      </w:tr>
      <w:tr w:rsidR="00D510D4" w:rsidRPr="00E04D6B" w14:paraId="4424F858" w14:textId="77777777" w:rsidTr="00D510D4">
        <w:tc>
          <w:tcPr>
            <w:tcW w:w="833" w:type="dxa"/>
            <w:vMerge w:val="restart"/>
            <w:shd w:val="clear" w:color="auto" w:fill="D9D9D9" w:themeFill="background1" w:themeFillShade="D9"/>
          </w:tcPr>
          <w:p w14:paraId="7502E67E" w14:textId="5FE33F43" w:rsidR="00D510D4" w:rsidRPr="00E04D6B" w:rsidRDefault="00D510D4" w:rsidP="00E479D6">
            <w:pPr>
              <w:spacing w:after="0" w:line="240" w:lineRule="auto"/>
              <w:ind w:left="360"/>
              <w:jc w:val="both"/>
              <w:rPr>
                <w:rFonts w:cs="Calibri"/>
                <w:sz w:val="24"/>
                <w:szCs w:val="24"/>
              </w:rPr>
            </w:pPr>
            <w:r w:rsidRPr="00E04D6B">
              <w:rPr>
                <w:rFonts w:cs="Calibri"/>
                <w:sz w:val="24"/>
                <w:szCs w:val="24"/>
              </w:rPr>
              <w:t>1.</w:t>
            </w:r>
          </w:p>
        </w:tc>
        <w:tc>
          <w:tcPr>
            <w:tcW w:w="7335" w:type="dxa"/>
            <w:shd w:val="clear" w:color="auto" w:fill="D9D9D9" w:themeFill="background1" w:themeFillShade="D9"/>
          </w:tcPr>
          <w:p w14:paraId="4ABDE41F" w14:textId="6651B183" w:rsidR="00D510D4" w:rsidRPr="00E04D6B" w:rsidRDefault="00D510D4" w:rsidP="00E479D6">
            <w:pPr>
              <w:tabs>
                <w:tab w:val="left" w:pos="568"/>
                <w:tab w:val="left" w:pos="2268"/>
                <w:tab w:val="left" w:pos="2836"/>
              </w:tabs>
              <w:spacing w:after="0" w:line="240" w:lineRule="auto"/>
              <w:jc w:val="both"/>
              <w:rPr>
                <w:rFonts w:cs="Calibri"/>
                <w:sz w:val="24"/>
                <w:szCs w:val="24"/>
              </w:rPr>
            </w:pPr>
            <w:r w:rsidRPr="00E04D6B">
              <w:rPr>
                <w:rFonts w:cs="Calibri"/>
                <w:b/>
                <w:sz w:val="24"/>
                <w:szCs w:val="24"/>
              </w:rPr>
              <w:t>Welcome and Apologies</w:t>
            </w:r>
            <w:r w:rsidRPr="00E04D6B">
              <w:rPr>
                <w:rFonts w:cs="Calibri"/>
                <w:sz w:val="24"/>
                <w:szCs w:val="24"/>
              </w:rPr>
              <w:t xml:space="preserve">  </w:t>
            </w:r>
          </w:p>
          <w:p w14:paraId="71E55220" w14:textId="77777777" w:rsidR="00D510D4" w:rsidRPr="00E04D6B" w:rsidRDefault="00D510D4" w:rsidP="00E479D6">
            <w:pPr>
              <w:spacing w:after="0" w:line="240" w:lineRule="auto"/>
              <w:jc w:val="both"/>
              <w:rPr>
                <w:rFonts w:cs="Calibri"/>
                <w:sz w:val="24"/>
                <w:szCs w:val="24"/>
              </w:rPr>
            </w:pPr>
          </w:p>
        </w:tc>
        <w:tc>
          <w:tcPr>
            <w:tcW w:w="1897" w:type="dxa"/>
            <w:shd w:val="clear" w:color="auto" w:fill="D9D9D9" w:themeFill="background1" w:themeFillShade="D9"/>
          </w:tcPr>
          <w:p w14:paraId="7A0F9DC8" w14:textId="77777777" w:rsidR="00D510D4" w:rsidRPr="00E04D6B" w:rsidRDefault="00D510D4" w:rsidP="00E479D6">
            <w:pPr>
              <w:spacing w:after="0" w:line="240" w:lineRule="auto"/>
              <w:jc w:val="both"/>
              <w:rPr>
                <w:rFonts w:cs="Calibri"/>
                <w:b/>
                <w:sz w:val="24"/>
                <w:szCs w:val="24"/>
              </w:rPr>
            </w:pPr>
          </w:p>
        </w:tc>
      </w:tr>
      <w:tr w:rsidR="00D510D4" w:rsidRPr="00E04D6B" w14:paraId="36488F76" w14:textId="77777777" w:rsidTr="00D510D4">
        <w:tc>
          <w:tcPr>
            <w:tcW w:w="833" w:type="dxa"/>
            <w:vMerge/>
            <w:shd w:val="clear" w:color="auto" w:fill="D9D9D9" w:themeFill="background1" w:themeFillShade="D9"/>
          </w:tcPr>
          <w:p w14:paraId="59581704" w14:textId="77777777" w:rsidR="00D510D4" w:rsidRPr="00E04D6B" w:rsidRDefault="00D510D4" w:rsidP="00E479D6">
            <w:pPr>
              <w:spacing w:after="0" w:line="240" w:lineRule="auto"/>
              <w:ind w:left="360"/>
              <w:jc w:val="both"/>
              <w:rPr>
                <w:rFonts w:cs="Calibri"/>
                <w:sz w:val="24"/>
                <w:szCs w:val="24"/>
              </w:rPr>
            </w:pPr>
          </w:p>
        </w:tc>
        <w:tc>
          <w:tcPr>
            <w:tcW w:w="7335" w:type="dxa"/>
          </w:tcPr>
          <w:p w14:paraId="2900E8B5" w14:textId="22B53C8C" w:rsidR="00F017F4" w:rsidRDefault="00F017F4" w:rsidP="00CE6602">
            <w:pPr>
              <w:pStyle w:val="ListParagraph"/>
              <w:numPr>
                <w:ilvl w:val="0"/>
                <w:numId w:val="2"/>
              </w:numPr>
              <w:spacing w:after="0" w:line="240" w:lineRule="auto"/>
              <w:jc w:val="both"/>
              <w:rPr>
                <w:rFonts w:cs="Calibri"/>
                <w:sz w:val="24"/>
                <w:szCs w:val="24"/>
              </w:rPr>
            </w:pPr>
            <w:r>
              <w:rPr>
                <w:rFonts w:cs="Calibri"/>
                <w:sz w:val="24"/>
                <w:szCs w:val="24"/>
              </w:rPr>
              <w:t xml:space="preserve">Ratification of previous minutes from </w:t>
            </w:r>
            <w:r w:rsidR="00F30C62">
              <w:rPr>
                <w:rFonts w:cs="Calibri"/>
                <w:sz w:val="24"/>
                <w:szCs w:val="24"/>
              </w:rPr>
              <w:t>21 November</w:t>
            </w:r>
            <w:r>
              <w:rPr>
                <w:rFonts w:cs="Calibri"/>
                <w:sz w:val="24"/>
                <w:szCs w:val="24"/>
              </w:rPr>
              <w:t xml:space="preserve"> 2025</w:t>
            </w:r>
            <w:r w:rsidR="002437F3">
              <w:rPr>
                <w:rFonts w:cs="Calibri"/>
                <w:sz w:val="24"/>
                <w:szCs w:val="24"/>
              </w:rPr>
              <w:t>.</w:t>
            </w:r>
          </w:p>
          <w:p w14:paraId="55C90C8F" w14:textId="153386FD" w:rsidR="00F017F4" w:rsidRPr="00F017F4" w:rsidRDefault="00F017F4" w:rsidP="00F017F4">
            <w:pPr>
              <w:pStyle w:val="ListParagraph"/>
              <w:spacing w:after="0" w:line="240" w:lineRule="auto"/>
              <w:jc w:val="both"/>
              <w:rPr>
                <w:rFonts w:cs="Calibri"/>
                <w:sz w:val="24"/>
                <w:szCs w:val="24"/>
              </w:rPr>
            </w:pPr>
          </w:p>
        </w:tc>
        <w:tc>
          <w:tcPr>
            <w:tcW w:w="1897" w:type="dxa"/>
          </w:tcPr>
          <w:p w14:paraId="49C56F38" w14:textId="366CF5D1" w:rsidR="00F017F4" w:rsidRPr="00F017F4" w:rsidRDefault="00F017F4" w:rsidP="00E479D6">
            <w:pPr>
              <w:spacing w:after="0" w:line="240" w:lineRule="auto"/>
              <w:jc w:val="both"/>
              <w:rPr>
                <w:rFonts w:cs="Calibri"/>
                <w:bCs/>
                <w:sz w:val="24"/>
                <w:szCs w:val="24"/>
              </w:rPr>
            </w:pPr>
            <w:r w:rsidRPr="00F017F4">
              <w:rPr>
                <w:rFonts w:cs="Calibri"/>
                <w:bCs/>
                <w:sz w:val="24"/>
                <w:szCs w:val="24"/>
              </w:rPr>
              <w:t>KC to upload to website</w:t>
            </w:r>
          </w:p>
        </w:tc>
      </w:tr>
      <w:tr w:rsidR="00D510D4" w:rsidRPr="00E04D6B" w14:paraId="43C44C0F" w14:textId="77777777" w:rsidTr="00D510D4">
        <w:tc>
          <w:tcPr>
            <w:tcW w:w="833" w:type="dxa"/>
            <w:vMerge w:val="restart"/>
            <w:shd w:val="clear" w:color="auto" w:fill="D9D9D9" w:themeFill="background1" w:themeFillShade="D9"/>
          </w:tcPr>
          <w:p w14:paraId="462C15A2" w14:textId="032D03AD" w:rsidR="00D510D4" w:rsidRPr="00E04D6B" w:rsidRDefault="00D510D4" w:rsidP="00E479D6">
            <w:pPr>
              <w:spacing w:after="0" w:line="240" w:lineRule="auto"/>
              <w:ind w:left="360"/>
              <w:jc w:val="both"/>
              <w:rPr>
                <w:rFonts w:cs="Calibri"/>
                <w:b/>
                <w:sz w:val="24"/>
                <w:szCs w:val="24"/>
              </w:rPr>
            </w:pPr>
            <w:r w:rsidRPr="00E04D6B">
              <w:rPr>
                <w:rFonts w:cs="Calibri"/>
                <w:b/>
                <w:sz w:val="24"/>
                <w:szCs w:val="24"/>
              </w:rPr>
              <w:t>2.</w:t>
            </w:r>
          </w:p>
        </w:tc>
        <w:tc>
          <w:tcPr>
            <w:tcW w:w="7335" w:type="dxa"/>
            <w:shd w:val="clear" w:color="auto" w:fill="D9D9D9" w:themeFill="background1" w:themeFillShade="D9"/>
          </w:tcPr>
          <w:p w14:paraId="642832FC" w14:textId="16822B55" w:rsidR="00D510D4" w:rsidRPr="00E04D6B" w:rsidRDefault="00F017F4" w:rsidP="00E479D6">
            <w:pPr>
              <w:spacing w:after="0" w:line="240" w:lineRule="auto"/>
              <w:jc w:val="both"/>
              <w:rPr>
                <w:rFonts w:cs="Calibri"/>
                <w:b/>
                <w:sz w:val="24"/>
                <w:szCs w:val="24"/>
              </w:rPr>
            </w:pPr>
            <w:r>
              <w:rPr>
                <w:rFonts w:cs="Calibri"/>
                <w:b/>
                <w:sz w:val="24"/>
                <w:szCs w:val="24"/>
              </w:rPr>
              <w:t>Matters Arising</w:t>
            </w:r>
          </w:p>
          <w:p w14:paraId="2446C1B1" w14:textId="2C87706A" w:rsidR="00D510D4" w:rsidRPr="00CE6602" w:rsidRDefault="00D510D4" w:rsidP="00CE6602">
            <w:pPr>
              <w:spacing w:after="0" w:line="240" w:lineRule="auto"/>
              <w:jc w:val="both"/>
              <w:rPr>
                <w:rFonts w:cs="Calibri"/>
                <w:bCs/>
                <w:sz w:val="24"/>
                <w:szCs w:val="24"/>
              </w:rPr>
            </w:pPr>
          </w:p>
        </w:tc>
        <w:tc>
          <w:tcPr>
            <w:tcW w:w="1897" w:type="dxa"/>
            <w:shd w:val="clear" w:color="auto" w:fill="D9D9D9" w:themeFill="background1" w:themeFillShade="D9"/>
          </w:tcPr>
          <w:p w14:paraId="06714DDA" w14:textId="77777777" w:rsidR="00D510D4" w:rsidRPr="00E04D6B" w:rsidRDefault="00D510D4" w:rsidP="00E479D6">
            <w:pPr>
              <w:spacing w:after="0" w:line="240" w:lineRule="auto"/>
              <w:jc w:val="both"/>
              <w:rPr>
                <w:rFonts w:cs="Calibri"/>
                <w:b/>
                <w:sz w:val="24"/>
                <w:szCs w:val="24"/>
              </w:rPr>
            </w:pPr>
          </w:p>
        </w:tc>
      </w:tr>
      <w:tr w:rsidR="00D510D4" w:rsidRPr="00E04D6B" w14:paraId="3E480BDD" w14:textId="77777777" w:rsidTr="00D510D4">
        <w:trPr>
          <w:trHeight w:val="1066"/>
        </w:trPr>
        <w:tc>
          <w:tcPr>
            <w:tcW w:w="833" w:type="dxa"/>
            <w:vMerge/>
            <w:shd w:val="clear" w:color="auto" w:fill="D9D9D9" w:themeFill="background1" w:themeFillShade="D9"/>
          </w:tcPr>
          <w:p w14:paraId="5CA6A733" w14:textId="77777777" w:rsidR="00D510D4" w:rsidRPr="00E04D6B" w:rsidRDefault="00D510D4" w:rsidP="008600C6">
            <w:pPr>
              <w:spacing w:after="0" w:line="240" w:lineRule="auto"/>
              <w:jc w:val="both"/>
              <w:rPr>
                <w:rFonts w:cs="Calibri"/>
                <w:sz w:val="24"/>
                <w:szCs w:val="24"/>
              </w:rPr>
            </w:pPr>
          </w:p>
        </w:tc>
        <w:tc>
          <w:tcPr>
            <w:tcW w:w="7335" w:type="dxa"/>
          </w:tcPr>
          <w:p w14:paraId="311F8939" w14:textId="3F9FB624" w:rsidR="00F30C62" w:rsidRDefault="00F30C62" w:rsidP="00F30C62">
            <w:pPr>
              <w:pStyle w:val="ListParagraph"/>
              <w:numPr>
                <w:ilvl w:val="0"/>
                <w:numId w:val="2"/>
              </w:numPr>
              <w:spacing w:after="0" w:line="240" w:lineRule="auto"/>
              <w:jc w:val="both"/>
              <w:rPr>
                <w:rFonts w:cs="Calibri"/>
                <w:sz w:val="24"/>
                <w:szCs w:val="24"/>
                <w:lang w:eastAsia="en-GB"/>
              </w:rPr>
            </w:pPr>
            <w:r>
              <w:rPr>
                <w:rFonts w:cs="Calibri"/>
                <w:sz w:val="24"/>
                <w:szCs w:val="24"/>
                <w:lang w:eastAsia="en-GB"/>
              </w:rPr>
              <w:t>All undertaken unless updated below</w:t>
            </w:r>
          </w:p>
          <w:p w14:paraId="01527B3D" w14:textId="164E3B60" w:rsidR="00B42942" w:rsidRDefault="00F30C62" w:rsidP="00F30C62">
            <w:pPr>
              <w:pStyle w:val="ListParagraph"/>
              <w:numPr>
                <w:ilvl w:val="0"/>
                <w:numId w:val="2"/>
              </w:numPr>
              <w:spacing w:after="0" w:line="240" w:lineRule="auto"/>
              <w:jc w:val="both"/>
              <w:rPr>
                <w:rFonts w:cs="Calibri"/>
                <w:sz w:val="24"/>
                <w:szCs w:val="24"/>
                <w:lang w:eastAsia="en-GB"/>
              </w:rPr>
            </w:pPr>
            <w:r>
              <w:rPr>
                <w:rFonts w:cs="Calibri"/>
                <w:sz w:val="24"/>
                <w:szCs w:val="24"/>
                <w:lang w:eastAsia="en-GB"/>
              </w:rPr>
              <w:t>Best Start Update</w:t>
            </w:r>
            <w:r w:rsidR="00F71A98">
              <w:rPr>
                <w:rFonts w:cs="Calibri"/>
                <w:sz w:val="24"/>
                <w:szCs w:val="24"/>
                <w:lang w:eastAsia="en-GB"/>
              </w:rPr>
              <w:t xml:space="preserve"> – KB gave an update on progress of the local plan.  KB asked attendees what their common challenges were </w:t>
            </w:r>
            <w:r w:rsidR="00336DE2">
              <w:rPr>
                <w:rFonts w:cs="Calibri"/>
                <w:sz w:val="24"/>
                <w:szCs w:val="24"/>
                <w:lang w:eastAsia="en-GB"/>
              </w:rPr>
              <w:t>–</w:t>
            </w:r>
            <w:r w:rsidR="00F71A98">
              <w:rPr>
                <w:rFonts w:cs="Calibri"/>
                <w:sz w:val="24"/>
                <w:szCs w:val="24"/>
                <w:lang w:eastAsia="en-GB"/>
              </w:rPr>
              <w:t xml:space="preserve"> </w:t>
            </w:r>
            <w:r w:rsidR="002437F3">
              <w:rPr>
                <w:rFonts w:cs="Calibri"/>
                <w:sz w:val="24"/>
                <w:szCs w:val="24"/>
                <w:lang w:eastAsia="en-GB"/>
              </w:rPr>
              <w:t>most common was</w:t>
            </w:r>
            <w:r w:rsidR="00336DE2">
              <w:rPr>
                <w:rFonts w:cs="Calibri"/>
                <w:sz w:val="24"/>
                <w:szCs w:val="24"/>
                <w:lang w:eastAsia="en-GB"/>
              </w:rPr>
              <w:t xml:space="preserve"> speech and language/communication and language, concentration, focus, </w:t>
            </w:r>
            <w:r w:rsidR="002437F3">
              <w:rPr>
                <w:rFonts w:cs="Calibri"/>
                <w:sz w:val="24"/>
                <w:szCs w:val="24"/>
                <w:lang w:eastAsia="en-GB"/>
              </w:rPr>
              <w:t xml:space="preserve">toileting, </w:t>
            </w:r>
            <w:r w:rsidR="00336DE2">
              <w:rPr>
                <w:rFonts w:cs="Calibri"/>
                <w:sz w:val="24"/>
                <w:szCs w:val="24"/>
                <w:lang w:eastAsia="en-GB"/>
              </w:rPr>
              <w:t>behaviour, holistic support for families at an early stage, PSED, self-regulation and managing self.</w:t>
            </w:r>
          </w:p>
          <w:p w14:paraId="615A6C3B" w14:textId="6B3540EF" w:rsidR="00F30C62" w:rsidRDefault="003E4CEF" w:rsidP="00F30C62">
            <w:pPr>
              <w:pStyle w:val="ListParagraph"/>
              <w:numPr>
                <w:ilvl w:val="0"/>
                <w:numId w:val="2"/>
              </w:numPr>
              <w:spacing w:after="0" w:line="240" w:lineRule="auto"/>
              <w:jc w:val="both"/>
              <w:rPr>
                <w:rFonts w:cs="Calibri"/>
                <w:sz w:val="24"/>
                <w:szCs w:val="24"/>
                <w:lang w:eastAsia="en-GB"/>
              </w:rPr>
            </w:pPr>
            <w:r>
              <w:rPr>
                <w:rFonts w:cs="Calibri"/>
                <w:sz w:val="24"/>
                <w:szCs w:val="24"/>
                <w:lang w:eastAsia="en-GB"/>
              </w:rPr>
              <w:t xml:space="preserve">KB shared the action around finding out the most referenced schemes for </w:t>
            </w:r>
            <w:r w:rsidR="00F30C62">
              <w:rPr>
                <w:rFonts w:cs="Calibri"/>
                <w:sz w:val="24"/>
                <w:szCs w:val="24"/>
                <w:lang w:eastAsia="en-GB"/>
              </w:rPr>
              <w:t>Phonics and Maths running in schools</w:t>
            </w:r>
            <w:r>
              <w:rPr>
                <w:rFonts w:cs="Calibri"/>
                <w:sz w:val="24"/>
                <w:szCs w:val="24"/>
                <w:lang w:eastAsia="en-GB"/>
              </w:rPr>
              <w:t xml:space="preserve"> across the City.  These have been found to be Read Write Inc and Little Wandle for phonics and White Rose, Mastering Number (NCETM Programme), Power Maths and Maths No Problem.</w:t>
            </w:r>
            <w:r w:rsidR="00F71A98">
              <w:rPr>
                <w:rFonts w:cs="Calibri"/>
                <w:sz w:val="24"/>
                <w:szCs w:val="24"/>
                <w:lang w:eastAsia="en-GB"/>
              </w:rPr>
              <w:t xml:space="preserve">  The group added to this – Master the Curriculum, Letters and Sounds Phase 1.</w:t>
            </w:r>
          </w:p>
          <w:p w14:paraId="05058DBD" w14:textId="77777777" w:rsidR="00F30C62" w:rsidRDefault="00F30C62" w:rsidP="00F30C62">
            <w:pPr>
              <w:pStyle w:val="ListParagraph"/>
              <w:numPr>
                <w:ilvl w:val="0"/>
                <w:numId w:val="2"/>
              </w:numPr>
              <w:spacing w:after="0" w:line="240" w:lineRule="auto"/>
              <w:jc w:val="both"/>
              <w:rPr>
                <w:rFonts w:cs="Calibri"/>
                <w:sz w:val="24"/>
                <w:szCs w:val="24"/>
                <w:lang w:eastAsia="en-GB"/>
              </w:rPr>
            </w:pPr>
            <w:r>
              <w:rPr>
                <w:rFonts w:cs="Calibri"/>
                <w:sz w:val="24"/>
                <w:szCs w:val="24"/>
                <w:lang w:eastAsia="en-GB"/>
              </w:rPr>
              <w:t xml:space="preserve">CS to </w:t>
            </w:r>
            <w:r w:rsidR="00F71A98">
              <w:rPr>
                <w:rFonts w:cs="Calibri"/>
                <w:sz w:val="24"/>
                <w:szCs w:val="24"/>
                <w:lang w:eastAsia="en-GB"/>
              </w:rPr>
              <w:t xml:space="preserve">share the existing generic </w:t>
            </w:r>
            <w:r>
              <w:rPr>
                <w:rFonts w:cs="Calibri"/>
                <w:sz w:val="24"/>
                <w:szCs w:val="24"/>
                <w:lang w:eastAsia="en-GB"/>
              </w:rPr>
              <w:t>quick links sheet to support with inspections</w:t>
            </w:r>
            <w:r w:rsidR="00336DE2">
              <w:rPr>
                <w:rFonts w:cs="Calibri"/>
                <w:sz w:val="24"/>
                <w:szCs w:val="24"/>
                <w:lang w:eastAsia="en-GB"/>
              </w:rPr>
              <w:t xml:space="preserve"> – Support Workers will be moving to a community-based approach from Summer Term and will be enhancing these generic links to more localised, detailed information.</w:t>
            </w:r>
          </w:p>
          <w:p w14:paraId="25465597" w14:textId="77777777" w:rsidR="00C47BC5" w:rsidRDefault="00C47BC5" w:rsidP="00C47BC5">
            <w:pPr>
              <w:pStyle w:val="ListParagraph"/>
              <w:numPr>
                <w:ilvl w:val="0"/>
                <w:numId w:val="14"/>
              </w:numPr>
              <w:spacing w:after="0" w:line="240" w:lineRule="auto"/>
              <w:jc w:val="both"/>
              <w:rPr>
                <w:rFonts w:cs="Calibri"/>
                <w:i/>
                <w:iCs/>
                <w:sz w:val="24"/>
                <w:szCs w:val="24"/>
                <w:lang w:eastAsia="en-GB"/>
              </w:rPr>
            </w:pPr>
            <w:r w:rsidRPr="00C47BC5">
              <w:rPr>
                <w:rFonts w:cs="Calibri"/>
                <w:b/>
                <w:bCs/>
                <w:i/>
                <w:iCs/>
                <w:sz w:val="24"/>
                <w:szCs w:val="24"/>
                <w:lang w:eastAsia="en-GB"/>
              </w:rPr>
              <w:t>Update after the meeting</w:t>
            </w:r>
            <w:r w:rsidRPr="00C47BC5">
              <w:rPr>
                <w:rFonts w:cs="Calibri"/>
                <w:i/>
                <w:iCs/>
                <w:sz w:val="24"/>
                <w:szCs w:val="24"/>
                <w:lang w:eastAsia="en-GB"/>
              </w:rPr>
              <w:t xml:space="preserve"> – the ‘quick links’ sheet has been replaced with the release of Ofsted’s ‘Explore an Area’ data.  This includes the same information as the ‘quick links’ but will be more current and added to with more detail when the Support Workers are community based.  You can access this at</w:t>
            </w:r>
            <w:r>
              <w:rPr>
                <w:rFonts w:cs="Calibri"/>
                <w:i/>
                <w:iCs/>
                <w:sz w:val="24"/>
                <w:szCs w:val="24"/>
                <w:lang w:eastAsia="en-GB"/>
              </w:rPr>
              <w:t>:</w:t>
            </w:r>
            <w:r w:rsidRPr="00C47BC5">
              <w:rPr>
                <w:rFonts w:cs="Calibri"/>
                <w:i/>
                <w:iCs/>
                <w:sz w:val="24"/>
                <w:szCs w:val="24"/>
                <w:lang w:eastAsia="en-GB"/>
              </w:rPr>
              <w:t xml:space="preserve"> </w:t>
            </w:r>
          </w:p>
          <w:p w14:paraId="3780FB21" w14:textId="05E7B639" w:rsidR="00C47BC5" w:rsidRPr="00C47BC5" w:rsidRDefault="00C47BC5" w:rsidP="00C47BC5">
            <w:pPr>
              <w:pStyle w:val="ListParagraph"/>
              <w:spacing w:after="0" w:line="240" w:lineRule="auto"/>
              <w:ind w:left="1080"/>
              <w:jc w:val="both"/>
              <w:rPr>
                <w:rFonts w:cs="Calibri"/>
                <w:i/>
                <w:iCs/>
                <w:sz w:val="24"/>
                <w:szCs w:val="24"/>
                <w:lang w:eastAsia="en-GB"/>
              </w:rPr>
            </w:pPr>
            <w:hyperlink r:id="rId5" w:history="1">
              <w:r w:rsidRPr="00C47BC5">
                <w:rPr>
                  <w:rStyle w:val="Hyperlink"/>
                  <w:i/>
                  <w:iCs/>
                  <w:sz w:val="24"/>
                  <w:szCs w:val="24"/>
                  <w:lang w:eastAsia="en-GB"/>
                </w:rPr>
                <w:t>Local authority search - Ofsted: explo</w:t>
              </w:r>
              <w:r w:rsidRPr="00C47BC5">
                <w:rPr>
                  <w:rStyle w:val="Hyperlink"/>
                  <w:i/>
                  <w:iCs/>
                  <w:sz w:val="24"/>
                  <w:szCs w:val="24"/>
                  <w:lang w:eastAsia="en-GB"/>
                </w:rPr>
                <w:t>r</w:t>
              </w:r>
              <w:r w:rsidRPr="00C47BC5">
                <w:rPr>
                  <w:rStyle w:val="Hyperlink"/>
                  <w:i/>
                  <w:iCs/>
                  <w:sz w:val="24"/>
                  <w:szCs w:val="24"/>
                  <w:lang w:eastAsia="en-GB"/>
                </w:rPr>
                <w:t>e an area</w:t>
              </w:r>
            </w:hyperlink>
          </w:p>
        </w:tc>
        <w:tc>
          <w:tcPr>
            <w:tcW w:w="1897" w:type="dxa"/>
          </w:tcPr>
          <w:p w14:paraId="2A2A3D86" w14:textId="34622014" w:rsidR="00D510D4" w:rsidRPr="00E04D6B" w:rsidRDefault="00D510D4" w:rsidP="008600C6">
            <w:pPr>
              <w:spacing w:after="0" w:line="240" w:lineRule="auto"/>
              <w:jc w:val="both"/>
              <w:rPr>
                <w:rFonts w:cs="Calibri"/>
                <w:bCs/>
                <w:sz w:val="24"/>
                <w:szCs w:val="24"/>
              </w:rPr>
            </w:pPr>
          </w:p>
          <w:p w14:paraId="3FB486E6" w14:textId="3F8D08DB" w:rsidR="00C404DC" w:rsidRDefault="00336DE2" w:rsidP="008600C6">
            <w:pPr>
              <w:spacing w:after="0" w:line="240" w:lineRule="auto"/>
              <w:jc w:val="both"/>
              <w:rPr>
                <w:rFonts w:cs="Calibri"/>
                <w:bCs/>
                <w:sz w:val="24"/>
                <w:szCs w:val="24"/>
              </w:rPr>
            </w:pPr>
            <w:r>
              <w:rPr>
                <w:rFonts w:cs="Calibri"/>
                <w:bCs/>
                <w:sz w:val="24"/>
                <w:szCs w:val="24"/>
              </w:rPr>
              <w:t>KB to feed this upwards</w:t>
            </w:r>
          </w:p>
          <w:p w14:paraId="632DA9D1" w14:textId="77777777" w:rsidR="00336DE2" w:rsidRDefault="00336DE2" w:rsidP="008600C6">
            <w:pPr>
              <w:spacing w:after="0" w:line="240" w:lineRule="auto"/>
              <w:jc w:val="both"/>
              <w:rPr>
                <w:rFonts w:cs="Calibri"/>
                <w:bCs/>
                <w:sz w:val="24"/>
                <w:szCs w:val="24"/>
              </w:rPr>
            </w:pPr>
          </w:p>
          <w:p w14:paraId="346775AE" w14:textId="77777777" w:rsidR="00336DE2" w:rsidRDefault="00336DE2" w:rsidP="008600C6">
            <w:pPr>
              <w:spacing w:after="0" w:line="240" w:lineRule="auto"/>
              <w:jc w:val="both"/>
              <w:rPr>
                <w:rFonts w:cs="Calibri"/>
                <w:bCs/>
                <w:sz w:val="24"/>
                <w:szCs w:val="24"/>
              </w:rPr>
            </w:pPr>
          </w:p>
          <w:p w14:paraId="108F7F50" w14:textId="77777777" w:rsidR="00336DE2" w:rsidRDefault="00336DE2" w:rsidP="008600C6">
            <w:pPr>
              <w:spacing w:after="0" w:line="240" w:lineRule="auto"/>
              <w:jc w:val="both"/>
              <w:rPr>
                <w:rFonts w:cs="Calibri"/>
                <w:bCs/>
                <w:sz w:val="24"/>
                <w:szCs w:val="24"/>
              </w:rPr>
            </w:pPr>
          </w:p>
          <w:p w14:paraId="500EB084" w14:textId="77777777" w:rsidR="00336DE2" w:rsidRDefault="00336DE2" w:rsidP="008600C6">
            <w:pPr>
              <w:spacing w:after="0" w:line="240" w:lineRule="auto"/>
              <w:jc w:val="both"/>
              <w:rPr>
                <w:rFonts w:cs="Calibri"/>
                <w:bCs/>
                <w:sz w:val="24"/>
                <w:szCs w:val="24"/>
              </w:rPr>
            </w:pPr>
          </w:p>
          <w:p w14:paraId="528EDCF8" w14:textId="77777777" w:rsidR="00336DE2" w:rsidRDefault="00336DE2" w:rsidP="008600C6">
            <w:pPr>
              <w:spacing w:after="0" w:line="240" w:lineRule="auto"/>
              <w:jc w:val="both"/>
              <w:rPr>
                <w:rFonts w:cs="Calibri"/>
                <w:bCs/>
                <w:sz w:val="24"/>
                <w:szCs w:val="24"/>
              </w:rPr>
            </w:pPr>
          </w:p>
          <w:p w14:paraId="565641A7" w14:textId="77777777" w:rsidR="00336DE2" w:rsidRDefault="00336DE2" w:rsidP="008600C6">
            <w:pPr>
              <w:spacing w:after="0" w:line="240" w:lineRule="auto"/>
              <w:jc w:val="both"/>
              <w:rPr>
                <w:rFonts w:cs="Calibri"/>
                <w:bCs/>
                <w:sz w:val="24"/>
                <w:szCs w:val="24"/>
              </w:rPr>
            </w:pPr>
          </w:p>
          <w:p w14:paraId="0E573036" w14:textId="77777777" w:rsidR="00336DE2" w:rsidRDefault="00336DE2" w:rsidP="008600C6">
            <w:pPr>
              <w:spacing w:after="0" w:line="240" w:lineRule="auto"/>
              <w:jc w:val="both"/>
              <w:rPr>
                <w:rFonts w:cs="Calibri"/>
                <w:bCs/>
                <w:sz w:val="24"/>
                <w:szCs w:val="24"/>
              </w:rPr>
            </w:pPr>
          </w:p>
          <w:p w14:paraId="7A26080F" w14:textId="77777777" w:rsidR="00336DE2" w:rsidRDefault="00336DE2" w:rsidP="008600C6">
            <w:pPr>
              <w:spacing w:after="0" w:line="240" w:lineRule="auto"/>
              <w:jc w:val="both"/>
              <w:rPr>
                <w:rFonts w:cs="Calibri"/>
                <w:bCs/>
                <w:sz w:val="24"/>
                <w:szCs w:val="24"/>
              </w:rPr>
            </w:pPr>
          </w:p>
          <w:p w14:paraId="4D263AC9" w14:textId="77777777" w:rsidR="002437F3" w:rsidRDefault="002437F3" w:rsidP="008600C6">
            <w:pPr>
              <w:spacing w:after="0" w:line="240" w:lineRule="auto"/>
              <w:jc w:val="both"/>
              <w:rPr>
                <w:rFonts w:cs="Calibri"/>
                <w:bCs/>
                <w:sz w:val="24"/>
                <w:szCs w:val="24"/>
              </w:rPr>
            </w:pPr>
          </w:p>
          <w:p w14:paraId="5862B993" w14:textId="0F097BBC" w:rsidR="00336DE2" w:rsidRDefault="00336DE2" w:rsidP="008600C6">
            <w:pPr>
              <w:spacing w:after="0" w:line="240" w:lineRule="auto"/>
              <w:jc w:val="both"/>
              <w:rPr>
                <w:rFonts w:cs="Calibri"/>
                <w:bCs/>
                <w:sz w:val="24"/>
                <w:szCs w:val="24"/>
              </w:rPr>
            </w:pPr>
            <w:r>
              <w:rPr>
                <w:rFonts w:cs="Calibri"/>
                <w:bCs/>
                <w:sz w:val="24"/>
                <w:szCs w:val="24"/>
              </w:rPr>
              <w:t>CS</w:t>
            </w:r>
            <w:r w:rsidR="002437F3">
              <w:rPr>
                <w:rFonts w:cs="Calibri"/>
                <w:bCs/>
                <w:sz w:val="24"/>
                <w:szCs w:val="24"/>
              </w:rPr>
              <w:t>/KC</w:t>
            </w:r>
            <w:r>
              <w:rPr>
                <w:rFonts w:cs="Calibri"/>
                <w:bCs/>
                <w:sz w:val="24"/>
                <w:szCs w:val="24"/>
              </w:rPr>
              <w:t xml:space="preserve"> to forward with minutes</w:t>
            </w:r>
          </w:p>
          <w:p w14:paraId="246B2A72" w14:textId="0443DCEC" w:rsidR="00336DE2" w:rsidRPr="00E04D6B" w:rsidRDefault="00336DE2" w:rsidP="008600C6">
            <w:pPr>
              <w:spacing w:after="0" w:line="240" w:lineRule="auto"/>
              <w:jc w:val="both"/>
              <w:rPr>
                <w:rFonts w:cs="Calibri"/>
                <w:bCs/>
                <w:sz w:val="24"/>
                <w:szCs w:val="24"/>
              </w:rPr>
            </w:pPr>
          </w:p>
        </w:tc>
      </w:tr>
      <w:tr w:rsidR="00D510D4" w:rsidRPr="00E04D6B" w14:paraId="42C3B3A6" w14:textId="77777777" w:rsidTr="00D510D4">
        <w:tc>
          <w:tcPr>
            <w:tcW w:w="833" w:type="dxa"/>
            <w:vMerge w:val="restart"/>
            <w:shd w:val="clear" w:color="auto" w:fill="D9D9D9" w:themeFill="background1" w:themeFillShade="D9"/>
          </w:tcPr>
          <w:p w14:paraId="6CFBFCD1" w14:textId="4ABF0B10" w:rsidR="00D510D4" w:rsidRPr="00E04D6B" w:rsidRDefault="00D510D4" w:rsidP="00E479D6">
            <w:pPr>
              <w:spacing w:after="0" w:line="240" w:lineRule="auto"/>
              <w:ind w:left="360"/>
              <w:jc w:val="both"/>
              <w:rPr>
                <w:rFonts w:cs="Calibri"/>
                <w:b/>
                <w:sz w:val="24"/>
                <w:szCs w:val="24"/>
              </w:rPr>
            </w:pPr>
            <w:r w:rsidRPr="00E04D6B">
              <w:rPr>
                <w:rFonts w:cs="Calibri"/>
                <w:b/>
                <w:sz w:val="24"/>
                <w:szCs w:val="24"/>
              </w:rPr>
              <w:lastRenderedPageBreak/>
              <w:t>3.</w:t>
            </w:r>
          </w:p>
        </w:tc>
        <w:tc>
          <w:tcPr>
            <w:tcW w:w="7335" w:type="dxa"/>
            <w:shd w:val="clear" w:color="auto" w:fill="D9D9D9" w:themeFill="background1" w:themeFillShade="D9"/>
          </w:tcPr>
          <w:p w14:paraId="1A1ECE79" w14:textId="53F41B60" w:rsidR="00D510D4" w:rsidRPr="00F32348" w:rsidRDefault="00F30C62" w:rsidP="00F32348">
            <w:pPr>
              <w:jc w:val="both"/>
              <w:rPr>
                <w:rFonts w:cs="Calibri"/>
                <w:b/>
                <w:sz w:val="24"/>
                <w:szCs w:val="24"/>
              </w:rPr>
            </w:pPr>
            <w:r>
              <w:rPr>
                <w:rFonts w:cs="Calibri"/>
                <w:b/>
                <w:sz w:val="24"/>
                <w:szCs w:val="24"/>
              </w:rPr>
              <w:t>Schools Forum Report and Early Years Entitlement Rates 2026/27</w:t>
            </w:r>
          </w:p>
        </w:tc>
        <w:tc>
          <w:tcPr>
            <w:tcW w:w="1897" w:type="dxa"/>
            <w:shd w:val="clear" w:color="auto" w:fill="D9D9D9" w:themeFill="background1" w:themeFillShade="D9"/>
          </w:tcPr>
          <w:p w14:paraId="7A379E60" w14:textId="77777777" w:rsidR="00D510D4" w:rsidRPr="00E04D6B" w:rsidRDefault="00D510D4" w:rsidP="00E479D6">
            <w:pPr>
              <w:spacing w:after="0" w:line="240" w:lineRule="auto"/>
              <w:jc w:val="both"/>
              <w:rPr>
                <w:rFonts w:cs="Calibri"/>
                <w:b/>
                <w:sz w:val="24"/>
                <w:szCs w:val="24"/>
              </w:rPr>
            </w:pPr>
          </w:p>
        </w:tc>
      </w:tr>
      <w:tr w:rsidR="00D510D4" w:rsidRPr="00E04D6B" w14:paraId="04100CD3" w14:textId="77777777" w:rsidTr="00D510D4">
        <w:tc>
          <w:tcPr>
            <w:tcW w:w="833" w:type="dxa"/>
            <w:vMerge/>
            <w:shd w:val="clear" w:color="auto" w:fill="D9D9D9" w:themeFill="background1" w:themeFillShade="D9"/>
          </w:tcPr>
          <w:p w14:paraId="68CFBAFF" w14:textId="77777777" w:rsidR="00D510D4" w:rsidRPr="00E04D6B" w:rsidRDefault="00D510D4" w:rsidP="00E479D6">
            <w:pPr>
              <w:spacing w:after="0" w:line="240" w:lineRule="auto"/>
              <w:ind w:left="360"/>
              <w:jc w:val="both"/>
              <w:rPr>
                <w:rFonts w:cs="Calibri"/>
                <w:sz w:val="24"/>
                <w:szCs w:val="24"/>
              </w:rPr>
            </w:pPr>
          </w:p>
        </w:tc>
        <w:tc>
          <w:tcPr>
            <w:tcW w:w="7335" w:type="dxa"/>
          </w:tcPr>
          <w:p w14:paraId="31DA01DA" w14:textId="2C2E28AD" w:rsidR="003E4CEF" w:rsidRPr="003E4CEF" w:rsidRDefault="00473126" w:rsidP="003E4CEF">
            <w:pPr>
              <w:pStyle w:val="ListParagraph"/>
              <w:numPr>
                <w:ilvl w:val="0"/>
                <w:numId w:val="4"/>
              </w:numPr>
              <w:spacing w:after="0" w:line="240" w:lineRule="auto"/>
              <w:contextualSpacing w:val="0"/>
              <w:jc w:val="both"/>
              <w:rPr>
                <w:rFonts w:ascii="Aptos" w:eastAsia="Times New Roman" w:hAnsi="Aptos"/>
                <w:sz w:val="24"/>
                <w:szCs w:val="24"/>
              </w:rPr>
            </w:pPr>
            <w:r>
              <w:rPr>
                <w:rFonts w:eastAsia="Times New Roman"/>
                <w:sz w:val="24"/>
                <w:szCs w:val="24"/>
              </w:rPr>
              <w:t xml:space="preserve">KC shared that a </w:t>
            </w:r>
            <w:r w:rsidR="003E4CEF" w:rsidRPr="003E4CEF">
              <w:rPr>
                <w:rFonts w:eastAsia="Times New Roman"/>
                <w:sz w:val="24"/>
                <w:szCs w:val="24"/>
              </w:rPr>
              <w:t xml:space="preserve">Schools Forum Report agreed in January detailed that </w:t>
            </w:r>
            <w:r>
              <w:rPr>
                <w:rFonts w:eastAsia="Times New Roman"/>
                <w:sz w:val="24"/>
                <w:szCs w:val="24"/>
              </w:rPr>
              <w:t>the LA</w:t>
            </w:r>
            <w:r w:rsidR="003E4CEF" w:rsidRPr="003E4CEF">
              <w:rPr>
                <w:rFonts w:eastAsia="Times New Roman"/>
                <w:sz w:val="24"/>
                <w:szCs w:val="24"/>
              </w:rPr>
              <w:t xml:space="preserve"> would meet the 97% pass through requirement to the sector for the base rates for 2026/27, retaining no more than 3% of our DSG early years block allocation to support central services.</w:t>
            </w:r>
          </w:p>
          <w:p w14:paraId="1385CA36" w14:textId="79DC8AE0" w:rsidR="003E4CEF" w:rsidRPr="003E4CEF" w:rsidRDefault="003E4CEF" w:rsidP="003E4CEF">
            <w:pPr>
              <w:pStyle w:val="ListParagraph"/>
              <w:numPr>
                <w:ilvl w:val="0"/>
                <w:numId w:val="4"/>
              </w:numPr>
              <w:spacing w:after="0" w:line="240" w:lineRule="auto"/>
              <w:contextualSpacing w:val="0"/>
              <w:jc w:val="both"/>
              <w:rPr>
                <w:rFonts w:eastAsia="Times New Roman"/>
                <w:sz w:val="24"/>
                <w:szCs w:val="24"/>
              </w:rPr>
            </w:pPr>
            <w:r w:rsidRPr="003E4CEF">
              <w:rPr>
                <w:rFonts w:eastAsia="Times New Roman"/>
                <w:sz w:val="24"/>
                <w:szCs w:val="24"/>
              </w:rPr>
              <w:t xml:space="preserve">There was no consultation on the base rates with the sector </w:t>
            </w:r>
            <w:r>
              <w:rPr>
                <w:rFonts w:eastAsia="Times New Roman"/>
                <w:sz w:val="24"/>
                <w:szCs w:val="24"/>
              </w:rPr>
              <w:t xml:space="preserve">this year </w:t>
            </w:r>
            <w:r w:rsidRPr="003E4CEF">
              <w:rPr>
                <w:rFonts w:eastAsia="Times New Roman"/>
                <w:sz w:val="24"/>
                <w:szCs w:val="24"/>
              </w:rPr>
              <w:t>as there is no change in the formula for any of the base rates</w:t>
            </w:r>
            <w:r w:rsidR="002437F3">
              <w:rPr>
                <w:rFonts w:eastAsia="Times New Roman"/>
                <w:sz w:val="24"/>
                <w:szCs w:val="24"/>
              </w:rPr>
              <w:t>.</w:t>
            </w:r>
          </w:p>
          <w:p w14:paraId="4017CA77" w14:textId="77777777" w:rsidR="00473126" w:rsidRDefault="003E4CEF" w:rsidP="003E4CEF">
            <w:pPr>
              <w:pStyle w:val="ListParagraph"/>
              <w:numPr>
                <w:ilvl w:val="0"/>
                <w:numId w:val="4"/>
              </w:numPr>
              <w:spacing w:after="0" w:line="240" w:lineRule="auto"/>
              <w:contextualSpacing w:val="0"/>
              <w:jc w:val="both"/>
              <w:rPr>
                <w:rFonts w:eastAsia="Times New Roman"/>
                <w:sz w:val="24"/>
                <w:szCs w:val="24"/>
              </w:rPr>
            </w:pPr>
            <w:r w:rsidRPr="003E4CEF">
              <w:rPr>
                <w:rFonts w:eastAsia="Times New Roman"/>
                <w:sz w:val="24"/>
                <w:szCs w:val="24"/>
              </w:rPr>
              <w:t>Finance colleagues have developed the base rate amounts, in line with national guidance and the rates for next year are</w:t>
            </w:r>
            <w:r w:rsidR="00473126">
              <w:rPr>
                <w:rFonts w:eastAsia="Times New Roman"/>
                <w:sz w:val="24"/>
                <w:szCs w:val="24"/>
              </w:rPr>
              <w:t>:</w:t>
            </w:r>
          </w:p>
          <w:p w14:paraId="2C0B4369" w14:textId="77777777" w:rsidR="00473126" w:rsidRDefault="00473126" w:rsidP="00473126">
            <w:pPr>
              <w:pStyle w:val="ListParagraph"/>
              <w:spacing w:after="0" w:line="240" w:lineRule="auto"/>
              <w:contextualSpacing w:val="0"/>
              <w:jc w:val="both"/>
              <w:rPr>
                <w:rFonts w:eastAsia="Times New Roman"/>
                <w:sz w:val="24"/>
                <w:szCs w:val="24"/>
              </w:rPr>
            </w:pPr>
          </w:p>
          <w:p w14:paraId="150FF1EC" w14:textId="3CB7450F" w:rsidR="00473126" w:rsidRPr="00473126" w:rsidRDefault="00473126" w:rsidP="00473126">
            <w:pPr>
              <w:spacing w:after="0" w:line="240" w:lineRule="auto"/>
              <w:jc w:val="both"/>
              <w:rPr>
                <w:rFonts w:eastAsia="Times New Roman"/>
                <w:sz w:val="24"/>
                <w:szCs w:val="24"/>
              </w:rPr>
            </w:pPr>
            <w:r w:rsidRPr="00473126">
              <w:rPr>
                <w:rFonts w:eastAsia="Times New Roman"/>
                <w:noProof/>
                <w:sz w:val="24"/>
                <w:szCs w:val="24"/>
              </w:rPr>
              <w:drawing>
                <wp:inline distT="0" distB="0" distL="0" distR="0" wp14:anchorId="4A335CC8" wp14:editId="2F7B4491">
                  <wp:extent cx="4896533" cy="3305636"/>
                  <wp:effectExtent l="0" t="0" r="0" b="9525"/>
                  <wp:docPr id="794551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51196" name=""/>
                          <pic:cNvPicPr/>
                        </pic:nvPicPr>
                        <pic:blipFill>
                          <a:blip r:embed="rId6"/>
                          <a:stretch>
                            <a:fillRect/>
                          </a:stretch>
                        </pic:blipFill>
                        <pic:spPr>
                          <a:xfrm>
                            <a:off x="0" y="0"/>
                            <a:ext cx="4896533" cy="3305636"/>
                          </a:xfrm>
                          <a:prstGeom prst="rect">
                            <a:avLst/>
                          </a:prstGeom>
                        </pic:spPr>
                      </pic:pic>
                    </a:graphicData>
                  </a:graphic>
                </wp:inline>
              </w:drawing>
            </w:r>
          </w:p>
          <w:p w14:paraId="0EAB2E12" w14:textId="58B9C373" w:rsidR="003E4CEF" w:rsidRPr="00473126" w:rsidRDefault="00473126" w:rsidP="00473126">
            <w:pPr>
              <w:pStyle w:val="ListParagraph"/>
              <w:numPr>
                <w:ilvl w:val="0"/>
                <w:numId w:val="4"/>
              </w:numPr>
              <w:spacing w:after="0" w:line="240" w:lineRule="auto"/>
              <w:contextualSpacing w:val="0"/>
              <w:jc w:val="both"/>
              <w:rPr>
                <w:rFonts w:eastAsia="Times New Roman"/>
                <w:sz w:val="24"/>
                <w:szCs w:val="24"/>
              </w:rPr>
            </w:pPr>
            <w:r w:rsidRPr="00473126">
              <w:rPr>
                <w:rFonts w:eastAsia="Times New Roman"/>
                <w:sz w:val="24"/>
                <w:szCs w:val="24"/>
              </w:rPr>
              <w:t>These new rates come into effect on 1</w:t>
            </w:r>
            <w:r w:rsidRPr="00473126">
              <w:rPr>
                <w:rFonts w:eastAsia="Times New Roman"/>
                <w:sz w:val="24"/>
                <w:szCs w:val="24"/>
                <w:vertAlign w:val="superscript"/>
              </w:rPr>
              <w:t>st</w:t>
            </w:r>
            <w:r w:rsidRPr="00473126">
              <w:rPr>
                <w:rFonts w:eastAsia="Times New Roman"/>
                <w:sz w:val="24"/>
                <w:szCs w:val="24"/>
              </w:rPr>
              <w:t xml:space="preserve"> April 2026.</w:t>
            </w:r>
          </w:p>
          <w:p w14:paraId="5841E4A5" w14:textId="3E116C7B" w:rsidR="003E4CEF" w:rsidRPr="00473126" w:rsidRDefault="003E4CEF" w:rsidP="00473126">
            <w:pPr>
              <w:pStyle w:val="ListParagraph"/>
              <w:numPr>
                <w:ilvl w:val="0"/>
                <w:numId w:val="4"/>
              </w:numPr>
              <w:spacing w:after="0" w:line="240" w:lineRule="auto"/>
              <w:contextualSpacing w:val="0"/>
              <w:jc w:val="both"/>
              <w:rPr>
                <w:rFonts w:eastAsia="Times New Roman"/>
                <w:sz w:val="24"/>
                <w:szCs w:val="24"/>
              </w:rPr>
            </w:pPr>
            <w:r w:rsidRPr="003E4CEF">
              <w:rPr>
                <w:rFonts w:eastAsia="Times New Roman"/>
                <w:sz w:val="24"/>
                <w:szCs w:val="24"/>
              </w:rPr>
              <w:t>These were shared with the PVI at our annual business meeting on 5</w:t>
            </w:r>
            <w:r w:rsidRPr="003E4CEF">
              <w:rPr>
                <w:rFonts w:eastAsia="Times New Roman"/>
                <w:sz w:val="24"/>
                <w:szCs w:val="24"/>
                <w:vertAlign w:val="superscript"/>
              </w:rPr>
              <w:t>th</w:t>
            </w:r>
            <w:r w:rsidRPr="003E4CEF">
              <w:rPr>
                <w:rFonts w:eastAsia="Times New Roman"/>
                <w:sz w:val="24"/>
                <w:szCs w:val="24"/>
              </w:rPr>
              <w:t xml:space="preserve"> Feb and at our annual funding briefing for schools on 11</w:t>
            </w:r>
            <w:r w:rsidRPr="003E4CEF">
              <w:rPr>
                <w:rFonts w:eastAsia="Times New Roman"/>
                <w:sz w:val="24"/>
                <w:szCs w:val="24"/>
                <w:vertAlign w:val="superscript"/>
              </w:rPr>
              <w:t>th</w:t>
            </w:r>
            <w:r w:rsidRPr="003E4CEF">
              <w:rPr>
                <w:rFonts w:eastAsia="Times New Roman"/>
                <w:sz w:val="24"/>
                <w:szCs w:val="24"/>
              </w:rPr>
              <w:t xml:space="preserve"> Feb</w:t>
            </w:r>
            <w:r w:rsidR="00473126">
              <w:rPr>
                <w:rFonts w:eastAsia="Times New Roman"/>
                <w:sz w:val="24"/>
                <w:szCs w:val="24"/>
              </w:rPr>
              <w:t xml:space="preserve">, and whilst attendance from both sectors was not as high as </w:t>
            </w:r>
            <w:r w:rsidR="002437F3">
              <w:rPr>
                <w:rFonts w:eastAsia="Times New Roman"/>
                <w:sz w:val="24"/>
                <w:szCs w:val="24"/>
              </w:rPr>
              <w:t>expected</w:t>
            </w:r>
            <w:r w:rsidR="00473126">
              <w:rPr>
                <w:rFonts w:eastAsia="Times New Roman"/>
                <w:sz w:val="24"/>
                <w:szCs w:val="24"/>
              </w:rPr>
              <w:t>, the feedback was that 100% of attendees were clear on the funding rates, 97% were confident using the portal and the top 3 topics of interest were the funding rates, the Special Educational Needs Inclusion Fund and the Childcare Sufficiency Assessment.</w:t>
            </w:r>
          </w:p>
        </w:tc>
        <w:tc>
          <w:tcPr>
            <w:tcW w:w="1897" w:type="dxa"/>
          </w:tcPr>
          <w:p w14:paraId="67C17AF3" w14:textId="77777777" w:rsidR="009800EF" w:rsidRDefault="009800EF" w:rsidP="004B6A4F">
            <w:pPr>
              <w:spacing w:after="0" w:line="240" w:lineRule="auto"/>
              <w:jc w:val="both"/>
              <w:rPr>
                <w:rFonts w:cs="Calibri"/>
                <w:b/>
                <w:bCs/>
                <w:sz w:val="24"/>
                <w:szCs w:val="24"/>
              </w:rPr>
            </w:pPr>
          </w:p>
          <w:p w14:paraId="1C9E6832" w14:textId="1CB1380F" w:rsidR="009800EF" w:rsidRPr="009800EF" w:rsidRDefault="009800EF" w:rsidP="00F30C62">
            <w:pPr>
              <w:spacing w:after="0" w:line="240" w:lineRule="auto"/>
              <w:jc w:val="both"/>
              <w:rPr>
                <w:rFonts w:cs="Calibri"/>
                <w:sz w:val="24"/>
                <w:szCs w:val="24"/>
              </w:rPr>
            </w:pPr>
          </w:p>
        </w:tc>
      </w:tr>
      <w:tr w:rsidR="00D510D4" w:rsidRPr="00E04D6B" w14:paraId="017BD3C7" w14:textId="77777777" w:rsidTr="00D510D4">
        <w:tc>
          <w:tcPr>
            <w:tcW w:w="833" w:type="dxa"/>
            <w:vMerge w:val="restart"/>
            <w:shd w:val="clear" w:color="auto" w:fill="D9D9D9" w:themeFill="background1" w:themeFillShade="D9"/>
          </w:tcPr>
          <w:p w14:paraId="76C8B924" w14:textId="2FA1E773" w:rsidR="00D510D4" w:rsidRPr="00E04D6B" w:rsidRDefault="00D510D4" w:rsidP="00E479D6">
            <w:pPr>
              <w:spacing w:after="0" w:line="240" w:lineRule="auto"/>
              <w:ind w:left="360"/>
              <w:jc w:val="both"/>
              <w:rPr>
                <w:rFonts w:cs="Calibri"/>
                <w:b/>
                <w:sz w:val="24"/>
                <w:szCs w:val="24"/>
              </w:rPr>
            </w:pPr>
            <w:r w:rsidRPr="00E04D6B">
              <w:rPr>
                <w:rFonts w:cs="Calibri"/>
                <w:b/>
                <w:sz w:val="24"/>
                <w:szCs w:val="24"/>
              </w:rPr>
              <w:t>4.</w:t>
            </w:r>
          </w:p>
        </w:tc>
        <w:tc>
          <w:tcPr>
            <w:tcW w:w="7335" w:type="dxa"/>
            <w:shd w:val="clear" w:color="auto" w:fill="D9D9D9" w:themeFill="background1" w:themeFillShade="D9"/>
          </w:tcPr>
          <w:p w14:paraId="28AADF18" w14:textId="77777777" w:rsidR="00D510D4" w:rsidRDefault="00F30C62" w:rsidP="00F30C62">
            <w:pPr>
              <w:spacing w:after="0" w:line="240" w:lineRule="auto"/>
              <w:jc w:val="both"/>
              <w:rPr>
                <w:rFonts w:cs="Calibri"/>
                <w:b/>
                <w:sz w:val="24"/>
                <w:szCs w:val="24"/>
              </w:rPr>
            </w:pPr>
            <w:r>
              <w:rPr>
                <w:rFonts w:cs="Calibri"/>
                <w:b/>
                <w:sz w:val="24"/>
                <w:szCs w:val="24"/>
              </w:rPr>
              <w:t>Autumn Participation Levels – Early Years Entitlements</w:t>
            </w:r>
          </w:p>
          <w:p w14:paraId="0D7386A7" w14:textId="7ED7C2BA" w:rsidR="00F30C62" w:rsidRPr="00E04D6B" w:rsidRDefault="00F30C62" w:rsidP="00F30C62">
            <w:pPr>
              <w:spacing w:after="0" w:line="240" w:lineRule="auto"/>
              <w:jc w:val="both"/>
              <w:rPr>
                <w:rFonts w:cs="Calibri"/>
                <w:b/>
                <w:sz w:val="24"/>
                <w:szCs w:val="24"/>
              </w:rPr>
            </w:pPr>
          </w:p>
        </w:tc>
        <w:tc>
          <w:tcPr>
            <w:tcW w:w="1897" w:type="dxa"/>
            <w:shd w:val="clear" w:color="auto" w:fill="D9D9D9" w:themeFill="background1" w:themeFillShade="D9"/>
          </w:tcPr>
          <w:p w14:paraId="662A57EC" w14:textId="77777777" w:rsidR="00D510D4" w:rsidRPr="00E04D6B" w:rsidRDefault="00D510D4" w:rsidP="00E479D6">
            <w:pPr>
              <w:spacing w:after="0" w:line="240" w:lineRule="auto"/>
              <w:jc w:val="both"/>
              <w:rPr>
                <w:rFonts w:cs="Calibri"/>
                <w:b/>
                <w:sz w:val="24"/>
                <w:szCs w:val="24"/>
              </w:rPr>
            </w:pPr>
          </w:p>
        </w:tc>
      </w:tr>
      <w:tr w:rsidR="00D510D4" w:rsidRPr="00E04D6B" w14:paraId="069D8DFB" w14:textId="77777777" w:rsidTr="00D510D4">
        <w:tc>
          <w:tcPr>
            <w:tcW w:w="833" w:type="dxa"/>
            <w:vMerge/>
            <w:shd w:val="clear" w:color="auto" w:fill="D9D9D9" w:themeFill="background1" w:themeFillShade="D9"/>
          </w:tcPr>
          <w:p w14:paraId="06782102" w14:textId="77777777" w:rsidR="00D510D4" w:rsidRPr="00E04D6B" w:rsidRDefault="00D510D4" w:rsidP="00E479D6">
            <w:pPr>
              <w:spacing w:after="0" w:line="240" w:lineRule="auto"/>
              <w:ind w:left="360"/>
              <w:jc w:val="both"/>
              <w:rPr>
                <w:rFonts w:cs="Calibri"/>
                <w:sz w:val="24"/>
                <w:szCs w:val="24"/>
              </w:rPr>
            </w:pPr>
          </w:p>
        </w:tc>
        <w:tc>
          <w:tcPr>
            <w:tcW w:w="7335" w:type="dxa"/>
          </w:tcPr>
          <w:p w14:paraId="3B5BF860" w14:textId="6921EF7C" w:rsidR="001C6054" w:rsidRDefault="004D33D2" w:rsidP="00F30C62">
            <w:pPr>
              <w:pStyle w:val="ListParagraph"/>
              <w:numPr>
                <w:ilvl w:val="0"/>
                <w:numId w:val="4"/>
              </w:numPr>
              <w:spacing w:after="0" w:line="240" w:lineRule="auto"/>
              <w:jc w:val="both"/>
              <w:rPr>
                <w:rFonts w:cs="Calibri"/>
                <w:sz w:val="24"/>
                <w:szCs w:val="24"/>
              </w:rPr>
            </w:pPr>
            <w:r>
              <w:rPr>
                <w:rFonts w:cs="Calibri"/>
                <w:sz w:val="24"/>
                <w:szCs w:val="24"/>
              </w:rPr>
              <w:t>CS gave an update on the participation levels for 2-year-olds – this is split into 2 offers – the Early Learning for 2 Year Olds (formerly the Disadvantaged 2 Year Olds Offer) and the working parent entitlement for 2-year-olds.</w:t>
            </w:r>
          </w:p>
          <w:p w14:paraId="520DF108" w14:textId="276271F4" w:rsidR="004D33D2" w:rsidRDefault="004D33D2" w:rsidP="00F30C62">
            <w:pPr>
              <w:pStyle w:val="ListParagraph"/>
              <w:numPr>
                <w:ilvl w:val="0"/>
                <w:numId w:val="4"/>
              </w:numPr>
              <w:spacing w:after="0" w:line="240" w:lineRule="auto"/>
              <w:jc w:val="both"/>
              <w:rPr>
                <w:rFonts w:cs="Calibri"/>
                <w:sz w:val="24"/>
                <w:szCs w:val="24"/>
              </w:rPr>
            </w:pPr>
            <w:r>
              <w:rPr>
                <w:rFonts w:cs="Calibri"/>
                <w:sz w:val="24"/>
                <w:szCs w:val="24"/>
              </w:rPr>
              <w:t>Where families are eligible for both entitlements, families should access the Early Learning for 2 Year Olds element first as this entitlement is not withdrawn once granted.</w:t>
            </w:r>
          </w:p>
          <w:p w14:paraId="1780EFF4" w14:textId="6711BFEA" w:rsidR="004D33D2" w:rsidRDefault="004D33D2" w:rsidP="00F30C62">
            <w:pPr>
              <w:pStyle w:val="ListParagraph"/>
              <w:numPr>
                <w:ilvl w:val="0"/>
                <w:numId w:val="4"/>
              </w:numPr>
              <w:spacing w:after="0" w:line="240" w:lineRule="auto"/>
              <w:jc w:val="both"/>
              <w:rPr>
                <w:rFonts w:cs="Calibri"/>
                <w:sz w:val="24"/>
                <w:szCs w:val="24"/>
              </w:rPr>
            </w:pPr>
            <w:r>
              <w:rPr>
                <w:rFonts w:cs="Calibri"/>
                <w:sz w:val="24"/>
                <w:szCs w:val="24"/>
              </w:rPr>
              <w:t xml:space="preserve">DfE have introduced a minimum expectation level for take up for the Early Learning for 2 Year Olds following a national dip in participation.  </w:t>
            </w:r>
            <w:r w:rsidR="002437F3">
              <w:rPr>
                <w:rFonts w:cs="Calibri"/>
                <w:sz w:val="24"/>
                <w:szCs w:val="24"/>
              </w:rPr>
              <w:t>DfE state that Nottingham City</w:t>
            </w:r>
            <w:r>
              <w:rPr>
                <w:rFonts w:cs="Calibri"/>
                <w:sz w:val="24"/>
                <w:szCs w:val="24"/>
              </w:rPr>
              <w:t xml:space="preserve"> Autumn 2025 participation </w:t>
            </w:r>
            <w:r w:rsidR="002437F3">
              <w:rPr>
                <w:rFonts w:cs="Calibri"/>
                <w:sz w:val="24"/>
                <w:szCs w:val="24"/>
              </w:rPr>
              <w:t xml:space="preserve">data is </w:t>
            </w:r>
            <w:r>
              <w:rPr>
                <w:rFonts w:cs="Calibri"/>
                <w:sz w:val="24"/>
                <w:szCs w:val="24"/>
              </w:rPr>
              <w:t>74%, our minimum expectation</w:t>
            </w:r>
            <w:r w:rsidR="002437F3">
              <w:rPr>
                <w:rFonts w:cs="Calibri"/>
                <w:sz w:val="24"/>
                <w:szCs w:val="24"/>
              </w:rPr>
              <w:t xml:space="preserve"> </w:t>
            </w:r>
            <w:r>
              <w:rPr>
                <w:rFonts w:cs="Calibri"/>
                <w:sz w:val="24"/>
                <w:szCs w:val="24"/>
              </w:rPr>
              <w:t>from DfE is 80.1%</w:t>
            </w:r>
            <w:r w:rsidR="002437F3">
              <w:rPr>
                <w:rFonts w:cs="Calibri"/>
                <w:sz w:val="24"/>
                <w:szCs w:val="24"/>
              </w:rPr>
              <w:t>, with a further</w:t>
            </w:r>
            <w:r>
              <w:rPr>
                <w:rFonts w:cs="Calibri"/>
                <w:sz w:val="24"/>
                <w:szCs w:val="24"/>
              </w:rPr>
              <w:t xml:space="preserve"> stretched target </w:t>
            </w:r>
            <w:r w:rsidR="002437F3">
              <w:rPr>
                <w:rFonts w:cs="Calibri"/>
                <w:sz w:val="24"/>
                <w:szCs w:val="24"/>
              </w:rPr>
              <w:t>of</w:t>
            </w:r>
            <w:r>
              <w:rPr>
                <w:rFonts w:cs="Calibri"/>
                <w:sz w:val="24"/>
                <w:szCs w:val="24"/>
              </w:rPr>
              <w:t xml:space="preserve"> 90%.</w:t>
            </w:r>
          </w:p>
          <w:p w14:paraId="38F4A08C" w14:textId="5A226926" w:rsidR="006E28EB" w:rsidRPr="00C47BC5" w:rsidRDefault="004D33D2" w:rsidP="00C47BC5">
            <w:pPr>
              <w:pStyle w:val="ListParagraph"/>
              <w:numPr>
                <w:ilvl w:val="0"/>
                <w:numId w:val="4"/>
              </w:numPr>
              <w:spacing w:after="0" w:line="240" w:lineRule="auto"/>
              <w:jc w:val="both"/>
              <w:rPr>
                <w:rFonts w:cs="Calibri"/>
                <w:sz w:val="24"/>
                <w:szCs w:val="24"/>
              </w:rPr>
            </w:pPr>
            <w:r>
              <w:rPr>
                <w:rFonts w:cs="Calibri"/>
                <w:sz w:val="24"/>
                <w:szCs w:val="24"/>
              </w:rPr>
              <w:lastRenderedPageBreak/>
              <w:t>There will be a greater emphasis on parental engagement and a ‘back to basics’ marketing campaign</w:t>
            </w:r>
            <w:r w:rsidR="006E28EB">
              <w:rPr>
                <w:rFonts w:cs="Calibri"/>
                <w:sz w:val="24"/>
                <w:szCs w:val="24"/>
              </w:rPr>
              <w:t xml:space="preserve"> over coming months to support this</w:t>
            </w:r>
            <w:r w:rsidR="002437F3">
              <w:rPr>
                <w:rFonts w:cs="Calibri"/>
                <w:sz w:val="24"/>
                <w:szCs w:val="24"/>
              </w:rPr>
              <w:t xml:space="preserve"> uptake.</w:t>
            </w:r>
          </w:p>
          <w:p w14:paraId="66247BE9" w14:textId="77777777" w:rsidR="00130108" w:rsidRDefault="006E28EB" w:rsidP="00130108">
            <w:pPr>
              <w:pStyle w:val="ListParagraph"/>
              <w:numPr>
                <w:ilvl w:val="0"/>
                <w:numId w:val="4"/>
              </w:numPr>
              <w:spacing w:after="0" w:line="240" w:lineRule="auto"/>
              <w:jc w:val="both"/>
              <w:rPr>
                <w:rFonts w:cs="Calibri"/>
                <w:sz w:val="24"/>
                <w:szCs w:val="24"/>
              </w:rPr>
            </w:pPr>
            <w:r>
              <w:rPr>
                <w:rFonts w:cs="Calibri"/>
                <w:sz w:val="24"/>
                <w:szCs w:val="24"/>
              </w:rPr>
              <w:t>CS asked what the group felt worked well with families in getting them to access the funded provision available</w:t>
            </w:r>
            <w:r w:rsidR="00130108">
              <w:rPr>
                <w:rFonts w:cs="Calibri"/>
                <w:sz w:val="24"/>
                <w:szCs w:val="24"/>
              </w:rPr>
              <w:t>.</w:t>
            </w:r>
          </w:p>
          <w:p w14:paraId="2AC8F8FD" w14:textId="16C2A912" w:rsidR="00130108" w:rsidRPr="002437F3" w:rsidRDefault="002437F3" w:rsidP="002437F3">
            <w:pPr>
              <w:pStyle w:val="ListParagraph"/>
              <w:numPr>
                <w:ilvl w:val="0"/>
                <w:numId w:val="12"/>
              </w:numPr>
              <w:spacing w:after="0" w:line="240" w:lineRule="auto"/>
              <w:jc w:val="both"/>
              <w:rPr>
                <w:rFonts w:cs="Calibri"/>
                <w:sz w:val="24"/>
                <w:szCs w:val="24"/>
              </w:rPr>
            </w:pPr>
            <w:r>
              <w:rPr>
                <w:rFonts w:cs="Calibri"/>
                <w:sz w:val="24"/>
                <w:szCs w:val="24"/>
              </w:rPr>
              <w:t xml:space="preserve">LB </w:t>
            </w:r>
            <w:r w:rsidR="00C06734">
              <w:rPr>
                <w:rFonts w:cs="Calibri"/>
                <w:sz w:val="24"/>
                <w:szCs w:val="24"/>
              </w:rPr>
              <w:t xml:space="preserve">&amp; BW </w:t>
            </w:r>
            <w:r w:rsidR="006E28EB" w:rsidRPr="00130108">
              <w:rPr>
                <w:rFonts w:cs="Calibri"/>
                <w:sz w:val="24"/>
                <w:szCs w:val="24"/>
              </w:rPr>
              <w:t xml:space="preserve">shared that lots of parents </w:t>
            </w:r>
            <w:r>
              <w:rPr>
                <w:rFonts w:cs="Calibri"/>
                <w:sz w:val="24"/>
                <w:szCs w:val="24"/>
              </w:rPr>
              <w:t xml:space="preserve">want 30 hours to support adult study, including </w:t>
            </w:r>
            <w:r w:rsidR="006E28EB" w:rsidRPr="002437F3">
              <w:rPr>
                <w:rFonts w:cs="Calibri"/>
                <w:sz w:val="24"/>
                <w:szCs w:val="24"/>
              </w:rPr>
              <w:t>ESOL courses</w:t>
            </w:r>
            <w:r>
              <w:rPr>
                <w:rFonts w:cs="Calibri"/>
                <w:sz w:val="24"/>
                <w:szCs w:val="24"/>
              </w:rPr>
              <w:t>,</w:t>
            </w:r>
            <w:r w:rsidR="006E28EB" w:rsidRPr="002437F3">
              <w:rPr>
                <w:rFonts w:cs="Calibri"/>
                <w:sz w:val="24"/>
                <w:szCs w:val="24"/>
              </w:rPr>
              <w:t xml:space="preserve"> but </w:t>
            </w:r>
            <w:r>
              <w:rPr>
                <w:rFonts w:cs="Calibri"/>
                <w:sz w:val="24"/>
                <w:szCs w:val="24"/>
              </w:rPr>
              <w:t>there is no funding available for this</w:t>
            </w:r>
            <w:r w:rsidR="006E28EB" w:rsidRPr="002437F3">
              <w:rPr>
                <w:rFonts w:cs="Calibri"/>
                <w:sz w:val="24"/>
                <w:szCs w:val="24"/>
              </w:rPr>
              <w:t xml:space="preserve">.  </w:t>
            </w:r>
            <w:r w:rsidR="00C06734">
              <w:rPr>
                <w:rFonts w:cs="Calibri"/>
                <w:sz w:val="24"/>
                <w:szCs w:val="24"/>
              </w:rPr>
              <w:t>More call from parents to be able to pay for additional hours on top of the 15 hours available, but most schools don’t offer this option.</w:t>
            </w:r>
          </w:p>
          <w:p w14:paraId="08913564" w14:textId="50D490A5" w:rsidR="00130108" w:rsidRDefault="006E28EB" w:rsidP="00130108">
            <w:pPr>
              <w:pStyle w:val="ListParagraph"/>
              <w:numPr>
                <w:ilvl w:val="0"/>
                <w:numId w:val="12"/>
              </w:numPr>
              <w:spacing w:after="0" w:line="240" w:lineRule="auto"/>
              <w:jc w:val="both"/>
              <w:rPr>
                <w:rFonts w:cs="Calibri"/>
                <w:sz w:val="24"/>
                <w:szCs w:val="24"/>
              </w:rPr>
            </w:pPr>
            <w:r w:rsidRPr="00130108">
              <w:rPr>
                <w:rFonts w:cs="Calibri"/>
                <w:sz w:val="24"/>
                <w:szCs w:val="24"/>
              </w:rPr>
              <w:t>SC shared some successes she has had with Nottingham College</w:t>
            </w:r>
            <w:r w:rsidR="002437F3">
              <w:rPr>
                <w:rFonts w:cs="Calibri"/>
                <w:sz w:val="24"/>
                <w:szCs w:val="24"/>
              </w:rPr>
              <w:t>.</w:t>
            </w:r>
          </w:p>
          <w:p w14:paraId="2F5599E5" w14:textId="590AA60D" w:rsidR="006E28EB" w:rsidRPr="00130108" w:rsidRDefault="006E28EB" w:rsidP="00130108">
            <w:pPr>
              <w:pStyle w:val="ListParagraph"/>
              <w:numPr>
                <w:ilvl w:val="0"/>
                <w:numId w:val="12"/>
              </w:numPr>
              <w:spacing w:after="0" w:line="240" w:lineRule="auto"/>
              <w:jc w:val="both"/>
              <w:rPr>
                <w:rFonts w:cs="Calibri"/>
                <w:sz w:val="24"/>
                <w:szCs w:val="24"/>
              </w:rPr>
            </w:pPr>
            <w:proofErr w:type="spellStart"/>
            <w:r w:rsidRPr="00130108">
              <w:rPr>
                <w:rFonts w:cs="Calibri"/>
                <w:sz w:val="24"/>
                <w:szCs w:val="24"/>
              </w:rPr>
              <w:t>JoH</w:t>
            </w:r>
            <w:proofErr w:type="spellEnd"/>
            <w:r w:rsidRPr="00130108">
              <w:rPr>
                <w:rFonts w:cs="Calibri"/>
                <w:sz w:val="24"/>
                <w:szCs w:val="24"/>
              </w:rPr>
              <w:t xml:space="preserve"> shared that Robin Hood had adjusted their model of 15-hour delivery to meet parental need.</w:t>
            </w:r>
          </w:p>
          <w:p w14:paraId="77CAE1CA" w14:textId="34155D44" w:rsidR="00514E41" w:rsidRPr="00F30C62" w:rsidRDefault="00514E41" w:rsidP="00F30C62">
            <w:pPr>
              <w:spacing w:after="0" w:line="240" w:lineRule="auto"/>
              <w:jc w:val="both"/>
              <w:rPr>
                <w:rFonts w:cs="Calibri"/>
                <w:sz w:val="24"/>
                <w:szCs w:val="24"/>
              </w:rPr>
            </w:pPr>
          </w:p>
        </w:tc>
        <w:tc>
          <w:tcPr>
            <w:tcW w:w="1897" w:type="dxa"/>
          </w:tcPr>
          <w:p w14:paraId="78732236" w14:textId="77777777" w:rsidR="00565B4B" w:rsidRDefault="00565B4B" w:rsidP="00F30C62">
            <w:pPr>
              <w:spacing w:after="0" w:line="240" w:lineRule="auto"/>
              <w:jc w:val="both"/>
              <w:rPr>
                <w:rFonts w:cs="Calibri"/>
                <w:bCs/>
                <w:sz w:val="24"/>
                <w:szCs w:val="24"/>
              </w:rPr>
            </w:pPr>
          </w:p>
          <w:p w14:paraId="03355D3F" w14:textId="77777777" w:rsidR="006E28EB" w:rsidRDefault="006E28EB" w:rsidP="00F30C62">
            <w:pPr>
              <w:spacing w:after="0" w:line="240" w:lineRule="auto"/>
              <w:jc w:val="both"/>
              <w:rPr>
                <w:rFonts w:cs="Calibri"/>
                <w:bCs/>
                <w:sz w:val="24"/>
                <w:szCs w:val="24"/>
              </w:rPr>
            </w:pPr>
          </w:p>
          <w:p w14:paraId="0AEFC4BC" w14:textId="77777777" w:rsidR="006E28EB" w:rsidRDefault="006E28EB" w:rsidP="00F30C62">
            <w:pPr>
              <w:spacing w:after="0" w:line="240" w:lineRule="auto"/>
              <w:jc w:val="both"/>
              <w:rPr>
                <w:rFonts w:cs="Calibri"/>
                <w:bCs/>
                <w:sz w:val="24"/>
                <w:szCs w:val="24"/>
              </w:rPr>
            </w:pPr>
          </w:p>
          <w:p w14:paraId="632EA0C7" w14:textId="77777777" w:rsidR="006E28EB" w:rsidRDefault="006E28EB" w:rsidP="00F30C62">
            <w:pPr>
              <w:spacing w:after="0" w:line="240" w:lineRule="auto"/>
              <w:jc w:val="both"/>
              <w:rPr>
                <w:rFonts w:cs="Calibri"/>
                <w:bCs/>
                <w:sz w:val="24"/>
                <w:szCs w:val="24"/>
              </w:rPr>
            </w:pPr>
          </w:p>
          <w:p w14:paraId="7C2C16A1" w14:textId="77777777" w:rsidR="006E28EB" w:rsidRDefault="006E28EB" w:rsidP="00F30C62">
            <w:pPr>
              <w:spacing w:after="0" w:line="240" w:lineRule="auto"/>
              <w:jc w:val="both"/>
              <w:rPr>
                <w:rFonts w:cs="Calibri"/>
                <w:bCs/>
                <w:sz w:val="24"/>
                <w:szCs w:val="24"/>
              </w:rPr>
            </w:pPr>
          </w:p>
          <w:p w14:paraId="706D1064" w14:textId="77777777" w:rsidR="006E28EB" w:rsidRDefault="006E28EB" w:rsidP="00F30C62">
            <w:pPr>
              <w:spacing w:after="0" w:line="240" w:lineRule="auto"/>
              <w:jc w:val="both"/>
              <w:rPr>
                <w:rFonts w:cs="Calibri"/>
                <w:bCs/>
                <w:sz w:val="24"/>
                <w:szCs w:val="24"/>
              </w:rPr>
            </w:pPr>
          </w:p>
          <w:p w14:paraId="5479027F" w14:textId="77777777" w:rsidR="006E28EB" w:rsidRDefault="006E28EB" w:rsidP="00F30C62">
            <w:pPr>
              <w:spacing w:after="0" w:line="240" w:lineRule="auto"/>
              <w:jc w:val="both"/>
              <w:rPr>
                <w:rFonts w:cs="Calibri"/>
                <w:bCs/>
                <w:sz w:val="24"/>
                <w:szCs w:val="24"/>
              </w:rPr>
            </w:pPr>
          </w:p>
          <w:p w14:paraId="5AB79FD3" w14:textId="77777777" w:rsidR="006E28EB" w:rsidRDefault="006E28EB" w:rsidP="00F30C62">
            <w:pPr>
              <w:spacing w:after="0" w:line="240" w:lineRule="auto"/>
              <w:jc w:val="both"/>
              <w:rPr>
                <w:rFonts w:cs="Calibri"/>
                <w:bCs/>
                <w:sz w:val="24"/>
                <w:szCs w:val="24"/>
              </w:rPr>
            </w:pPr>
          </w:p>
          <w:p w14:paraId="018BEC98" w14:textId="77777777" w:rsidR="006E28EB" w:rsidRDefault="006E28EB" w:rsidP="00F30C62">
            <w:pPr>
              <w:spacing w:after="0" w:line="240" w:lineRule="auto"/>
              <w:jc w:val="both"/>
              <w:rPr>
                <w:rFonts w:cs="Calibri"/>
                <w:bCs/>
                <w:sz w:val="24"/>
                <w:szCs w:val="24"/>
              </w:rPr>
            </w:pPr>
          </w:p>
          <w:p w14:paraId="524AC754" w14:textId="77777777" w:rsidR="006E28EB" w:rsidRDefault="006E28EB" w:rsidP="00F30C62">
            <w:pPr>
              <w:spacing w:after="0" w:line="240" w:lineRule="auto"/>
              <w:jc w:val="both"/>
              <w:rPr>
                <w:rFonts w:cs="Calibri"/>
                <w:bCs/>
                <w:sz w:val="24"/>
                <w:szCs w:val="24"/>
              </w:rPr>
            </w:pPr>
          </w:p>
          <w:p w14:paraId="070647CD" w14:textId="77777777" w:rsidR="006E28EB" w:rsidRDefault="006E28EB" w:rsidP="00F30C62">
            <w:pPr>
              <w:spacing w:after="0" w:line="240" w:lineRule="auto"/>
              <w:jc w:val="both"/>
              <w:rPr>
                <w:rFonts w:cs="Calibri"/>
                <w:bCs/>
                <w:sz w:val="24"/>
                <w:szCs w:val="24"/>
              </w:rPr>
            </w:pPr>
          </w:p>
          <w:p w14:paraId="09F5A82E" w14:textId="77777777" w:rsidR="006E28EB" w:rsidRDefault="006E28EB" w:rsidP="00F30C62">
            <w:pPr>
              <w:spacing w:after="0" w:line="240" w:lineRule="auto"/>
              <w:jc w:val="both"/>
              <w:rPr>
                <w:rFonts w:cs="Calibri"/>
                <w:bCs/>
                <w:sz w:val="24"/>
                <w:szCs w:val="24"/>
              </w:rPr>
            </w:pPr>
          </w:p>
          <w:p w14:paraId="5F8BB00A" w14:textId="77777777" w:rsidR="006E28EB" w:rsidRDefault="006E28EB" w:rsidP="00F30C62">
            <w:pPr>
              <w:spacing w:after="0" w:line="240" w:lineRule="auto"/>
              <w:jc w:val="both"/>
              <w:rPr>
                <w:rFonts w:cs="Calibri"/>
                <w:bCs/>
                <w:sz w:val="24"/>
                <w:szCs w:val="24"/>
              </w:rPr>
            </w:pPr>
          </w:p>
          <w:p w14:paraId="0A5B8844" w14:textId="77777777" w:rsidR="006E28EB" w:rsidRDefault="006E28EB" w:rsidP="00F30C62">
            <w:pPr>
              <w:spacing w:after="0" w:line="240" w:lineRule="auto"/>
              <w:jc w:val="both"/>
              <w:rPr>
                <w:rFonts w:cs="Calibri"/>
                <w:bCs/>
                <w:sz w:val="24"/>
                <w:szCs w:val="24"/>
              </w:rPr>
            </w:pPr>
          </w:p>
          <w:p w14:paraId="05A754C7" w14:textId="77777777" w:rsidR="006E28EB" w:rsidRDefault="006E28EB" w:rsidP="00F30C62">
            <w:pPr>
              <w:spacing w:after="0" w:line="240" w:lineRule="auto"/>
              <w:jc w:val="both"/>
              <w:rPr>
                <w:rFonts w:cs="Calibri"/>
                <w:bCs/>
                <w:sz w:val="24"/>
                <w:szCs w:val="24"/>
              </w:rPr>
            </w:pPr>
          </w:p>
          <w:p w14:paraId="1C305E47" w14:textId="5D057E56" w:rsidR="006E28EB" w:rsidRPr="00E04D6B" w:rsidRDefault="006E28EB" w:rsidP="00F30C62">
            <w:pPr>
              <w:spacing w:after="0" w:line="240" w:lineRule="auto"/>
              <w:jc w:val="both"/>
              <w:rPr>
                <w:rFonts w:cs="Calibri"/>
                <w:bCs/>
                <w:sz w:val="24"/>
                <w:szCs w:val="24"/>
              </w:rPr>
            </w:pPr>
            <w:r>
              <w:rPr>
                <w:rFonts w:cs="Calibri"/>
                <w:bCs/>
                <w:sz w:val="24"/>
                <w:szCs w:val="24"/>
              </w:rPr>
              <w:t xml:space="preserve">Early Years Team to share </w:t>
            </w:r>
            <w:r w:rsidR="00C06734">
              <w:rPr>
                <w:rFonts w:cs="Calibri"/>
                <w:bCs/>
                <w:sz w:val="24"/>
                <w:szCs w:val="24"/>
              </w:rPr>
              <w:t>any funding</w:t>
            </w:r>
            <w:r>
              <w:rPr>
                <w:rFonts w:cs="Calibri"/>
                <w:bCs/>
                <w:sz w:val="24"/>
                <w:szCs w:val="24"/>
              </w:rPr>
              <w:t xml:space="preserve"> information available to </w:t>
            </w:r>
            <w:r w:rsidR="00C06734">
              <w:rPr>
                <w:rFonts w:cs="Calibri"/>
                <w:bCs/>
                <w:sz w:val="24"/>
                <w:szCs w:val="24"/>
              </w:rPr>
              <w:t>support</w:t>
            </w:r>
            <w:r w:rsidR="00130108">
              <w:rPr>
                <w:rFonts w:cs="Calibri"/>
                <w:bCs/>
                <w:sz w:val="24"/>
                <w:szCs w:val="24"/>
              </w:rPr>
              <w:t xml:space="preserve"> adult study</w:t>
            </w:r>
            <w:r w:rsidR="00C06734">
              <w:rPr>
                <w:rFonts w:cs="Calibri"/>
                <w:bCs/>
                <w:sz w:val="24"/>
                <w:szCs w:val="24"/>
              </w:rPr>
              <w:t xml:space="preserve"> and share information on paid for models</w:t>
            </w:r>
          </w:p>
        </w:tc>
      </w:tr>
      <w:tr w:rsidR="00F30C62" w:rsidRPr="00E04D6B" w14:paraId="55330F8C" w14:textId="77777777" w:rsidTr="00D510D4">
        <w:trPr>
          <w:trHeight w:val="338"/>
        </w:trPr>
        <w:tc>
          <w:tcPr>
            <w:tcW w:w="833" w:type="dxa"/>
            <w:vMerge w:val="restart"/>
            <w:shd w:val="clear" w:color="auto" w:fill="D9D9D9" w:themeFill="background1" w:themeFillShade="D9"/>
          </w:tcPr>
          <w:p w14:paraId="6AA234E1" w14:textId="69835A1A" w:rsidR="00F30C62" w:rsidRPr="00AE69D0" w:rsidRDefault="00F30C62" w:rsidP="007802BE">
            <w:pPr>
              <w:spacing w:after="0" w:line="240" w:lineRule="auto"/>
              <w:jc w:val="center"/>
              <w:rPr>
                <w:rFonts w:cs="Calibri"/>
                <w:b/>
                <w:sz w:val="24"/>
                <w:szCs w:val="24"/>
              </w:rPr>
            </w:pPr>
            <w:r>
              <w:rPr>
                <w:rFonts w:cs="Calibri"/>
                <w:b/>
                <w:sz w:val="24"/>
                <w:szCs w:val="24"/>
              </w:rPr>
              <w:lastRenderedPageBreak/>
              <w:t>5.</w:t>
            </w:r>
          </w:p>
        </w:tc>
        <w:tc>
          <w:tcPr>
            <w:tcW w:w="7335" w:type="dxa"/>
            <w:shd w:val="clear" w:color="auto" w:fill="D9D9D9" w:themeFill="background1" w:themeFillShade="D9"/>
          </w:tcPr>
          <w:p w14:paraId="6BD387DC" w14:textId="5C086F1D" w:rsidR="00F30C62" w:rsidRPr="005D2229" w:rsidRDefault="00F30C62" w:rsidP="007802BE">
            <w:pPr>
              <w:jc w:val="both"/>
              <w:rPr>
                <w:rFonts w:cs="Calibri"/>
                <w:b/>
                <w:sz w:val="24"/>
                <w:szCs w:val="24"/>
              </w:rPr>
            </w:pPr>
            <w:r>
              <w:rPr>
                <w:rFonts w:cs="Calibri"/>
                <w:b/>
                <w:sz w:val="24"/>
                <w:szCs w:val="24"/>
              </w:rPr>
              <w:t>Workforce Development</w:t>
            </w:r>
          </w:p>
        </w:tc>
        <w:tc>
          <w:tcPr>
            <w:tcW w:w="1897" w:type="dxa"/>
            <w:shd w:val="clear" w:color="auto" w:fill="D9D9D9" w:themeFill="background1" w:themeFillShade="D9"/>
          </w:tcPr>
          <w:p w14:paraId="2D0FE0E2" w14:textId="77777777" w:rsidR="00F30C62" w:rsidRPr="00E04D6B" w:rsidRDefault="00F30C62" w:rsidP="007802BE">
            <w:pPr>
              <w:spacing w:after="0" w:line="240" w:lineRule="auto"/>
              <w:jc w:val="both"/>
              <w:rPr>
                <w:rFonts w:cs="Calibri"/>
                <w:b/>
                <w:sz w:val="24"/>
                <w:szCs w:val="24"/>
                <w:highlight w:val="lightGray"/>
              </w:rPr>
            </w:pPr>
          </w:p>
        </w:tc>
      </w:tr>
      <w:tr w:rsidR="00F30C62" w:rsidRPr="00E04D6B" w14:paraId="28AC56B7" w14:textId="77777777" w:rsidTr="00F30C62">
        <w:trPr>
          <w:trHeight w:val="338"/>
        </w:trPr>
        <w:tc>
          <w:tcPr>
            <w:tcW w:w="833" w:type="dxa"/>
            <w:vMerge/>
            <w:shd w:val="clear" w:color="auto" w:fill="D9D9D9" w:themeFill="background1" w:themeFillShade="D9"/>
          </w:tcPr>
          <w:p w14:paraId="4B5E20EA" w14:textId="77777777" w:rsidR="00F30C62" w:rsidRPr="00AE69D0" w:rsidRDefault="00F30C62" w:rsidP="007802BE">
            <w:pPr>
              <w:spacing w:after="0" w:line="240" w:lineRule="auto"/>
              <w:jc w:val="center"/>
              <w:rPr>
                <w:rFonts w:cs="Calibri"/>
                <w:b/>
                <w:sz w:val="24"/>
                <w:szCs w:val="24"/>
              </w:rPr>
            </w:pPr>
          </w:p>
        </w:tc>
        <w:tc>
          <w:tcPr>
            <w:tcW w:w="7335" w:type="dxa"/>
          </w:tcPr>
          <w:p w14:paraId="560E2860" w14:textId="77777777" w:rsidR="00F30C62" w:rsidRDefault="00F30C62" w:rsidP="00F30C62">
            <w:pPr>
              <w:pStyle w:val="ListParagraph"/>
              <w:numPr>
                <w:ilvl w:val="0"/>
                <w:numId w:val="9"/>
              </w:numPr>
              <w:jc w:val="both"/>
              <w:rPr>
                <w:rFonts w:cs="Calibri"/>
                <w:b/>
                <w:sz w:val="24"/>
                <w:szCs w:val="24"/>
              </w:rPr>
            </w:pPr>
            <w:r>
              <w:rPr>
                <w:rFonts w:cs="Calibri"/>
                <w:b/>
                <w:sz w:val="24"/>
                <w:szCs w:val="24"/>
              </w:rPr>
              <w:t>Early Years Safeguarding Training</w:t>
            </w:r>
          </w:p>
          <w:p w14:paraId="4B27D31C" w14:textId="5E23F5EE" w:rsidR="00130108" w:rsidRDefault="00130108" w:rsidP="00130108">
            <w:pPr>
              <w:pStyle w:val="ListParagraph"/>
              <w:numPr>
                <w:ilvl w:val="0"/>
                <w:numId w:val="11"/>
              </w:numPr>
              <w:jc w:val="both"/>
              <w:rPr>
                <w:rFonts w:cs="Calibri"/>
                <w:bCs/>
                <w:sz w:val="24"/>
                <w:szCs w:val="24"/>
              </w:rPr>
            </w:pPr>
            <w:r w:rsidRPr="00130108">
              <w:rPr>
                <w:rFonts w:cs="Calibri"/>
                <w:bCs/>
                <w:sz w:val="24"/>
                <w:szCs w:val="24"/>
              </w:rPr>
              <w:t xml:space="preserve">School Representatives have a DSL who attends the Education DSL Network and PVI Representatives have a DSL who attend the PVI DSL Network.  KB shared that we are trying to streamline this information across these </w:t>
            </w:r>
            <w:proofErr w:type="gramStart"/>
            <w:r w:rsidRPr="00130108">
              <w:rPr>
                <w:rFonts w:cs="Calibri"/>
                <w:bCs/>
                <w:sz w:val="24"/>
                <w:szCs w:val="24"/>
              </w:rPr>
              <w:t>Networks</w:t>
            </w:r>
            <w:proofErr w:type="gramEnd"/>
            <w:r w:rsidRPr="00130108">
              <w:rPr>
                <w:rFonts w:cs="Calibri"/>
                <w:bCs/>
                <w:sz w:val="24"/>
                <w:szCs w:val="24"/>
              </w:rPr>
              <w:t xml:space="preserve"> so everyone has the same information.</w:t>
            </w:r>
          </w:p>
          <w:p w14:paraId="75218526" w14:textId="249E91D1" w:rsidR="00F30C62" w:rsidRPr="00130108" w:rsidRDefault="00130108" w:rsidP="00130108">
            <w:pPr>
              <w:pStyle w:val="ListParagraph"/>
              <w:numPr>
                <w:ilvl w:val="0"/>
                <w:numId w:val="11"/>
              </w:numPr>
              <w:jc w:val="both"/>
              <w:rPr>
                <w:rFonts w:cs="Calibri"/>
                <w:bCs/>
                <w:sz w:val="24"/>
                <w:szCs w:val="24"/>
              </w:rPr>
            </w:pPr>
            <w:r>
              <w:rPr>
                <w:rFonts w:cs="Calibri"/>
                <w:bCs/>
                <w:sz w:val="24"/>
                <w:szCs w:val="24"/>
              </w:rPr>
              <w:t>There will be a consultation on our training offer to follow</w:t>
            </w:r>
            <w:r w:rsidR="00C06734">
              <w:rPr>
                <w:rFonts w:cs="Calibri"/>
                <w:bCs/>
                <w:sz w:val="24"/>
                <w:szCs w:val="24"/>
              </w:rPr>
              <w:t>,</w:t>
            </w:r>
            <w:r>
              <w:rPr>
                <w:rFonts w:cs="Calibri"/>
                <w:bCs/>
                <w:sz w:val="24"/>
                <w:szCs w:val="24"/>
              </w:rPr>
              <w:t xml:space="preserve"> which will shape the development of our CPD offer.</w:t>
            </w:r>
          </w:p>
        </w:tc>
        <w:tc>
          <w:tcPr>
            <w:tcW w:w="1897" w:type="dxa"/>
          </w:tcPr>
          <w:p w14:paraId="04172313" w14:textId="77777777" w:rsidR="00F30C62" w:rsidRDefault="00F30C62" w:rsidP="00F30C62">
            <w:pPr>
              <w:spacing w:after="0" w:line="240" w:lineRule="auto"/>
              <w:jc w:val="both"/>
              <w:rPr>
                <w:rFonts w:cs="Calibri"/>
                <w:b/>
                <w:sz w:val="24"/>
                <w:szCs w:val="24"/>
                <w:highlight w:val="lightGray"/>
              </w:rPr>
            </w:pPr>
          </w:p>
          <w:p w14:paraId="286D9C2F" w14:textId="77777777" w:rsidR="00C06734" w:rsidRDefault="00C06734" w:rsidP="00F30C62">
            <w:pPr>
              <w:spacing w:after="0" w:line="240" w:lineRule="auto"/>
              <w:jc w:val="both"/>
              <w:rPr>
                <w:rFonts w:cs="Calibri"/>
                <w:b/>
                <w:sz w:val="24"/>
                <w:szCs w:val="24"/>
                <w:highlight w:val="lightGray"/>
              </w:rPr>
            </w:pPr>
          </w:p>
          <w:p w14:paraId="7326F68E" w14:textId="77777777" w:rsidR="00C06734" w:rsidRDefault="00C06734" w:rsidP="00F30C62">
            <w:pPr>
              <w:spacing w:after="0" w:line="240" w:lineRule="auto"/>
              <w:jc w:val="both"/>
              <w:rPr>
                <w:rFonts w:cs="Calibri"/>
                <w:b/>
                <w:sz w:val="24"/>
                <w:szCs w:val="24"/>
                <w:highlight w:val="lightGray"/>
              </w:rPr>
            </w:pPr>
          </w:p>
          <w:p w14:paraId="45947A2A" w14:textId="77777777" w:rsidR="00C06734" w:rsidRDefault="00C06734" w:rsidP="00F30C62">
            <w:pPr>
              <w:spacing w:after="0" w:line="240" w:lineRule="auto"/>
              <w:jc w:val="both"/>
              <w:rPr>
                <w:rFonts w:cs="Calibri"/>
                <w:b/>
                <w:sz w:val="24"/>
                <w:szCs w:val="24"/>
                <w:highlight w:val="lightGray"/>
              </w:rPr>
            </w:pPr>
          </w:p>
          <w:p w14:paraId="0492BA27" w14:textId="77777777" w:rsidR="00C06734" w:rsidRPr="00C06734" w:rsidRDefault="00C06734" w:rsidP="00F30C62">
            <w:pPr>
              <w:spacing w:after="0" w:line="240" w:lineRule="auto"/>
              <w:jc w:val="both"/>
              <w:rPr>
                <w:rFonts w:cs="Calibri"/>
                <w:b/>
                <w:sz w:val="24"/>
                <w:szCs w:val="24"/>
              </w:rPr>
            </w:pPr>
          </w:p>
          <w:p w14:paraId="21FE0256" w14:textId="64AC760C" w:rsidR="00C06734" w:rsidRPr="00C06734" w:rsidRDefault="00C06734" w:rsidP="00F30C62">
            <w:pPr>
              <w:spacing w:after="0" w:line="240" w:lineRule="auto"/>
              <w:jc w:val="both"/>
              <w:rPr>
                <w:rFonts w:cs="Calibri"/>
                <w:bCs/>
                <w:sz w:val="24"/>
                <w:szCs w:val="24"/>
                <w:highlight w:val="lightGray"/>
              </w:rPr>
            </w:pPr>
            <w:r w:rsidRPr="00C06734">
              <w:rPr>
                <w:rFonts w:cs="Calibri"/>
                <w:bCs/>
                <w:sz w:val="24"/>
                <w:szCs w:val="24"/>
              </w:rPr>
              <w:t>KB to share information as available</w:t>
            </w:r>
          </w:p>
        </w:tc>
      </w:tr>
      <w:tr w:rsidR="00F30C62" w:rsidRPr="00E04D6B" w14:paraId="38C0D850" w14:textId="77777777" w:rsidTr="00D510D4">
        <w:trPr>
          <w:trHeight w:val="338"/>
        </w:trPr>
        <w:tc>
          <w:tcPr>
            <w:tcW w:w="833" w:type="dxa"/>
            <w:vMerge w:val="restart"/>
            <w:shd w:val="clear" w:color="auto" w:fill="D9D9D9" w:themeFill="background1" w:themeFillShade="D9"/>
          </w:tcPr>
          <w:p w14:paraId="4B537CA7" w14:textId="5BC59036" w:rsidR="00F30C62" w:rsidRPr="00AE69D0" w:rsidRDefault="00F30C62" w:rsidP="007802BE">
            <w:pPr>
              <w:spacing w:after="0" w:line="240" w:lineRule="auto"/>
              <w:jc w:val="center"/>
              <w:rPr>
                <w:rFonts w:cs="Calibri"/>
                <w:b/>
                <w:sz w:val="24"/>
                <w:szCs w:val="24"/>
              </w:rPr>
            </w:pPr>
            <w:r>
              <w:rPr>
                <w:rFonts w:cs="Calibri"/>
                <w:b/>
                <w:sz w:val="24"/>
                <w:szCs w:val="24"/>
              </w:rPr>
              <w:t>6.</w:t>
            </w:r>
          </w:p>
        </w:tc>
        <w:tc>
          <w:tcPr>
            <w:tcW w:w="7335" w:type="dxa"/>
            <w:shd w:val="clear" w:color="auto" w:fill="D9D9D9" w:themeFill="background1" w:themeFillShade="D9"/>
          </w:tcPr>
          <w:p w14:paraId="5CE1FC04" w14:textId="4A726935" w:rsidR="00F30C62" w:rsidRPr="005D2229" w:rsidRDefault="00F30C62" w:rsidP="007802BE">
            <w:pPr>
              <w:jc w:val="both"/>
              <w:rPr>
                <w:rFonts w:cs="Calibri"/>
                <w:b/>
                <w:sz w:val="24"/>
                <w:szCs w:val="24"/>
              </w:rPr>
            </w:pPr>
            <w:r>
              <w:rPr>
                <w:rFonts w:cs="Calibri"/>
                <w:b/>
                <w:sz w:val="24"/>
                <w:szCs w:val="24"/>
              </w:rPr>
              <w:t>SENIF Update</w:t>
            </w:r>
          </w:p>
        </w:tc>
        <w:tc>
          <w:tcPr>
            <w:tcW w:w="1897" w:type="dxa"/>
            <w:shd w:val="clear" w:color="auto" w:fill="D9D9D9" w:themeFill="background1" w:themeFillShade="D9"/>
          </w:tcPr>
          <w:p w14:paraId="648E0E20" w14:textId="77777777" w:rsidR="00F30C62" w:rsidRPr="00E04D6B" w:rsidRDefault="00F30C62" w:rsidP="007802BE">
            <w:pPr>
              <w:spacing w:after="0" w:line="240" w:lineRule="auto"/>
              <w:jc w:val="both"/>
              <w:rPr>
                <w:rFonts w:cs="Calibri"/>
                <w:b/>
                <w:sz w:val="24"/>
                <w:szCs w:val="24"/>
                <w:highlight w:val="lightGray"/>
              </w:rPr>
            </w:pPr>
          </w:p>
        </w:tc>
      </w:tr>
      <w:tr w:rsidR="00F30C62" w:rsidRPr="00E04D6B" w14:paraId="77DA98EE" w14:textId="77777777" w:rsidTr="00F30C62">
        <w:trPr>
          <w:trHeight w:val="338"/>
        </w:trPr>
        <w:tc>
          <w:tcPr>
            <w:tcW w:w="833" w:type="dxa"/>
            <w:vMerge/>
            <w:shd w:val="clear" w:color="auto" w:fill="D9D9D9" w:themeFill="background1" w:themeFillShade="D9"/>
          </w:tcPr>
          <w:p w14:paraId="38E58556" w14:textId="77777777" w:rsidR="00F30C62" w:rsidRPr="00AE69D0" w:rsidRDefault="00F30C62" w:rsidP="007802BE">
            <w:pPr>
              <w:spacing w:after="0" w:line="240" w:lineRule="auto"/>
              <w:jc w:val="center"/>
              <w:rPr>
                <w:rFonts w:cs="Calibri"/>
                <w:b/>
                <w:sz w:val="24"/>
                <w:szCs w:val="24"/>
              </w:rPr>
            </w:pPr>
          </w:p>
        </w:tc>
        <w:tc>
          <w:tcPr>
            <w:tcW w:w="7335" w:type="dxa"/>
          </w:tcPr>
          <w:p w14:paraId="2B92C1C1" w14:textId="77777777" w:rsidR="00C06734" w:rsidRDefault="00130108" w:rsidP="00F30C62">
            <w:pPr>
              <w:pStyle w:val="ListParagraph"/>
              <w:numPr>
                <w:ilvl w:val="0"/>
                <w:numId w:val="9"/>
              </w:numPr>
              <w:jc w:val="both"/>
              <w:rPr>
                <w:rFonts w:cs="Calibri"/>
                <w:bCs/>
                <w:sz w:val="24"/>
                <w:szCs w:val="24"/>
              </w:rPr>
            </w:pPr>
            <w:r w:rsidRPr="00130108">
              <w:rPr>
                <w:rFonts w:cs="Calibri"/>
                <w:bCs/>
                <w:sz w:val="24"/>
                <w:szCs w:val="24"/>
              </w:rPr>
              <w:t>CS recapped on the SENIF Update shared at the last meeting.  The first Panel Meeting under the soft launch was at the beginning of February, with 32 applications.  28 approved funding</w:t>
            </w:r>
            <w:r w:rsidR="00C06734">
              <w:rPr>
                <w:rFonts w:cs="Calibri"/>
                <w:bCs/>
                <w:sz w:val="24"/>
                <w:szCs w:val="24"/>
              </w:rPr>
              <w:t>, remainder</w:t>
            </w:r>
            <w:r w:rsidRPr="00130108">
              <w:rPr>
                <w:rFonts w:cs="Calibri"/>
                <w:bCs/>
                <w:sz w:val="24"/>
                <w:szCs w:val="24"/>
              </w:rPr>
              <w:t xml:space="preserve"> being supported to resubmit.</w:t>
            </w:r>
            <w:r>
              <w:rPr>
                <w:rFonts w:cs="Calibri"/>
                <w:bCs/>
                <w:sz w:val="24"/>
                <w:szCs w:val="24"/>
              </w:rPr>
              <w:t xml:space="preserve">  This suggests that funding is reaching the children </w:t>
            </w:r>
            <w:r w:rsidR="00C06734">
              <w:rPr>
                <w:rFonts w:cs="Calibri"/>
                <w:bCs/>
                <w:sz w:val="24"/>
                <w:szCs w:val="24"/>
              </w:rPr>
              <w:t xml:space="preserve">with low level and emerging needs that </w:t>
            </w:r>
            <w:r>
              <w:rPr>
                <w:rFonts w:cs="Calibri"/>
                <w:bCs/>
                <w:sz w:val="24"/>
                <w:szCs w:val="24"/>
              </w:rPr>
              <w:t>the SENIF is intended for</w:t>
            </w:r>
            <w:r w:rsidR="00C06734">
              <w:rPr>
                <w:rFonts w:cs="Calibri"/>
                <w:bCs/>
                <w:sz w:val="24"/>
                <w:szCs w:val="24"/>
              </w:rPr>
              <w:t xml:space="preserve">.  </w:t>
            </w:r>
          </w:p>
          <w:p w14:paraId="5838FBDF" w14:textId="5884E54E" w:rsidR="00130108" w:rsidRPr="00130108" w:rsidRDefault="00C06734" w:rsidP="00C06734">
            <w:pPr>
              <w:pStyle w:val="ListParagraph"/>
              <w:numPr>
                <w:ilvl w:val="0"/>
                <w:numId w:val="9"/>
              </w:numPr>
              <w:jc w:val="both"/>
              <w:rPr>
                <w:rFonts w:cs="Calibri"/>
                <w:bCs/>
                <w:sz w:val="24"/>
                <w:szCs w:val="24"/>
              </w:rPr>
            </w:pPr>
            <w:r>
              <w:rPr>
                <w:rFonts w:cs="Calibri"/>
                <w:bCs/>
                <w:sz w:val="24"/>
                <w:szCs w:val="24"/>
              </w:rPr>
              <w:t>Initial feedback has been positive and t</w:t>
            </w:r>
            <w:r w:rsidR="00130108">
              <w:rPr>
                <w:rFonts w:cs="Calibri"/>
                <w:bCs/>
                <w:sz w:val="24"/>
                <w:szCs w:val="24"/>
              </w:rPr>
              <w:t>he flexibility in</w:t>
            </w:r>
            <w:r>
              <w:rPr>
                <w:rFonts w:cs="Calibri"/>
                <w:bCs/>
                <w:sz w:val="24"/>
                <w:szCs w:val="24"/>
              </w:rPr>
              <w:t xml:space="preserve"> the</w:t>
            </w:r>
            <w:r w:rsidR="00130108">
              <w:rPr>
                <w:rFonts w:cs="Calibri"/>
                <w:bCs/>
                <w:sz w:val="24"/>
                <w:szCs w:val="24"/>
              </w:rPr>
              <w:t xml:space="preserve"> funding approach has been welcomed</w:t>
            </w:r>
            <w:r>
              <w:rPr>
                <w:rFonts w:cs="Calibri"/>
                <w:bCs/>
                <w:sz w:val="24"/>
                <w:szCs w:val="24"/>
              </w:rPr>
              <w:t xml:space="preserve">.  </w:t>
            </w:r>
            <w:r w:rsidR="00130108">
              <w:rPr>
                <w:rFonts w:cs="Calibri"/>
                <w:bCs/>
                <w:sz w:val="24"/>
                <w:szCs w:val="24"/>
              </w:rPr>
              <w:t>There are a few tweaks to be made ahead of the formal launch next term.</w:t>
            </w:r>
          </w:p>
        </w:tc>
        <w:tc>
          <w:tcPr>
            <w:tcW w:w="1897" w:type="dxa"/>
          </w:tcPr>
          <w:p w14:paraId="1D238CBB" w14:textId="77777777" w:rsidR="00F30C62" w:rsidRPr="00E04D6B" w:rsidRDefault="00F30C62" w:rsidP="007802BE">
            <w:pPr>
              <w:spacing w:after="0" w:line="240" w:lineRule="auto"/>
              <w:jc w:val="both"/>
              <w:rPr>
                <w:rFonts w:cs="Calibri"/>
                <w:b/>
                <w:sz w:val="24"/>
                <w:szCs w:val="24"/>
                <w:highlight w:val="lightGray"/>
              </w:rPr>
            </w:pPr>
          </w:p>
        </w:tc>
      </w:tr>
      <w:tr w:rsidR="00F30C62" w:rsidRPr="00E04D6B" w14:paraId="57E0A800" w14:textId="77777777" w:rsidTr="00D510D4">
        <w:trPr>
          <w:trHeight w:val="338"/>
        </w:trPr>
        <w:tc>
          <w:tcPr>
            <w:tcW w:w="833" w:type="dxa"/>
            <w:vMerge w:val="restart"/>
            <w:shd w:val="clear" w:color="auto" w:fill="D9D9D9" w:themeFill="background1" w:themeFillShade="D9"/>
          </w:tcPr>
          <w:p w14:paraId="65EE981F" w14:textId="707EFEC8" w:rsidR="00F30C62" w:rsidRPr="00AE69D0" w:rsidRDefault="00F30C62" w:rsidP="007802BE">
            <w:pPr>
              <w:spacing w:after="0" w:line="240" w:lineRule="auto"/>
              <w:jc w:val="center"/>
              <w:rPr>
                <w:rFonts w:cs="Calibri"/>
                <w:b/>
                <w:sz w:val="24"/>
                <w:szCs w:val="24"/>
              </w:rPr>
            </w:pPr>
            <w:r>
              <w:rPr>
                <w:rFonts w:cs="Calibri"/>
                <w:b/>
                <w:sz w:val="24"/>
                <w:szCs w:val="24"/>
              </w:rPr>
              <w:t xml:space="preserve">7. </w:t>
            </w:r>
          </w:p>
        </w:tc>
        <w:tc>
          <w:tcPr>
            <w:tcW w:w="7335" w:type="dxa"/>
            <w:shd w:val="clear" w:color="auto" w:fill="D9D9D9" w:themeFill="background1" w:themeFillShade="D9"/>
          </w:tcPr>
          <w:p w14:paraId="0D4ED59A" w14:textId="71D2E569" w:rsidR="00F30C62" w:rsidRPr="005D2229" w:rsidRDefault="00F30C62" w:rsidP="007802BE">
            <w:pPr>
              <w:jc w:val="both"/>
              <w:rPr>
                <w:rFonts w:cs="Calibri"/>
                <w:b/>
                <w:sz w:val="24"/>
                <w:szCs w:val="24"/>
              </w:rPr>
            </w:pPr>
            <w:r>
              <w:rPr>
                <w:rFonts w:cs="Calibri"/>
                <w:b/>
                <w:sz w:val="24"/>
                <w:szCs w:val="24"/>
              </w:rPr>
              <w:t>Section 23 Data / Increase in referrals for EY’s children</w:t>
            </w:r>
          </w:p>
        </w:tc>
        <w:tc>
          <w:tcPr>
            <w:tcW w:w="1897" w:type="dxa"/>
            <w:shd w:val="clear" w:color="auto" w:fill="D9D9D9" w:themeFill="background1" w:themeFillShade="D9"/>
          </w:tcPr>
          <w:p w14:paraId="246528F3" w14:textId="77777777" w:rsidR="00F30C62" w:rsidRPr="00E04D6B" w:rsidRDefault="00F30C62" w:rsidP="007802BE">
            <w:pPr>
              <w:spacing w:after="0" w:line="240" w:lineRule="auto"/>
              <w:jc w:val="both"/>
              <w:rPr>
                <w:rFonts w:cs="Calibri"/>
                <w:b/>
                <w:sz w:val="24"/>
                <w:szCs w:val="24"/>
                <w:highlight w:val="lightGray"/>
              </w:rPr>
            </w:pPr>
          </w:p>
        </w:tc>
      </w:tr>
      <w:tr w:rsidR="00F30C62" w:rsidRPr="00E04D6B" w14:paraId="6AE583E5" w14:textId="77777777" w:rsidTr="00F30C62">
        <w:trPr>
          <w:trHeight w:val="338"/>
        </w:trPr>
        <w:tc>
          <w:tcPr>
            <w:tcW w:w="833" w:type="dxa"/>
            <w:vMerge/>
            <w:shd w:val="clear" w:color="auto" w:fill="D9D9D9" w:themeFill="background1" w:themeFillShade="D9"/>
          </w:tcPr>
          <w:p w14:paraId="20EBBFF6" w14:textId="77777777" w:rsidR="00F30C62" w:rsidRPr="00AE69D0" w:rsidRDefault="00F30C62" w:rsidP="007802BE">
            <w:pPr>
              <w:spacing w:after="0" w:line="240" w:lineRule="auto"/>
              <w:jc w:val="center"/>
              <w:rPr>
                <w:rFonts w:cs="Calibri"/>
                <w:b/>
                <w:sz w:val="24"/>
                <w:szCs w:val="24"/>
              </w:rPr>
            </w:pPr>
          </w:p>
        </w:tc>
        <w:tc>
          <w:tcPr>
            <w:tcW w:w="7335" w:type="dxa"/>
          </w:tcPr>
          <w:p w14:paraId="00C3FF33" w14:textId="6100036F" w:rsidR="00F30C62" w:rsidRPr="0026512B" w:rsidRDefault="009B625B" w:rsidP="00F30C62">
            <w:pPr>
              <w:pStyle w:val="ListParagraph"/>
              <w:numPr>
                <w:ilvl w:val="0"/>
                <w:numId w:val="9"/>
              </w:numPr>
              <w:jc w:val="both"/>
              <w:rPr>
                <w:rFonts w:cs="Calibri"/>
                <w:bCs/>
                <w:sz w:val="24"/>
                <w:szCs w:val="24"/>
              </w:rPr>
            </w:pPr>
            <w:proofErr w:type="spellStart"/>
            <w:r w:rsidRPr="0026512B">
              <w:rPr>
                <w:rFonts w:cs="Calibri"/>
                <w:bCs/>
                <w:sz w:val="24"/>
                <w:szCs w:val="24"/>
              </w:rPr>
              <w:t>JoH</w:t>
            </w:r>
            <w:proofErr w:type="spellEnd"/>
            <w:r w:rsidRPr="0026512B">
              <w:rPr>
                <w:rFonts w:cs="Calibri"/>
                <w:bCs/>
                <w:sz w:val="24"/>
                <w:szCs w:val="24"/>
              </w:rPr>
              <w:t xml:space="preserve"> gave an overview of Section 23 work</w:t>
            </w:r>
            <w:r w:rsidR="0026512B">
              <w:rPr>
                <w:rFonts w:cs="Calibri"/>
                <w:bCs/>
                <w:sz w:val="24"/>
                <w:szCs w:val="24"/>
              </w:rPr>
              <w:t>.</w:t>
            </w:r>
          </w:p>
          <w:p w14:paraId="413BD7F6" w14:textId="447591A9" w:rsidR="009B625B" w:rsidRPr="0026512B" w:rsidRDefault="009B625B" w:rsidP="00F30C62">
            <w:pPr>
              <w:pStyle w:val="ListParagraph"/>
              <w:numPr>
                <w:ilvl w:val="0"/>
                <w:numId w:val="9"/>
              </w:numPr>
              <w:jc w:val="both"/>
              <w:rPr>
                <w:rFonts w:cs="Calibri"/>
                <w:b/>
                <w:sz w:val="24"/>
                <w:szCs w:val="24"/>
              </w:rPr>
            </w:pPr>
            <w:r w:rsidRPr="0026512B">
              <w:rPr>
                <w:rFonts w:cs="Calibri"/>
                <w:bCs/>
                <w:sz w:val="24"/>
                <w:szCs w:val="24"/>
              </w:rPr>
              <w:t>Back in 2023/24</w:t>
            </w:r>
            <w:r w:rsidR="00C06734">
              <w:rPr>
                <w:rFonts w:cs="Calibri"/>
                <w:bCs/>
                <w:sz w:val="24"/>
                <w:szCs w:val="24"/>
              </w:rPr>
              <w:t>,</w:t>
            </w:r>
            <w:r w:rsidRPr="0026512B">
              <w:rPr>
                <w:rFonts w:cs="Calibri"/>
                <w:bCs/>
                <w:sz w:val="24"/>
                <w:szCs w:val="24"/>
              </w:rPr>
              <w:t xml:space="preserve"> a Schools Forum Meeting highlighted the number of children starting school with unidentified need</w:t>
            </w:r>
            <w:r w:rsidR="00C06734">
              <w:rPr>
                <w:rFonts w:cs="Calibri"/>
                <w:bCs/>
                <w:sz w:val="24"/>
                <w:szCs w:val="24"/>
              </w:rPr>
              <w:t>s</w:t>
            </w:r>
            <w:r w:rsidRPr="0026512B">
              <w:rPr>
                <w:rFonts w:cs="Calibri"/>
                <w:bCs/>
                <w:sz w:val="24"/>
                <w:szCs w:val="24"/>
              </w:rPr>
              <w:t xml:space="preserve"> and the challenges around rap</w:t>
            </w:r>
            <w:r w:rsidR="0026512B" w:rsidRPr="0026512B">
              <w:rPr>
                <w:rFonts w:cs="Calibri"/>
                <w:bCs/>
                <w:sz w:val="24"/>
                <w:szCs w:val="24"/>
              </w:rPr>
              <w:t>i</w:t>
            </w:r>
            <w:r w:rsidRPr="0026512B">
              <w:rPr>
                <w:rFonts w:cs="Calibri"/>
                <w:bCs/>
                <w:sz w:val="24"/>
                <w:szCs w:val="24"/>
              </w:rPr>
              <w:t xml:space="preserve">d planning for their provision.  This was backed up by HLN data at the time and heavily highlighted the </w:t>
            </w:r>
            <w:r w:rsidR="0026512B" w:rsidRPr="0026512B">
              <w:rPr>
                <w:rFonts w:cs="Calibri"/>
                <w:bCs/>
                <w:sz w:val="24"/>
                <w:szCs w:val="24"/>
              </w:rPr>
              <w:t xml:space="preserve">children </w:t>
            </w:r>
            <w:r w:rsidR="00C06734">
              <w:rPr>
                <w:rFonts w:cs="Calibri"/>
                <w:bCs/>
                <w:sz w:val="24"/>
                <w:szCs w:val="24"/>
              </w:rPr>
              <w:t xml:space="preserve">starting school, </w:t>
            </w:r>
            <w:r w:rsidR="0026512B" w:rsidRPr="0026512B">
              <w:rPr>
                <w:rFonts w:cs="Calibri"/>
                <w:bCs/>
                <w:sz w:val="24"/>
                <w:szCs w:val="24"/>
              </w:rPr>
              <w:t>not known to the EY SEND Pathway Teams.</w:t>
            </w:r>
          </w:p>
          <w:p w14:paraId="6B73F784" w14:textId="252D4616" w:rsidR="00C06734" w:rsidRPr="00C47BC5" w:rsidRDefault="0026512B" w:rsidP="00C47BC5">
            <w:pPr>
              <w:pStyle w:val="ListParagraph"/>
              <w:numPr>
                <w:ilvl w:val="0"/>
                <w:numId w:val="9"/>
              </w:numPr>
              <w:jc w:val="both"/>
              <w:rPr>
                <w:rFonts w:cs="Calibri"/>
                <w:b/>
                <w:sz w:val="24"/>
                <w:szCs w:val="24"/>
              </w:rPr>
            </w:pPr>
            <w:r>
              <w:rPr>
                <w:rFonts w:cs="Calibri"/>
                <w:bCs/>
                <w:sz w:val="24"/>
                <w:szCs w:val="24"/>
              </w:rPr>
              <w:t xml:space="preserve">The EY SEND Team were tasked with responding to this – it became apparent that the Section 23 notification, a statutory responsibility for health teams to notify the LA of children with emerging needs at the earliest opportunity, wasn’t being used effectively.  </w:t>
            </w:r>
          </w:p>
          <w:p w14:paraId="7476F3F5" w14:textId="3D34D755" w:rsidR="0026512B" w:rsidRPr="0026512B" w:rsidRDefault="0026512B" w:rsidP="00F30C62">
            <w:pPr>
              <w:pStyle w:val="ListParagraph"/>
              <w:numPr>
                <w:ilvl w:val="0"/>
                <w:numId w:val="9"/>
              </w:numPr>
              <w:jc w:val="both"/>
              <w:rPr>
                <w:rFonts w:cs="Calibri"/>
                <w:b/>
                <w:sz w:val="24"/>
                <w:szCs w:val="24"/>
              </w:rPr>
            </w:pPr>
            <w:r>
              <w:rPr>
                <w:rFonts w:cs="Calibri"/>
                <w:bCs/>
                <w:sz w:val="24"/>
                <w:szCs w:val="24"/>
              </w:rPr>
              <w:lastRenderedPageBreak/>
              <w:t>This pathway of information was simplified and developed collaboratively</w:t>
            </w:r>
            <w:r w:rsidR="00C06734">
              <w:rPr>
                <w:rFonts w:cs="Calibri"/>
                <w:bCs/>
                <w:sz w:val="24"/>
                <w:szCs w:val="24"/>
              </w:rPr>
              <w:t>,</w:t>
            </w:r>
            <w:r>
              <w:rPr>
                <w:rFonts w:cs="Calibri"/>
                <w:bCs/>
                <w:sz w:val="24"/>
                <w:szCs w:val="24"/>
              </w:rPr>
              <w:t xml:space="preserve"> resul</w:t>
            </w:r>
            <w:r w:rsidR="00C06734">
              <w:rPr>
                <w:rFonts w:cs="Calibri"/>
                <w:bCs/>
                <w:sz w:val="24"/>
                <w:szCs w:val="24"/>
              </w:rPr>
              <w:t xml:space="preserve">ting in </w:t>
            </w:r>
            <w:r>
              <w:rPr>
                <w:rFonts w:cs="Calibri"/>
                <w:bCs/>
                <w:sz w:val="24"/>
                <w:szCs w:val="24"/>
              </w:rPr>
              <w:t>a sharp increase of 90% between 2021/22 and 2024/25 in the number of EY SEND Referrals.  This has increase by a further 70% between Sept 25 and Fe</w:t>
            </w:r>
            <w:r w:rsidR="00C06734">
              <w:rPr>
                <w:rFonts w:cs="Calibri"/>
                <w:bCs/>
                <w:sz w:val="24"/>
                <w:szCs w:val="24"/>
              </w:rPr>
              <w:t>b</w:t>
            </w:r>
            <w:r>
              <w:rPr>
                <w:rFonts w:cs="Calibri"/>
                <w:bCs/>
                <w:sz w:val="24"/>
                <w:szCs w:val="24"/>
              </w:rPr>
              <w:t xml:space="preserve"> 26.</w:t>
            </w:r>
          </w:p>
          <w:p w14:paraId="779BD5DE" w14:textId="77777777" w:rsidR="0026512B" w:rsidRDefault="0026512B" w:rsidP="00F30C62">
            <w:pPr>
              <w:pStyle w:val="ListParagraph"/>
              <w:numPr>
                <w:ilvl w:val="0"/>
                <w:numId w:val="9"/>
              </w:numPr>
              <w:jc w:val="both"/>
              <w:rPr>
                <w:rFonts w:cs="Calibri"/>
                <w:bCs/>
                <w:sz w:val="24"/>
                <w:szCs w:val="24"/>
              </w:rPr>
            </w:pPr>
            <w:r w:rsidRPr="0026512B">
              <w:rPr>
                <w:rFonts w:cs="Calibri"/>
                <w:bCs/>
                <w:sz w:val="24"/>
                <w:szCs w:val="24"/>
              </w:rPr>
              <w:t xml:space="preserve">The SEND Local Offer – Early Health Notification website shares all the details of the Section 23 pathway, what its used for and the EY SEND Pathway Referral Form.  Further information on this can be </w:t>
            </w:r>
            <w:hyperlink r:id="rId7" w:history="1">
              <w:r w:rsidRPr="0026512B">
                <w:rPr>
                  <w:rStyle w:val="Hyperlink"/>
                  <w:rFonts w:cs="Calibri"/>
                  <w:bCs/>
                  <w:sz w:val="24"/>
                  <w:szCs w:val="24"/>
                </w:rPr>
                <w:t>found here</w:t>
              </w:r>
            </w:hyperlink>
          </w:p>
          <w:p w14:paraId="0F300142" w14:textId="295DF434" w:rsidR="0026512B" w:rsidRPr="0026512B" w:rsidRDefault="0026512B" w:rsidP="00F30C62">
            <w:pPr>
              <w:pStyle w:val="ListParagraph"/>
              <w:numPr>
                <w:ilvl w:val="0"/>
                <w:numId w:val="9"/>
              </w:numPr>
              <w:jc w:val="both"/>
              <w:rPr>
                <w:rFonts w:cs="Calibri"/>
                <w:bCs/>
                <w:sz w:val="24"/>
                <w:szCs w:val="24"/>
              </w:rPr>
            </w:pPr>
            <w:proofErr w:type="spellStart"/>
            <w:r>
              <w:rPr>
                <w:rFonts w:cs="Calibri"/>
                <w:bCs/>
                <w:sz w:val="24"/>
                <w:szCs w:val="24"/>
              </w:rPr>
              <w:t>JoH</w:t>
            </w:r>
            <w:proofErr w:type="spellEnd"/>
            <w:r>
              <w:rPr>
                <w:rFonts w:cs="Calibri"/>
                <w:bCs/>
                <w:sz w:val="24"/>
                <w:szCs w:val="24"/>
              </w:rPr>
              <w:t xml:space="preserve"> also shared headline </w:t>
            </w:r>
            <w:proofErr w:type="gramStart"/>
            <w:r>
              <w:rPr>
                <w:rFonts w:cs="Calibri"/>
                <w:bCs/>
                <w:sz w:val="24"/>
                <w:szCs w:val="24"/>
              </w:rPr>
              <w:t>data</w:t>
            </w:r>
            <w:proofErr w:type="gramEnd"/>
            <w:r w:rsidR="00C06734">
              <w:rPr>
                <w:rFonts w:cs="Calibri"/>
                <w:bCs/>
                <w:sz w:val="24"/>
                <w:szCs w:val="24"/>
              </w:rPr>
              <w:t xml:space="preserve"> and a copy of the slides is attached with these minutes.</w:t>
            </w:r>
          </w:p>
        </w:tc>
        <w:tc>
          <w:tcPr>
            <w:tcW w:w="1897" w:type="dxa"/>
          </w:tcPr>
          <w:p w14:paraId="38F4930E" w14:textId="77777777" w:rsidR="00F30C62" w:rsidRDefault="00F30C62" w:rsidP="007802BE">
            <w:pPr>
              <w:spacing w:after="0" w:line="240" w:lineRule="auto"/>
              <w:jc w:val="both"/>
              <w:rPr>
                <w:rFonts w:cs="Calibri"/>
                <w:b/>
                <w:sz w:val="24"/>
                <w:szCs w:val="24"/>
                <w:highlight w:val="lightGray"/>
              </w:rPr>
            </w:pPr>
          </w:p>
          <w:p w14:paraId="1E4F1CCE" w14:textId="77777777" w:rsidR="0026512B" w:rsidRDefault="0026512B" w:rsidP="007802BE">
            <w:pPr>
              <w:spacing w:after="0" w:line="240" w:lineRule="auto"/>
              <w:jc w:val="both"/>
              <w:rPr>
                <w:rFonts w:cs="Calibri"/>
                <w:b/>
                <w:sz w:val="24"/>
                <w:szCs w:val="24"/>
                <w:highlight w:val="lightGray"/>
              </w:rPr>
            </w:pPr>
          </w:p>
          <w:p w14:paraId="0B9AFB22" w14:textId="77777777" w:rsidR="0026512B" w:rsidRDefault="0026512B" w:rsidP="007802BE">
            <w:pPr>
              <w:spacing w:after="0" w:line="240" w:lineRule="auto"/>
              <w:jc w:val="both"/>
              <w:rPr>
                <w:rFonts w:cs="Calibri"/>
                <w:b/>
                <w:sz w:val="24"/>
                <w:szCs w:val="24"/>
                <w:highlight w:val="lightGray"/>
              </w:rPr>
            </w:pPr>
          </w:p>
          <w:p w14:paraId="60257B4F" w14:textId="77777777" w:rsidR="0026512B" w:rsidRDefault="0026512B" w:rsidP="007802BE">
            <w:pPr>
              <w:spacing w:after="0" w:line="240" w:lineRule="auto"/>
              <w:jc w:val="both"/>
              <w:rPr>
                <w:rFonts w:cs="Calibri"/>
                <w:b/>
                <w:sz w:val="24"/>
                <w:szCs w:val="24"/>
                <w:highlight w:val="lightGray"/>
              </w:rPr>
            </w:pPr>
          </w:p>
          <w:p w14:paraId="0E16A48C" w14:textId="77777777" w:rsidR="0026512B" w:rsidRDefault="0026512B" w:rsidP="007802BE">
            <w:pPr>
              <w:spacing w:after="0" w:line="240" w:lineRule="auto"/>
              <w:jc w:val="both"/>
              <w:rPr>
                <w:rFonts w:cs="Calibri"/>
                <w:b/>
                <w:sz w:val="24"/>
                <w:szCs w:val="24"/>
                <w:highlight w:val="lightGray"/>
              </w:rPr>
            </w:pPr>
          </w:p>
          <w:p w14:paraId="182A38BF" w14:textId="77777777" w:rsidR="0026512B" w:rsidRDefault="0026512B" w:rsidP="007802BE">
            <w:pPr>
              <w:spacing w:after="0" w:line="240" w:lineRule="auto"/>
              <w:jc w:val="both"/>
              <w:rPr>
                <w:rFonts w:cs="Calibri"/>
                <w:b/>
                <w:sz w:val="24"/>
                <w:szCs w:val="24"/>
                <w:highlight w:val="lightGray"/>
              </w:rPr>
            </w:pPr>
          </w:p>
          <w:p w14:paraId="08BAE7E0" w14:textId="77777777" w:rsidR="0026512B" w:rsidRDefault="0026512B" w:rsidP="007802BE">
            <w:pPr>
              <w:spacing w:after="0" w:line="240" w:lineRule="auto"/>
              <w:jc w:val="both"/>
              <w:rPr>
                <w:rFonts w:cs="Calibri"/>
                <w:b/>
                <w:sz w:val="24"/>
                <w:szCs w:val="24"/>
                <w:highlight w:val="lightGray"/>
              </w:rPr>
            </w:pPr>
          </w:p>
          <w:p w14:paraId="071FA9BC" w14:textId="77777777" w:rsidR="0026512B" w:rsidRDefault="0026512B" w:rsidP="007802BE">
            <w:pPr>
              <w:spacing w:after="0" w:line="240" w:lineRule="auto"/>
              <w:jc w:val="both"/>
              <w:rPr>
                <w:rFonts w:cs="Calibri"/>
                <w:b/>
                <w:sz w:val="24"/>
                <w:szCs w:val="24"/>
                <w:highlight w:val="lightGray"/>
              </w:rPr>
            </w:pPr>
          </w:p>
          <w:p w14:paraId="1B75D24F" w14:textId="77777777" w:rsidR="0026512B" w:rsidRDefault="0026512B" w:rsidP="007802BE">
            <w:pPr>
              <w:spacing w:after="0" w:line="240" w:lineRule="auto"/>
              <w:jc w:val="both"/>
              <w:rPr>
                <w:rFonts w:cs="Calibri"/>
                <w:b/>
                <w:sz w:val="24"/>
                <w:szCs w:val="24"/>
                <w:highlight w:val="lightGray"/>
              </w:rPr>
            </w:pPr>
          </w:p>
          <w:p w14:paraId="50FA1489" w14:textId="77777777" w:rsidR="0026512B" w:rsidRDefault="0026512B" w:rsidP="007802BE">
            <w:pPr>
              <w:spacing w:after="0" w:line="240" w:lineRule="auto"/>
              <w:jc w:val="both"/>
              <w:rPr>
                <w:rFonts w:cs="Calibri"/>
                <w:b/>
                <w:sz w:val="24"/>
                <w:szCs w:val="24"/>
                <w:highlight w:val="lightGray"/>
              </w:rPr>
            </w:pPr>
          </w:p>
          <w:p w14:paraId="0E2F47AC" w14:textId="77777777" w:rsidR="0026512B" w:rsidRDefault="0026512B" w:rsidP="007802BE">
            <w:pPr>
              <w:spacing w:after="0" w:line="240" w:lineRule="auto"/>
              <w:jc w:val="both"/>
              <w:rPr>
                <w:rFonts w:cs="Calibri"/>
                <w:b/>
                <w:sz w:val="24"/>
                <w:szCs w:val="24"/>
                <w:highlight w:val="lightGray"/>
              </w:rPr>
            </w:pPr>
          </w:p>
          <w:p w14:paraId="31AB630A" w14:textId="77777777" w:rsidR="0026512B" w:rsidRDefault="0026512B" w:rsidP="007802BE">
            <w:pPr>
              <w:spacing w:after="0" w:line="240" w:lineRule="auto"/>
              <w:jc w:val="both"/>
              <w:rPr>
                <w:rFonts w:cs="Calibri"/>
                <w:b/>
                <w:sz w:val="24"/>
                <w:szCs w:val="24"/>
                <w:highlight w:val="lightGray"/>
              </w:rPr>
            </w:pPr>
          </w:p>
          <w:p w14:paraId="7521C467" w14:textId="77777777" w:rsidR="0026512B" w:rsidRDefault="0026512B" w:rsidP="007802BE">
            <w:pPr>
              <w:spacing w:after="0" w:line="240" w:lineRule="auto"/>
              <w:jc w:val="both"/>
              <w:rPr>
                <w:rFonts w:cs="Calibri"/>
                <w:b/>
                <w:sz w:val="24"/>
                <w:szCs w:val="24"/>
                <w:highlight w:val="lightGray"/>
              </w:rPr>
            </w:pPr>
          </w:p>
          <w:p w14:paraId="4C0D74D2" w14:textId="77777777" w:rsidR="0026512B" w:rsidRDefault="0026512B" w:rsidP="007802BE">
            <w:pPr>
              <w:spacing w:after="0" w:line="240" w:lineRule="auto"/>
              <w:jc w:val="both"/>
              <w:rPr>
                <w:rFonts w:cs="Calibri"/>
                <w:b/>
                <w:sz w:val="24"/>
                <w:szCs w:val="24"/>
                <w:highlight w:val="lightGray"/>
              </w:rPr>
            </w:pPr>
          </w:p>
          <w:p w14:paraId="41A5297A" w14:textId="77777777" w:rsidR="0026512B" w:rsidRDefault="0026512B" w:rsidP="007802BE">
            <w:pPr>
              <w:spacing w:after="0" w:line="240" w:lineRule="auto"/>
              <w:jc w:val="both"/>
              <w:rPr>
                <w:rFonts w:cs="Calibri"/>
                <w:b/>
                <w:sz w:val="24"/>
                <w:szCs w:val="24"/>
                <w:highlight w:val="lightGray"/>
              </w:rPr>
            </w:pPr>
          </w:p>
          <w:p w14:paraId="24CDE82A" w14:textId="77777777" w:rsidR="0026512B" w:rsidRDefault="0026512B" w:rsidP="007802BE">
            <w:pPr>
              <w:spacing w:after="0" w:line="240" w:lineRule="auto"/>
              <w:jc w:val="both"/>
              <w:rPr>
                <w:rFonts w:cs="Calibri"/>
                <w:b/>
                <w:sz w:val="24"/>
                <w:szCs w:val="24"/>
                <w:highlight w:val="lightGray"/>
              </w:rPr>
            </w:pPr>
          </w:p>
          <w:p w14:paraId="47684CEE" w14:textId="77777777" w:rsidR="0026512B" w:rsidRDefault="0026512B" w:rsidP="007802BE">
            <w:pPr>
              <w:spacing w:after="0" w:line="240" w:lineRule="auto"/>
              <w:jc w:val="both"/>
              <w:rPr>
                <w:rFonts w:cs="Calibri"/>
                <w:b/>
                <w:sz w:val="24"/>
                <w:szCs w:val="24"/>
                <w:highlight w:val="lightGray"/>
              </w:rPr>
            </w:pPr>
          </w:p>
          <w:p w14:paraId="7580ADEF" w14:textId="77777777" w:rsidR="0026512B" w:rsidRDefault="0026512B" w:rsidP="007802BE">
            <w:pPr>
              <w:spacing w:after="0" w:line="240" w:lineRule="auto"/>
              <w:jc w:val="both"/>
              <w:rPr>
                <w:rFonts w:cs="Calibri"/>
                <w:b/>
                <w:sz w:val="24"/>
                <w:szCs w:val="24"/>
                <w:highlight w:val="lightGray"/>
              </w:rPr>
            </w:pPr>
          </w:p>
          <w:p w14:paraId="7D639A8E" w14:textId="77777777" w:rsidR="00C06734" w:rsidRDefault="00C06734" w:rsidP="007802BE">
            <w:pPr>
              <w:spacing w:after="0" w:line="240" w:lineRule="auto"/>
              <w:jc w:val="both"/>
              <w:rPr>
                <w:rFonts w:cs="Calibri"/>
                <w:bCs/>
                <w:sz w:val="24"/>
                <w:szCs w:val="24"/>
              </w:rPr>
            </w:pPr>
          </w:p>
          <w:p w14:paraId="40ED2FBD" w14:textId="77777777" w:rsidR="00C06734" w:rsidRDefault="00C06734" w:rsidP="007802BE">
            <w:pPr>
              <w:spacing w:after="0" w:line="240" w:lineRule="auto"/>
              <w:jc w:val="both"/>
              <w:rPr>
                <w:rFonts w:cs="Calibri"/>
                <w:bCs/>
                <w:sz w:val="24"/>
                <w:szCs w:val="24"/>
              </w:rPr>
            </w:pPr>
          </w:p>
          <w:p w14:paraId="0D463AAD" w14:textId="567304FB" w:rsidR="0026512B" w:rsidRPr="0026512B" w:rsidRDefault="0026512B" w:rsidP="007802BE">
            <w:pPr>
              <w:spacing w:after="0" w:line="240" w:lineRule="auto"/>
              <w:jc w:val="both"/>
              <w:rPr>
                <w:rFonts w:cs="Calibri"/>
                <w:bCs/>
                <w:sz w:val="24"/>
                <w:szCs w:val="24"/>
              </w:rPr>
            </w:pPr>
            <w:r w:rsidRPr="0026512B">
              <w:rPr>
                <w:rFonts w:cs="Calibri"/>
                <w:bCs/>
                <w:sz w:val="24"/>
                <w:szCs w:val="24"/>
              </w:rPr>
              <w:t>Presentation shared with minutes</w:t>
            </w:r>
          </w:p>
          <w:p w14:paraId="3FACFFFE" w14:textId="77777777" w:rsidR="0026512B" w:rsidRPr="00E04D6B" w:rsidRDefault="0026512B" w:rsidP="007802BE">
            <w:pPr>
              <w:spacing w:after="0" w:line="240" w:lineRule="auto"/>
              <w:jc w:val="both"/>
              <w:rPr>
                <w:rFonts w:cs="Calibri"/>
                <w:b/>
                <w:sz w:val="24"/>
                <w:szCs w:val="24"/>
                <w:highlight w:val="lightGray"/>
              </w:rPr>
            </w:pPr>
          </w:p>
        </w:tc>
      </w:tr>
      <w:tr w:rsidR="00D510D4" w:rsidRPr="00E04D6B" w14:paraId="65AA5F25" w14:textId="77777777" w:rsidTr="00D510D4">
        <w:trPr>
          <w:trHeight w:val="338"/>
        </w:trPr>
        <w:tc>
          <w:tcPr>
            <w:tcW w:w="833" w:type="dxa"/>
            <w:vMerge w:val="restart"/>
            <w:shd w:val="clear" w:color="auto" w:fill="D9D9D9" w:themeFill="background1" w:themeFillShade="D9"/>
          </w:tcPr>
          <w:p w14:paraId="38B98CE8" w14:textId="2147ED0D" w:rsidR="00D510D4" w:rsidRPr="00AE69D0" w:rsidRDefault="00D510D4" w:rsidP="007802BE">
            <w:pPr>
              <w:spacing w:after="0" w:line="240" w:lineRule="auto"/>
              <w:jc w:val="center"/>
              <w:rPr>
                <w:rFonts w:cs="Calibri"/>
                <w:b/>
                <w:sz w:val="24"/>
                <w:szCs w:val="24"/>
              </w:rPr>
            </w:pPr>
            <w:r w:rsidRPr="00AE69D0">
              <w:rPr>
                <w:rFonts w:cs="Calibri"/>
                <w:b/>
                <w:sz w:val="24"/>
                <w:szCs w:val="24"/>
              </w:rPr>
              <w:lastRenderedPageBreak/>
              <w:t xml:space="preserve">  </w:t>
            </w:r>
            <w:r w:rsidR="00F30C62">
              <w:rPr>
                <w:rFonts w:cs="Calibri"/>
                <w:b/>
                <w:sz w:val="24"/>
                <w:szCs w:val="24"/>
              </w:rPr>
              <w:t>8</w:t>
            </w:r>
            <w:r w:rsidRPr="00AE69D0">
              <w:rPr>
                <w:rFonts w:cs="Calibri"/>
                <w:b/>
                <w:sz w:val="24"/>
                <w:szCs w:val="24"/>
              </w:rPr>
              <w:t>.</w:t>
            </w:r>
          </w:p>
        </w:tc>
        <w:tc>
          <w:tcPr>
            <w:tcW w:w="7335" w:type="dxa"/>
            <w:shd w:val="clear" w:color="auto" w:fill="D9D9D9" w:themeFill="background1" w:themeFillShade="D9"/>
          </w:tcPr>
          <w:p w14:paraId="415F8356" w14:textId="1110931B" w:rsidR="00D510D4" w:rsidRPr="005D2229" w:rsidRDefault="00D510D4" w:rsidP="007802BE">
            <w:pPr>
              <w:jc w:val="both"/>
              <w:rPr>
                <w:rFonts w:cs="Calibri"/>
                <w:b/>
                <w:sz w:val="24"/>
                <w:szCs w:val="24"/>
              </w:rPr>
            </w:pPr>
            <w:r w:rsidRPr="005D2229">
              <w:rPr>
                <w:rFonts w:cs="Calibri"/>
                <w:b/>
                <w:sz w:val="24"/>
                <w:szCs w:val="24"/>
              </w:rPr>
              <w:t>AOB</w:t>
            </w:r>
            <w:r w:rsidR="00F30C62">
              <w:rPr>
                <w:rFonts w:cs="Calibri"/>
                <w:b/>
                <w:sz w:val="24"/>
                <w:szCs w:val="24"/>
              </w:rPr>
              <w:t xml:space="preserve"> &amp; Next Meeting</w:t>
            </w:r>
          </w:p>
        </w:tc>
        <w:tc>
          <w:tcPr>
            <w:tcW w:w="1897" w:type="dxa"/>
            <w:shd w:val="clear" w:color="auto" w:fill="D9D9D9" w:themeFill="background1" w:themeFillShade="D9"/>
          </w:tcPr>
          <w:p w14:paraId="5AEA32C4" w14:textId="77777777" w:rsidR="00D510D4" w:rsidRPr="00E04D6B" w:rsidRDefault="00D510D4" w:rsidP="007802BE">
            <w:pPr>
              <w:spacing w:after="0" w:line="240" w:lineRule="auto"/>
              <w:jc w:val="both"/>
              <w:rPr>
                <w:rFonts w:cs="Calibri"/>
                <w:b/>
                <w:sz w:val="24"/>
                <w:szCs w:val="24"/>
                <w:highlight w:val="lightGray"/>
              </w:rPr>
            </w:pPr>
          </w:p>
        </w:tc>
      </w:tr>
      <w:tr w:rsidR="0026512B" w:rsidRPr="0026512B" w14:paraId="29B8ADE4" w14:textId="77777777" w:rsidTr="003926B1">
        <w:tc>
          <w:tcPr>
            <w:tcW w:w="833" w:type="dxa"/>
            <w:vMerge/>
            <w:shd w:val="clear" w:color="auto" w:fill="D9D9D9" w:themeFill="background1" w:themeFillShade="D9"/>
          </w:tcPr>
          <w:p w14:paraId="07E0EC49" w14:textId="77777777" w:rsidR="00D510D4" w:rsidRPr="0026512B" w:rsidRDefault="00D510D4" w:rsidP="007802BE">
            <w:pPr>
              <w:spacing w:after="0" w:line="240" w:lineRule="auto"/>
              <w:jc w:val="center"/>
              <w:rPr>
                <w:rFonts w:cs="Calibri"/>
                <w:bCs/>
                <w:sz w:val="24"/>
                <w:szCs w:val="24"/>
              </w:rPr>
            </w:pPr>
          </w:p>
        </w:tc>
        <w:tc>
          <w:tcPr>
            <w:tcW w:w="7335" w:type="dxa"/>
          </w:tcPr>
          <w:p w14:paraId="3307AECD" w14:textId="35D2F54D" w:rsidR="003926B1" w:rsidRPr="0026512B" w:rsidRDefault="00F30C62" w:rsidP="00F30C62">
            <w:pPr>
              <w:pStyle w:val="ListParagraph"/>
              <w:numPr>
                <w:ilvl w:val="0"/>
                <w:numId w:val="4"/>
              </w:numPr>
              <w:spacing w:after="0" w:line="240" w:lineRule="auto"/>
              <w:jc w:val="both"/>
              <w:rPr>
                <w:rFonts w:cs="Calibri"/>
                <w:bCs/>
                <w:sz w:val="24"/>
                <w:szCs w:val="24"/>
              </w:rPr>
            </w:pPr>
            <w:r w:rsidRPr="0026512B">
              <w:rPr>
                <w:rFonts w:cs="Calibri"/>
                <w:bCs/>
                <w:sz w:val="24"/>
                <w:szCs w:val="24"/>
              </w:rPr>
              <w:t>Next Meeting –</w:t>
            </w:r>
            <w:r w:rsidR="00C06734">
              <w:rPr>
                <w:rFonts w:cs="Calibri"/>
                <w:bCs/>
                <w:sz w:val="24"/>
                <w:szCs w:val="24"/>
              </w:rPr>
              <w:t xml:space="preserve"> Was due to be</w:t>
            </w:r>
            <w:r w:rsidRPr="0026512B">
              <w:rPr>
                <w:rFonts w:cs="Calibri"/>
                <w:bCs/>
                <w:sz w:val="24"/>
                <w:szCs w:val="24"/>
              </w:rPr>
              <w:t xml:space="preserve"> Thursday 14</w:t>
            </w:r>
            <w:r w:rsidRPr="0026512B">
              <w:rPr>
                <w:rFonts w:cs="Calibri"/>
                <w:bCs/>
                <w:sz w:val="24"/>
                <w:szCs w:val="24"/>
                <w:vertAlign w:val="superscript"/>
              </w:rPr>
              <w:t>th</w:t>
            </w:r>
            <w:r w:rsidRPr="0026512B">
              <w:rPr>
                <w:rFonts w:cs="Calibri"/>
                <w:bCs/>
                <w:sz w:val="24"/>
                <w:szCs w:val="24"/>
              </w:rPr>
              <w:t xml:space="preserve"> May 2026</w:t>
            </w:r>
            <w:r w:rsidR="00C06734">
              <w:rPr>
                <w:rFonts w:cs="Calibri"/>
                <w:bCs/>
                <w:sz w:val="24"/>
                <w:szCs w:val="24"/>
              </w:rPr>
              <w:t xml:space="preserve"> but it is understood this is</w:t>
            </w:r>
            <w:r w:rsidR="00321FBD">
              <w:rPr>
                <w:rFonts w:cs="Calibri"/>
                <w:bCs/>
                <w:sz w:val="24"/>
                <w:szCs w:val="24"/>
              </w:rPr>
              <w:t xml:space="preserve"> SATS week</w:t>
            </w:r>
            <w:r w:rsidR="00A00099">
              <w:rPr>
                <w:rFonts w:cs="Calibri"/>
                <w:bCs/>
                <w:sz w:val="24"/>
                <w:szCs w:val="24"/>
              </w:rPr>
              <w:t>,</w:t>
            </w:r>
            <w:r w:rsidR="00C06734">
              <w:rPr>
                <w:rFonts w:cs="Calibri"/>
                <w:bCs/>
                <w:sz w:val="24"/>
                <w:szCs w:val="24"/>
              </w:rPr>
              <w:t xml:space="preserve"> so the next meeting has been rearranged</w:t>
            </w:r>
            <w:r w:rsidR="00A00099">
              <w:rPr>
                <w:rFonts w:cs="Calibri"/>
                <w:bCs/>
                <w:sz w:val="24"/>
                <w:szCs w:val="24"/>
              </w:rPr>
              <w:t xml:space="preserve">.  As last night’s meeting went well, we are proposing to do the next meeting </w:t>
            </w:r>
            <w:r w:rsidR="00A00099" w:rsidRPr="00A00099">
              <w:rPr>
                <w:rFonts w:cs="Calibri"/>
                <w:b/>
                <w:sz w:val="24"/>
                <w:szCs w:val="24"/>
              </w:rPr>
              <w:t>online on Thursday 4</w:t>
            </w:r>
            <w:r w:rsidR="00A00099" w:rsidRPr="00A00099">
              <w:rPr>
                <w:rFonts w:cs="Calibri"/>
                <w:b/>
                <w:sz w:val="24"/>
                <w:szCs w:val="24"/>
                <w:vertAlign w:val="superscript"/>
              </w:rPr>
              <w:t>th</w:t>
            </w:r>
            <w:r w:rsidR="00A00099" w:rsidRPr="00A00099">
              <w:rPr>
                <w:rFonts w:cs="Calibri"/>
                <w:b/>
                <w:sz w:val="24"/>
                <w:szCs w:val="24"/>
              </w:rPr>
              <w:t xml:space="preserve"> June 2026, 6-7pm</w:t>
            </w:r>
            <w:r w:rsidR="00C06734">
              <w:rPr>
                <w:rFonts w:cs="Calibri"/>
                <w:bCs/>
                <w:sz w:val="24"/>
                <w:szCs w:val="24"/>
              </w:rPr>
              <w:t xml:space="preserve"> and a meeting invite will be circulated.</w:t>
            </w:r>
          </w:p>
          <w:p w14:paraId="5AD56A69" w14:textId="6BF6F4D2" w:rsidR="00F30C62" w:rsidRPr="0026512B" w:rsidRDefault="00F30C62" w:rsidP="00F30C62">
            <w:pPr>
              <w:pStyle w:val="ListParagraph"/>
              <w:spacing w:after="0" w:line="240" w:lineRule="auto"/>
              <w:jc w:val="both"/>
              <w:rPr>
                <w:rFonts w:cs="Calibri"/>
                <w:bCs/>
                <w:sz w:val="24"/>
                <w:szCs w:val="24"/>
              </w:rPr>
            </w:pPr>
          </w:p>
        </w:tc>
        <w:tc>
          <w:tcPr>
            <w:tcW w:w="1897" w:type="dxa"/>
          </w:tcPr>
          <w:p w14:paraId="48601955" w14:textId="784D4672" w:rsidR="00C06734" w:rsidRPr="0026512B" w:rsidRDefault="00C06734" w:rsidP="00F30C62">
            <w:pPr>
              <w:spacing w:after="0" w:line="240" w:lineRule="auto"/>
              <w:jc w:val="both"/>
              <w:rPr>
                <w:rFonts w:cs="Calibri"/>
                <w:bCs/>
                <w:sz w:val="24"/>
                <w:szCs w:val="24"/>
              </w:rPr>
            </w:pPr>
            <w:r>
              <w:rPr>
                <w:rFonts w:cs="Calibri"/>
                <w:bCs/>
                <w:sz w:val="24"/>
                <w:szCs w:val="24"/>
              </w:rPr>
              <w:t>KC to share invite for next meeting</w:t>
            </w:r>
          </w:p>
        </w:tc>
      </w:tr>
    </w:tbl>
    <w:p w14:paraId="25708E42" w14:textId="77777777" w:rsidR="00C06734" w:rsidRDefault="00C06734" w:rsidP="00E479D6">
      <w:pPr>
        <w:jc w:val="both"/>
        <w:rPr>
          <w:rFonts w:cs="Calibri"/>
          <w:sz w:val="24"/>
          <w:szCs w:val="24"/>
        </w:rPr>
      </w:pPr>
    </w:p>
    <w:p w14:paraId="2FA6065A" w14:textId="4794759B" w:rsidR="00BE01F3" w:rsidRPr="0026512B" w:rsidRDefault="00E66121" w:rsidP="00E479D6">
      <w:pPr>
        <w:jc w:val="both"/>
        <w:rPr>
          <w:rFonts w:cs="Calibri"/>
          <w:sz w:val="24"/>
          <w:szCs w:val="24"/>
        </w:rPr>
      </w:pPr>
      <w:r w:rsidRPr="0026512B">
        <w:rPr>
          <w:rFonts w:cs="Calibri"/>
          <w:sz w:val="24"/>
          <w:szCs w:val="24"/>
        </w:rPr>
        <w:t xml:space="preserve">Meeting closed at </w:t>
      </w:r>
      <w:r w:rsidR="00F30C62" w:rsidRPr="0026512B">
        <w:rPr>
          <w:rFonts w:cs="Calibri"/>
          <w:sz w:val="24"/>
          <w:szCs w:val="24"/>
        </w:rPr>
        <w:t>7</w:t>
      </w:r>
      <w:r w:rsidR="00514E41" w:rsidRPr="0026512B">
        <w:rPr>
          <w:rFonts w:cs="Calibri"/>
          <w:sz w:val="24"/>
          <w:szCs w:val="24"/>
        </w:rPr>
        <w:t>pm.</w:t>
      </w:r>
    </w:p>
    <w:sectPr w:rsidR="00BE01F3" w:rsidRPr="0026512B" w:rsidSect="000B5870">
      <w:pgSz w:w="11906" w:h="16838"/>
      <w:pgMar w:top="567"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096"/>
    <w:multiLevelType w:val="hybridMultilevel"/>
    <w:tmpl w:val="13305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48376F"/>
    <w:multiLevelType w:val="hybridMultilevel"/>
    <w:tmpl w:val="D22C7AB8"/>
    <w:lvl w:ilvl="0" w:tplc="52D075E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1A7F1F"/>
    <w:multiLevelType w:val="hybridMultilevel"/>
    <w:tmpl w:val="EC0AE6EC"/>
    <w:lvl w:ilvl="0" w:tplc="8DCC77B6">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3B695C"/>
    <w:multiLevelType w:val="hybridMultilevel"/>
    <w:tmpl w:val="0D76C50C"/>
    <w:lvl w:ilvl="0" w:tplc="FE966B3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4109EB"/>
    <w:multiLevelType w:val="hybridMultilevel"/>
    <w:tmpl w:val="7CDA4B3C"/>
    <w:lvl w:ilvl="0" w:tplc="171CD0C4">
      <w:start w:val="3"/>
      <w:numFmt w:val="bullet"/>
      <w:lvlText w:val="-"/>
      <w:lvlJc w:val="left"/>
      <w:pPr>
        <w:ind w:left="1074" w:hanging="360"/>
      </w:pPr>
      <w:rPr>
        <w:rFonts w:ascii="Calibri" w:eastAsia="Calibri" w:hAnsi="Calibri" w:cs="Calibri"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5" w15:restartNumberingAfterBreak="0">
    <w:nsid w:val="2E967672"/>
    <w:multiLevelType w:val="hybridMultilevel"/>
    <w:tmpl w:val="C1EC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71596"/>
    <w:multiLevelType w:val="hybridMultilevel"/>
    <w:tmpl w:val="985A5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E4F62"/>
    <w:multiLevelType w:val="hybridMultilevel"/>
    <w:tmpl w:val="3796C37C"/>
    <w:lvl w:ilvl="0" w:tplc="171CD0C4">
      <w:start w:val="3"/>
      <w:numFmt w:val="bullet"/>
      <w:lvlText w:val="-"/>
      <w:lvlJc w:val="left"/>
      <w:pPr>
        <w:ind w:left="107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86638"/>
    <w:multiLevelType w:val="hybridMultilevel"/>
    <w:tmpl w:val="9BEEA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A4040"/>
    <w:multiLevelType w:val="hybridMultilevel"/>
    <w:tmpl w:val="6EAE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A3148F"/>
    <w:multiLevelType w:val="hybridMultilevel"/>
    <w:tmpl w:val="D8FCC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8E4E8C"/>
    <w:multiLevelType w:val="hybridMultilevel"/>
    <w:tmpl w:val="2E76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B84E51"/>
    <w:multiLevelType w:val="hybridMultilevel"/>
    <w:tmpl w:val="2D325BAA"/>
    <w:lvl w:ilvl="0" w:tplc="23828C9E">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1818CE"/>
    <w:multiLevelType w:val="hybridMultilevel"/>
    <w:tmpl w:val="B2448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4795246">
    <w:abstractNumId w:val="10"/>
  </w:num>
  <w:num w:numId="2" w16cid:durableId="1178813455">
    <w:abstractNumId w:val="5"/>
  </w:num>
  <w:num w:numId="3" w16cid:durableId="654533673">
    <w:abstractNumId w:val="9"/>
  </w:num>
  <w:num w:numId="4" w16cid:durableId="765731160">
    <w:abstractNumId w:val="11"/>
  </w:num>
  <w:num w:numId="5" w16cid:durableId="537549155">
    <w:abstractNumId w:val="13"/>
  </w:num>
  <w:num w:numId="6" w16cid:durableId="953831886">
    <w:abstractNumId w:val="4"/>
  </w:num>
  <w:num w:numId="7" w16cid:durableId="1277255784">
    <w:abstractNumId w:val="7"/>
  </w:num>
  <w:num w:numId="8" w16cid:durableId="973605762">
    <w:abstractNumId w:val="8"/>
  </w:num>
  <w:num w:numId="9" w16cid:durableId="1514412391">
    <w:abstractNumId w:val="6"/>
  </w:num>
  <w:num w:numId="10" w16cid:durableId="365102765">
    <w:abstractNumId w:val="0"/>
  </w:num>
  <w:num w:numId="11" w16cid:durableId="120194963">
    <w:abstractNumId w:val="2"/>
  </w:num>
  <w:num w:numId="12" w16cid:durableId="2029985002">
    <w:abstractNumId w:val="3"/>
  </w:num>
  <w:num w:numId="13" w16cid:durableId="435439978">
    <w:abstractNumId w:val="1"/>
  </w:num>
  <w:num w:numId="14" w16cid:durableId="108961567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E8F"/>
    <w:rsid w:val="00004D82"/>
    <w:rsid w:val="000120E9"/>
    <w:rsid w:val="000136EE"/>
    <w:rsid w:val="000148D1"/>
    <w:rsid w:val="000241C5"/>
    <w:rsid w:val="00030301"/>
    <w:rsid w:val="000345E3"/>
    <w:rsid w:val="00037AD3"/>
    <w:rsid w:val="00042449"/>
    <w:rsid w:val="00044A17"/>
    <w:rsid w:val="00051F63"/>
    <w:rsid w:val="0007130C"/>
    <w:rsid w:val="00075423"/>
    <w:rsid w:val="0007703D"/>
    <w:rsid w:val="00077EAB"/>
    <w:rsid w:val="00084605"/>
    <w:rsid w:val="000936EA"/>
    <w:rsid w:val="00095EFE"/>
    <w:rsid w:val="000964AA"/>
    <w:rsid w:val="00096D83"/>
    <w:rsid w:val="000A0227"/>
    <w:rsid w:val="000B07C3"/>
    <w:rsid w:val="000B5870"/>
    <w:rsid w:val="000B60C7"/>
    <w:rsid w:val="000C0CF7"/>
    <w:rsid w:val="000C16F8"/>
    <w:rsid w:val="000D0625"/>
    <w:rsid w:val="000D1E57"/>
    <w:rsid w:val="000D5993"/>
    <w:rsid w:val="000E381C"/>
    <w:rsid w:val="000E4112"/>
    <w:rsid w:val="000F332D"/>
    <w:rsid w:val="00106E42"/>
    <w:rsid w:val="00106E88"/>
    <w:rsid w:val="00117264"/>
    <w:rsid w:val="00117C3F"/>
    <w:rsid w:val="00123802"/>
    <w:rsid w:val="00130108"/>
    <w:rsid w:val="00131B5D"/>
    <w:rsid w:val="00136A47"/>
    <w:rsid w:val="00145DEA"/>
    <w:rsid w:val="0015177E"/>
    <w:rsid w:val="001662F8"/>
    <w:rsid w:val="00184059"/>
    <w:rsid w:val="00185835"/>
    <w:rsid w:val="00185DBA"/>
    <w:rsid w:val="001A6836"/>
    <w:rsid w:val="001B2513"/>
    <w:rsid w:val="001B4610"/>
    <w:rsid w:val="001C6054"/>
    <w:rsid w:val="001D5172"/>
    <w:rsid w:val="001E2F9C"/>
    <w:rsid w:val="001E6FA3"/>
    <w:rsid w:val="001E7E3C"/>
    <w:rsid w:val="001F30A3"/>
    <w:rsid w:val="001F3CB0"/>
    <w:rsid w:val="001F739D"/>
    <w:rsid w:val="002016D2"/>
    <w:rsid w:val="002052A1"/>
    <w:rsid w:val="0020607E"/>
    <w:rsid w:val="0021634D"/>
    <w:rsid w:val="00221291"/>
    <w:rsid w:val="0023608A"/>
    <w:rsid w:val="002363D0"/>
    <w:rsid w:val="00236A18"/>
    <w:rsid w:val="002377A4"/>
    <w:rsid w:val="002437F3"/>
    <w:rsid w:val="00246557"/>
    <w:rsid w:val="00250560"/>
    <w:rsid w:val="0026512B"/>
    <w:rsid w:val="002724FA"/>
    <w:rsid w:val="00280D69"/>
    <w:rsid w:val="00284F26"/>
    <w:rsid w:val="00296863"/>
    <w:rsid w:val="002A3851"/>
    <w:rsid w:val="002C58CA"/>
    <w:rsid w:val="002D00D0"/>
    <w:rsid w:val="002D725B"/>
    <w:rsid w:val="002E27EB"/>
    <w:rsid w:val="002E55BE"/>
    <w:rsid w:val="002F5C50"/>
    <w:rsid w:val="00307699"/>
    <w:rsid w:val="00311FA4"/>
    <w:rsid w:val="00321FBD"/>
    <w:rsid w:val="00333098"/>
    <w:rsid w:val="00334F08"/>
    <w:rsid w:val="00336DE2"/>
    <w:rsid w:val="00337DB2"/>
    <w:rsid w:val="00340AC1"/>
    <w:rsid w:val="00343DAA"/>
    <w:rsid w:val="0035381B"/>
    <w:rsid w:val="00354BCC"/>
    <w:rsid w:val="00361884"/>
    <w:rsid w:val="003621A5"/>
    <w:rsid w:val="00375744"/>
    <w:rsid w:val="0038374C"/>
    <w:rsid w:val="00387D96"/>
    <w:rsid w:val="00391DF0"/>
    <w:rsid w:val="003926B1"/>
    <w:rsid w:val="003947B3"/>
    <w:rsid w:val="003B2496"/>
    <w:rsid w:val="003B3824"/>
    <w:rsid w:val="003B5CF1"/>
    <w:rsid w:val="003C09F0"/>
    <w:rsid w:val="003C3B6F"/>
    <w:rsid w:val="003D2D88"/>
    <w:rsid w:val="003D4FE0"/>
    <w:rsid w:val="003E4CEF"/>
    <w:rsid w:val="00410060"/>
    <w:rsid w:val="004146B3"/>
    <w:rsid w:val="0042289D"/>
    <w:rsid w:val="00423722"/>
    <w:rsid w:val="004246BC"/>
    <w:rsid w:val="0043359D"/>
    <w:rsid w:val="00437655"/>
    <w:rsid w:val="00462AC2"/>
    <w:rsid w:val="0046305D"/>
    <w:rsid w:val="00473126"/>
    <w:rsid w:val="00476DD7"/>
    <w:rsid w:val="004810B0"/>
    <w:rsid w:val="004830D2"/>
    <w:rsid w:val="004859A9"/>
    <w:rsid w:val="004974A6"/>
    <w:rsid w:val="004A1213"/>
    <w:rsid w:val="004A2D97"/>
    <w:rsid w:val="004B236F"/>
    <w:rsid w:val="004B3717"/>
    <w:rsid w:val="004B6A4F"/>
    <w:rsid w:val="004D33D2"/>
    <w:rsid w:val="004E3E4C"/>
    <w:rsid w:val="004E6876"/>
    <w:rsid w:val="00505141"/>
    <w:rsid w:val="005105BF"/>
    <w:rsid w:val="00514E41"/>
    <w:rsid w:val="005170E1"/>
    <w:rsid w:val="00524A79"/>
    <w:rsid w:val="00524CBE"/>
    <w:rsid w:val="00526687"/>
    <w:rsid w:val="00530244"/>
    <w:rsid w:val="00541CA2"/>
    <w:rsid w:val="0054703C"/>
    <w:rsid w:val="00551BDA"/>
    <w:rsid w:val="00552630"/>
    <w:rsid w:val="00565B4B"/>
    <w:rsid w:val="00590343"/>
    <w:rsid w:val="00595F50"/>
    <w:rsid w:val="005A7329"/>
    <w:rsid w:val="005C64CF"/>
    <w:rsid w:val="005D2229"/>
    <w:rsid w:val="005D7DA1"/>
    <w:rsid w:val="005F27D1"/>
    <w:rsid w:val="00601C8E"/>
    <w:rsid w:val="006139BB"/>
    <w:rsid w:val="00613F36"/>
    <w:rsid w:val="0062299F"/>
    <w:rsid w:val="006423FA"/>
    <w:rsid w:val="006425A7"/>
    <w:rsid w:val="00652977"/>
    <w:rsid w:val="006565B7"/>
    <w:rsid w:val="00663047"/>
    <w:rsid w:val="00664DEA"/>
    <w:rsid w:val="0067094A"/>
    <w:rsid w:val="00677942"/>
    <w:rsid w:val="00685233"/>
    <w:rsid w:val="006865F6"/>
    <w:rsid w:val="00686716"/>
    <w:rsid w:val="00690672"/>
    <w:rsid w:val="00696F3A"/>
    <w:rsid w:val="006A1872"/>
    <w:rsid w:val="006A4ACA"/>
    <w:rsid w:val="006A60F4"/>
    <w:rsid w:val="006A6B2F"/>
    <w:rsid w:val="006D1FDA"/>
    <w:rsid w:val="006D5C7B"/>
    <w:rsid w:val="006D78A7"/>
    <w:rsid w:val="006E28EB"/>
    <w:rsid w:val="006F5F24"/>
    <w:rsid w:val="006F7E51"/>
    <w:rsid w:val="00710AB8"/>
    <w:rsid w:val="00711E29"/>
    <w:rsid w:val="00726BB9"/>
    <w:rsid w:val="00730FA2"/>
    <w:rsid w:val="00734F04"/>
    <w:rsid w:val="0073643B"/>
    <w:rsid w:val="00742F82"/>
    <w:rsid w:val="00747A22"/>
    <w:rsid w:val="007507DD"/>
    <w:rsid w:val="0075394F"/>
    <w:rsid w:val="007617DB"/>
    <w:rsid w:val="00761D22"/>
    <w:rsid w:val="007703EB"/>
    <w:rsid w:val="00770560"/>
    <w:rsid w:val="007753A9"/>
    <w:rsid w:val="007758CA"/>
    <w:rsid w:val="00776B9A"/>
    <w:rsid w:val="0078161B"/>
    <w:rsid w:val="00783485"/>
    <w:rsid w:val="007857AA"/>
    <w:rsid w:val="00787D21"/>
    <w:rsid w:val="00791F0F"/>
    <w:rsid w:val="007A25E6"/>
    <w:rsid w:val="007A2B46"/>
    <w:rsid w:val="007B5A48"/>
    <w:rsid w:val="007D0EC6"/>
    <w:rsid w:val="007D6701"/>
    <w:rsid w:val="007F2C77"/>
    <w:rsid w:val="007F710B"/>
    <w:rsid w:val="00800EA8"/>
    <w:rsid w:val="00813EBD"/>
    <w:rsid w:val="00817119"/>
    <w:rsid w:val="0082429B"/>
    <w:rsid w:val="0082483E"/>
    <w:rsid w:val="00827BE7"/>
    <w:rsid w:val="00827EC4"/>
    <w:rsid w:val="00834F39"/>
    <w:rsid w:val="00836F5F"/>
    <w:rsid w:val="00841483"/>
    <w:rsid w:val="0085135E"/>
    <w:rsid w:val="00856B32"/>
    <w:rsid w:val="008600C6"/>
    <w:rsid w:val="00864947"/>
    <w:rsid w:val="00867916"/>
    <w:rsid w:val="008758BD"/>
    <w:rsid w:val="00883855"/>
    <w:rsid w:val="00884BF4"/>
    <w:rsid w:val="008A159C"/>
    <w:rsid w:val="008A7E7C"/>
    <w:rsid w:val="008B4556"/>
    <w:rsid w:val="008C4021"/>
    <w:rsid w:val="008D05DB"/>
    <w:rsid w:val="008D48B5"/>
    <w:rsid w:val="008E2309"/>
    <w:rsid w:val="008E5A12"/>
    <w:rsid w:val="008E6409"/>
    <w:rsid w:val="008F5D76"/>
    <w:rsid w:val="00901AA7"/>
    <w:rsid w:val="00901E71"/>
    <w:rsid w:val="009037D4"/>
    <w:rsid w:val="00910D7A"/>
    <w:rsid w:val="00911A7E"/>
    <w:rsid w:val="00913D22"/>
    <w:rsid w:val="00942E71"/>
    <w:rsid w:val="00950B78"/>
    <w:rsid w:val="00957C90"/>
    <w:rsid w:val="00962C47"/>
    <w:rsid w:val="00966D13"/>
    <w:rsid w:val="00967DA9"/>
    <w:rsid w:val="0097075B"/>
    <w:rsid w:val="009800EF"/>
    <w:rsid w:val="00991FD9"/>
    <w:rsid w:val="009A06CA"/>
    <w:rsid w:val="009A375C"/>
    <w:rsid w:val="009B5E86"/>
    <w:rsid w:val="009B625B"/>
    <w:rsid w:val="009D30EB"/>
    <w:rsid w:val="009E24B8"/>
    <w:rsid w:val="009E74C7"/>
    <w:rsid w:val="009E75EE"/>
    <w:rsid w:val="009F4954"/>
    <w:rsid w:val="009F77B2"/>
    <w:rsid w:val="00A00099"/>
    <w:rsid w:val="00A05E9D"/>
    <w:rsid w:val="00A10F22"/>
    <w:rsid w:val="00A15BEA"/>
    <w:rsid w:val="00A225D5"/>
    <w:rsid w:val="00A251F6"/>
    <w:rsid w:val="00A25A60"/>
    <w:rsid w:val="00A3243F"/>
    <w:rsid w:val="00A3745B"/>
    <w:rsid w:val="00A37544"/>
    <w:rsid w:val="00A83575"/>
    <w:rsid w:val="00A8687E"/>
    <w:rsid w:val="00A872A9"/>
    <w:rsid w:val="00A873AE"/>
    <w:rsid w:val="00A9704C"/>
    <w:rsid w:val="00AA0C22"/>
    <w:rsid w:val="00AA1613"/>
    <w:rsid w:val="00AC10E7"/>
    <w:rsid w:val="00AC3093"/>
    <w:rsid w:val="00AD0D03"/>
    <w:rsid w:val="00AD483E"/>
    <w:rsid w:val="00AD5780"/>
    <w:rsid w:val="00AD7C4A"/>
    <w:rsid w:val="00AE69D0"/>
    <w:rsid w:val="00AF2F6C"/>
    <w:rsid w:val="00B2392E"/>
    <w:rsid w:val="00B30888"/>
    <w:rsid w:val="00B42942"/>
    <w:rsid w:val="00B50C6D"/>
    <w:rsid w:val="00B57B7A"/>
    <w:rsid w:val="00B857E6"/>
    <w:rsid w:val="00B868AD"/>
    <w:rsid w:val="00B9122A"/>
    <w:rsid w:val="00B956A8"/>
    <w:rsid w:val="00B95E12"/>
    <w:rsid w:val="00BC3A76"/>
    <w:rsid w:val="00BC3F78"/>
    <w:rsid w:val="00BE01F3"/>
    <w:rsid w:val="00BE2B69"/>
    <w:rsid w:val="00BE4431"/>
    <w:rsid w:val="00BE6E90"/>
    <w:rsid w:val="00BF07BF"/>
    <w:rsid w:val="00BF7A97"/>
    <w:rsid w:val="00C06734"/>
    <w:rsid w:val="00C07BF4"/>
    <w:rsid w:val="00C12598"/>
    <w:rsid w:val="00C22E65"/>
    <w:rsid w:val="00C26DED"/>
    <w:rsid w:val="00C404DC"/>
    <w:rsid w:val="00C43718"/>
    <w:rsid w:val="00C47BC5"/>
    <w:rsid w:val="00C554FC"/>
    <w:rsid w:val="00C563FC"/>
    <w:rsid w:val="00C74BCD"/>
    <w:rsid w:val="00C80903"/>
    <w:rsid w:val="00C850BE"/>
    <w:rsid w:val="00C93351"/>
    <w:rsid w:val="00C93B91"/>
    <w:rsid w:val="00C9796C"/>
    <w:rsid w:val="00CA3C16"/>
    <w:rsid w:val="00CA7798"/>
    <w:rsid w:val="00CE0E8F"/>
    <w:rsid w:val="00CE3A7F"/>
    <w:rsid w:val="00CE6602"/>
    <w:rsid w:val="00CF1544"/>
    <w:rsid w:val="00CF291E"/>
    <w:rsid w:val="00D0268C"/>
    <w:rsid w:val="00D042A9"/>
    <w:rsid w:val="00D045F6"/>
    <w:rsid w:val="00D1169D"/>
    <w:rsid w:val="00D13B8F"/>
    <w:rsid w:val="00D32072"/>
    <w:rsid w:val="00D43FBE"/>
    <w:rsid w:val="00D510D4"/>
    <w:rsid w:val="00D52D4F"/>
    <w:rsid w:val="00D608ED"/>
    <w:rsid w:val="00D7577A"/>
    <w:rsid w:val="00D9558A"/>
    <w:rsid w:val="00DA24F3"/>
    <w:rsid w:val="00DA2504"/>
    <w:rsid w:val="00DD529D"/>
    <w:rsid w:val="00DE255C"/>
    <w:rsid w:val="00DF522C"/>
    <w:rsid w:val="00E01591"/>
    <w:rsid w:val="00E04D6B"/>
    <w:rsid w:val="00E067D0"/>
    <w:rsid w:val="00E119DF"/>
    <w:rsid w:val="00E12624"/>
    <w:rsid w:val="00E34B11"/>
    <w:rsid w:val="00E418FF"/>
    <w:rsid w:val="00E43F8E"/>
    <w:rsid w:val="00E479D6"/>
    <w:rsid w:val="00E51625"/>
    <w:rsid w:val="00E53612"/>
    <w:rsid w:val="00E62FA0"/>
    <w:rsid w:val="00E64344"/>
    <w:rsid w:val="00E66121"/>
    <w:rsid w:val="00E76DB8"/>
    <w:rsid w:val="00E9740D"/>
    <w:rsid w:val="00EA1819"/>
    <w:rsid w:val="00EB3482"/>
    <w:rsid w:val="00EB6DCE"/>
    <w:rsid w:val="00ED5133"/>
    <w:rsid w:val="00ED685A"/>
    <w:rsid w:val="00ED6E1C"/>
    <w:rsid w:val="00EE797E"/>
    <w:rsid w:val="00F007FB"/>
    <w:rsid w:val="00F017F4"/>
    <w:rsid w:val="00F02B73"/>
    <w:rsid w:val="00F126D4"/>
    <w:rsid w:val="00F13A01"/>
    <w:rsid w:val="00F22197"/>
    <w:rsid w:val="00F2763B"/>
    <w:rsid w:val="00F30C62"/>
    <w:rsid w:val="00F32348"/>
    <w:rsid w:val="00F35D15"/>
    <w:rsid w:val="00F370AB"/>
    <w:rsid w:val="00F42CE8"/>
    <w:rsid w:val="00F478BF"/>
    <w:rsid w:val="00F5357F"/>
    <w:rsid w:val="00F5443F"/>
    <w:rsid w:val="00F54671"/>
    <w:rsid w:val="00F62F18"/>
    <w:rsid w:val="00F63650"/>
    <w:rsid w:val="00F71A98"/>
    <w:rsid w:val="00F71E2B"/>
    <w:rsid w:val="00F72B13"/>
    <w:rsid w:val="00F7390D"/>
    <w:rsid w:val="00F8008D"/>
    <w:rsid w:val="00F91B65"/>
    <w:rsid w:val="00FB5E72"/>
    <w:rsid w:val="00FC3AB9"/>
    <w:rsid w:val="00FD2481"/>
    <w:rsid w:val="00FD7F18"/>
    <w:rsid w:val="00FF4E19"/>
    <w:rsid w:val="00FF5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8EAD"/>
  <w15:chartTrackingRefBased/>
  <w15:docId w15:val="{C188E783-2DC1-408B-B687-7B9B61C9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E8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0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E8F"/>
    <w:pPr>
      <w:ind w:left="720"/>
      <w:contextualSpacing/>
    </w:pPr>
  </w:style>
  <w:style w:type="character" w:customStyle="1" w:styleId="ui-provider">
    <w:name w:val="ui-provider"/>
    <w:basedOn w:val="DefaultParagraphFont"/>
    <w:rsid w:val="006423FA"/>
  </w:style>
  <w:style w:type="character" w:styleId="Hyperlink">
    <w:name w:val="Hyperlink"/>
    <w:basedOn w:val="DefaultParagraphFont"/>
    <w:unhideWhenUsed/>
    <w:rsid w:val="009F4954"/>
    <w:rPr>
      <w:color w:val="0000FF"/>
      <w:u w:val="single"/>
    </w:rPr>
  </w:style>
  <w:style w:type="character" w:styleId="Strong">
    <w:name w:val="Strong"/>
    <w:basedOn w:val="DefaultParagraphFont"/>
    <w:uiPriority w:val="22"/>
    <w:qFormat/>
    <w:rsid w:val="003C3B6F"/>
    <w:rPr>
      <w:b/>
      <w:bCs/>
    </w:rPr>
  </w:style>
  <w:style w:type="character" w:styleId="UnresolvedMention">
    <w:name w:val="Unresolved Mention"/>
    <w:basedOn w:val="DefaultParagraphFont"/>
    <w:uiPriority w:val="99"/>
    <w:semiHidden/>
    <w:unhideWhenUsed/>
    <w:rsid w:val="00D042A9"/>
    <w:rPr>
      <w:color w:val="605E5C"/>
      <w:shd w:val="clear" w:color="auto" w:fill="E1DFDD"/>
    </w:rPr>
  </w:style>
  <w:style w:type="character" w:styleId="FollowedHyperlink">
    <w:name w:val="FollowedHyperlink"/>
    <w:basedOn w:val="DefaultParagraphFont"/>
    <w:uiPriority w:val="99"/>
    <w:semiHidden/>
    <w:unhideWhenUsed/>
    <w:rsid w:val="000A02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756274">
      <w:bodyDiv w:val="1"/>
      <w:marLeft w:val="0"/>
      <w:marRight w:val="0"/>
      <w:marTop w:val="0"/>
      <w:marBottom w:val="0"/>
      <w:divBdr>
        <w:top w:val="none" w:sz="0" w:space="0" w:color="auto"/>
        <w:left w:val="none" w:sz="0" w:space="0" w:color="auto"/>
        <w:bottom w:val="none" w:sz="0" w:space="0" w:color="auto"/>
        <w:right w:val="none" w:sz="0" w:space="0" w:color="auto"/>
      </w:divBdr>
    </w:div>
    <w:div w:id="318121644">
      <w:bodyDiv w:val="1"/>
      <w:marLeft w:val="0"/>
      <w:marRight w:val="0"/>
      <w:marTop w:val="0"/>
      <w:marBottom w:val="0"/>
      <w:divBdr>
        <w:top w:val="none" w:sz="0" w:space="0" w:color="auto"/>
        <w:left w:val="none" w:sz="0" w:space="0" w:color="auto"/>
        <w:bottom w:val="none" w:sz="0" w:space="0" w:color="auto"/>
        <w:right w:val="none" w:sz="0" w:space="0" w:color="auto"/>
      </w:divBdr>
    </w:div>
    <w:div w:id="338387182">
      <w:bodyDiv w:val="1"/>
      <w:marLeft w:val="0"/>
      <w:marRight w:val="0"/>
      <w:marTop w:val="0"/>
      <w:marBottom w:val="0"/>
      <w:divBdr>
        <w:top w:val="none" w:sz="0" w:space="0" w:color="auto"/>
        <w:left w:val="none" w:sz="0" w:space="0" w:color="auto"/>
        <w:bottom w:val="none" w:sz="0" w:space="0" w:color="auto"/>
        <w:right w:val="none" w:sz="0" w:space="0" w:color="auto"/>
      </w:divBdr>
    </w:div>
    <w:div w:id="496656178">
      <w:bodyDiv w:val="1"/>
      <w:marLeft w:val="0"/>
      <w:marRight w:val="0"/>
      <w:marTop w:val="0"/>
      <w:marBottom w:val="0"/>
      <w:divBdr>
        <w:top w:val="none" w:sz="0" w:space="0" w:color="auto"/>
        <w:left w:val="none" w:sz="0" w:space="0" w:color="auto"/>
        <w:bottom w:val="none" w:sz="0" w:space="0" w:color="auto"/>
        <w:right w:val="none" w:sz="0" w:space="0" w:color="auto"/>
      </w:divBdr>
    </w:div>
    <w:div w:id="656569048">
      <w:bodyDiv w:val="1"/>
      <w:marLeft w:val="0"/>
      <w:marRight w:val="0"/>
      <w:marTop w:val="0"/>
      <w:marBottom w:val="0"/>
      <w:divBdr>
        <w:top w:val="none" w:sz="0" w:space="0" w:color="auto"/>
        <w:left w:val="none" w:sz="0" w:space="0" w:color="auto"/>
        <w:bottom w:val="none" w:sz="0" w:space="0" w:color="auto"/>
        <w:right w:val="none" w:sz="0" w:space="0" w:color="auto"/>
      </w:divBdr>
    </w:div>
    <w:div w:id="759135595">
      <w:bodyDiv w:val="1"/>
      <w:marLeft w:val="0"/>
      <w:marRight w:val="0"/>
      <w:marTop w:val="0"/>
      <w:marBottom w:val="0"/>
      <w:divBdr>
        <w:top w:val="none" w:sz="0" w:space="0" w:color="auto"/>
        <w:left w:val="none" w:sz="0" w:space="0" w:color="auto"/>
        <w:bottom w:val="none" w:sz="0" w:space="0" w:color="auto"/>
        <w:right w:val="none" w:sz="0" w:space="0" w:color="auto"/>
      </w:divBdr>
    </w:div>
    <w:div w:id="931427042">
      <w:bodyDiv w:val="1"/>
      <w:marLeft w:val="0"/>
      <w:marRight w:val="0"/>
      <w:marTop w:val="0"/>
      <w:marBottom w:val="0"/>
      <w:divBdr>
        <w:top w:val="none" w:sz="0" w:space="0" w:color="auto"/>
        <w:left w:val="none" w:sz="0" w:space="0" w:color="auto"/>
        <w:bottom w:val="none" w:sz="0" w:space="0" w:color="auto"/>
        <w:right w:val="none" w:sz="0" w:space="0" w:color="auto"/>
      </w:divBdr>
    </w:div>
    <w:div w:id="1044906764">
      <w:bodyDiv w:val="1"/>
      <w:marLeft w:val="0"/>
      <w:marRight w:val="0"/>
      <w:marTop w:val="0"/>
      <w:marBottom w:val="0"/>
      <w:divBdr>
        <w:top w:val="none" w:sz="0" w:space="0" w:color="auto"/>
        <w:left w:val="none" w:sz="0" w:space="0" w:color="auto"/>
        <w:bottom w:val="none" w:sz="0" w:space="0" w:color="auto"/>
        <w:right w:val="none" w:sz="0" w:space="0" w:color="auto"/>
      </w:divBdr>
      <w:divsChild>
        <w:div w:id="1525629237">
          <w:marLeft w:val="0"/>
          <w:marRight w:val="0"/>
          <w:marTop w:val="0"/>
          <w:marBottom w:val="0"/>
          <w:divBdr>
            <w:top w:val="none" w:sz="0" w:space="0" w:color="auto"/>
            <w:left w:val="none" w:sz="0" w:space="0" w:color="auto"/>
            <w:bottom w:val="none" w:sz="0" w:space="0" w:color="auto"/>
            <w:right w:val="none" w:sz="0" w:space="0" w:color="auto"/>
          </w:divBdr>
        </w:div>
        <w:div w:id="466049003">
          <w:marLeft w:val="0"/>
          <w:marRight w:val="0"/>
          <w:marTop w:val="0"/>
          <w:marBottom w:val="0"/>
          <w:divBdr>
            <w:top w:val="none" w:sz="0" w:space="0" w:color="auto"/>
            <w:left w:val="none" w:sz="0" w:space="0" w:color="auto"/>
            <w:bottom w:val="none" w:sz="0" w:space="0" w:color="auto"/>
            <w:right w:val="none" w:sz="0" w:space="0" w:color="auto"/>
          </w:divBdr>
        </w:div>
        <w:div w:id="1671057739">
          <w:marLeft w:val="0"/>
          <w:marRight w:val="0"/>
          <w:marTop w:val="0"/>
          <w:marBottom w:val="0"/>
          <w:divBdr>
            <w:top w:val="none" w:sz="0" w:space="0" w:color="auto"/>
            <w:left w:val="none" w:sz="0" w:space="0" w:color="auto"/>
            <w:bottom w:val="none" w:sz="0" w:space="0" w:color="auto"/>
            <w:right w:val="none" w:sz="0" w:space="0" w:color="auto"/>
          </w:divBdr>
        </w:div>
      </w:divsChild>
    </w:div>
    <w:div w:id="1047753899">
      <w:bodyDiv w:val="1"/>
      <w:marLeft w:val="0"/>
      <w:marRight w:val="0"/>
      <w:marTop w:val="0"/>
      <w:marBottom w:val="0"/>
      <w:divBdr>
        <w:top w:val="none" w:sz="0" w:space="0" w:color="auto"/>
        <w:left w:val="none" w:sz="0" w:space="0" w:color="auto"/>
        <w:bottom w:val="none" w:sz="0" w:space="0" w:color="auto"/>
        <w:right w:val="none" w:sz="0" w:space="0" w:color="auto"/>
      </w:divBdr>
    </w:div>
    <w:div w:id="1108239173">
      <w:bodyDiv w:val="1"/>
      <w:marLeft w:val="0"/>
      <w:marRight w:val="0"/>
      <w:marTop w:val="0"/>
      <w:marBottom w:val="0"/>
      <w:divBdr>
        <w:top w:val="none" w:sz="0" w:space="0" w:color="auto"/>
        <w:left w:val="none" w:sz="0" w:space="0" w:color="auto"/>
        <w:bottom w:val="none" w:sz="0" w:space="0" w:color="auto"/>
        <w:right w:val="none" w:sz="0" w:space="0" w:color="auto"/>
      </w:divBdr>
    </w:div>
    <w:div w:id="1129513342">
      <w:bodyDiv w:val="1"/>
      <w:marLeft w:val="0"/>
      <w:marRight w:val="0"/>
      <w:marTop w:val="0"/>
      <w:marBottom w:val="0"/>
      <w:divBdr>
        <w:top w:val="none" w:sz="0" w:space="0" w:color="auto"/>
        <w:left w:val="none" w:sz="0" w:space="0" w:color="auto"/>
        <w:bottom w:val="none" w:sz="0" w:space="0" w:color="auto"/>
        <w:right w:val="none" w:sz="0" w:space="0" w:color="auto"/>
      </w:divBdr>
    </w:div>
    <w:div w:id="1239903703">
      <w:bodyDiv w:val="1"/>
      <w:marLeft w:val="0"/>
      <w:marRight w:val="0"/>
      <w:marTop w:val="0"/>
      <w:marBottom w:val="0"/>
      <w:divBdr>
        <w:top w:val="none" w:sz="0" w:space="0" w:color="auto"/>
        <w:left w:val="none" w:sz="0" w:space="0" w:color="auto"/>
        <w:bottom w:val="none" w:sz="0" w:space="0" w:color="auto"/>
        <w:right w:val="none" w:sz="0" w:space="0" w:color="auto"/>
      </w:divBdr>
    </w:div>
    <w:div w:id="1300455302">
      <w:bodyDiv w:val="1"/>
      <w:marLeft w:val="0"/>
      <w:marRight w:val="0"/>
      <w:marTop w:val="0"/>
      <w:marBottom w:val="0"/>
      <w:divBdr>
        <w:top w:val="none" w:sz="0" w:space="0" w:color="auto"/>
        <w:left w:val="none" w:sz="0" w:space="0" w:color="auto"/>
        <w:bottom w:val="none" w:sz="0" w:space="0" w:color="auto"/>
        <w:right w:val="none" w:sz="0" w:space="0" w:color="auto"/>
      </w:divBdr>
    </w:div>
    <w:div w:id="1322850330">
      <w:bodyDiv w:val="1"/>
      <w:marLeft w:val="0"/>
      <w:marRight w:val="0"/>
      <w:marTop w:val="0"/>
      <w:marBottom w:val="0"/>
      <w:divBdr>
        <w:top w:val="none" w:sz="0" w:space="0" w:color="auto"/>
        <w:left w:val="none" w:sz="0" w:space="0" w:color="auto"/>
        <w:bottom w:val="none" w:sz="0" w:space="0" w:color="auto"/>
        <w:right w:val="none" w:sz="0" w:space="0" w:color="auto"/>
      </w:divBdr>
      <w:divsChild>
        <w:div w:id="1924794511">
          <w:marLeft w:val="0"/>
          <w:marRight w:val="0"/>
          <w:marTop w:val="0"/>
          <w:marBottom w:val="0"/>
          <w:divBdr>
            <w:top w:val="none" w:sz="0" w:space="0" w:color="auto"/>
            <w:left w:val="none" w:sz="0" w:space="0" w:color="auto"/>
            <w:bottom w:val="none" w:sz="0" w:space="0" w:color="auto"/>
            <w:right w:val="none" w:sz="0" w:space="0" w:color="auto"/>
          </w:divBdr>
        </w:div>
        <w:div w:id="1416433947">
          <w:marLeft w:val="0"/>
          <w:marRight w:val="0"/>
          <w:marTop w:val="0"/>
          <w:marBottom w:val="0"/>
          <w:divBdr>
            <w:top w:val="none" w:sz="0" w:space="0" w:color="auto"/>
            <w:left w:val="none" w:sz="0" w:space="0" w:color="auto"/>
            <w:bottom w:val="none" w:sz="0" w:space="0" w:color="auto"/>
            <w:right w:val="none" w:sz="0" w:space="0" w:color="auto"/>
          </w:divBdr>
        </w:div>
        <w:div w:id="1077628689">
          <w:marLeft w:val="0"/>
          <w:marRight w:val="0"/>
          <w:marTop w:val="0"/>
          <w:marBottom w:val="0"/>
          <w:divBdr>
            <w:top w:val="none" w:sz="0" w:space="0" w:color="auto"/>
            <w:left w:val="none" w:sz="0" w:space="0" w:color="auto"/>
            <w:bottom w:val="none" w:sz="0" w:space="0" w:color="auto"/>
            <w:right w:val="none" w:sz="0" w:space="0" w:color="auto"/>
          </w:divBdr>
        </w:div>
      </w:divsChild>
    </w:div>
    <w:div w:id="1344630210">
      <w:bodyDiv w:val="1"/>
      <w:marLeft w:val="0"/>
      <w:marRight w:val="0"/>
      <w:marTop w:val="0"/>
      <w:marBottom w:val="0"/>
      <w:divBdr>
        <w:top w:val="none" w:sz="0" w:space="0" w:color="auto"/>
        <w:left w:val="none" w:sz="0" w:space="0" w:color="auto"/>
        <w:bottom w:val="none" w:sz="0" w:space="0" w:color="auto"/>
        <w:right w:val="none" w:sz="0" w:space="0" w:color="auto"/>
      </w:divBdr>
    </w:div>
    <w:div w:id="1471822866">
      <w:bodyDiv w:val="1"/>
      <w:marLeft w:val="0"/>
      <w:marRight w:val="0"/>
      <w:marTop w:val="0"/>
      <w:marBottom w:val="0"/>
      <w:divBdr>
        <w:top w:val="none" w:sz="0" w:space="0" w:color="auto"/>
        <w:left w:val="none" w:sz="0" w:space="0" w:color="auto"/>
        <w:bottom w:val="none" w:sz="0" w:space="0" w:color="auto"/>
        <w:right w:val="none" w:sz="0" w:space="0" w:color="auto"/>
      </w:divBdr>
    </w:div>
    <w:div w:id="1818379786">
      <w:bodyDiv w:val="1"/>
      <w:marLeft w:val="0"/>
      <w:marRight w:val="0"/>
      <w:marTop w:val="0"/>
      <w:marBottom w:val="0"/>
      <w:divBdr>
        <w:top w:val="none" w:sz="0" w:space="0" w:color="auto"/>
        <w:left w:val="none" w:sz="0" w:space="0" w:color="auto"/>
        <w:bottom w:val="none" w:sz="0" w:space="0" w:color="auto"/>
        <w:right w:val="none" w:sz="0" w:space="0" w:color="auto"/>
      </w:divBdr>
    </w:div>
    <w:div w:id="209049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sklion.co.uk/kb5/nottingham/directory/advice.page?id=k2f-SXcUr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eur01.safelinks.protection.outlook.com/?url=https%3A%2F%2Fexplore.ofsted.gov.uk%2Flocal-authorities%2FE06000018%2F&amp;data=05%7C02%7CKatherine.Crossley%40nottinghamcity.gov.uk%7Cdd00c0601ade4c69290608de7eb153ff%7Caa3611bd13ac47ac820700fb9ea44ede%7C0%7C0%7C639087497262686387%7CUnknown%7CTWFpbGZsb3d8eyJFbXB0eU1hcGkiOnRydWUsIlYiOiIwLjAuMDAwMCIsIlAiOiJXaW4zMiIsIkFOIjoiTWFpbCIsIldUIjoyfQ%3D%3D%7C0%7C%7C%7C&amp;sdata=gVle2vbH37hAS3bJFw%2BU5cyupdBgiBJDvlbHcjOl1k8%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4</Pages>
  <Words>1403</Words>
  <Characters>7143</Characters>
  <Application>Microsoft Office Word</Application>
  <DocSecurity>0</DocSecurity>
  <Lines>297</Lines>
  <Paragraphs>91</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Meadows</dc:creator>
  <cp:keywords/>
  <dc:description/>
  <cp:lastModifiedBy>Katherine Crossley</cp:lastModifiedBy>
  <cp:revision>55</cp:revision>
  <dcterms:created xsi:type="dcterms:W3CDTF">2025-09-09T10:05:00Z</dcterms:created>
  <dcterms:modified xsi:type="dcterms:W3CDTF">2026-03-10T15:06:00Z</dcterms:modified>
</cp:coreProperties>
</file>