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32" w:type="dxa"/>
        <w:shd w:val="clear" w:color="auto" w:fill="3366FF"/>
        <w:tblLook w:val="01E0" w:firstRow="1" w:lastRow="1" w:firstColumn="1" w:lastColumn="1" w:noHBand="0" w:noVBand="0"/>
      </w:tblPr>
      <w:tblGrid>
        <w:gridCol w:w="10080"/>
      </w:tblGrid>
      <w:tr w:rsidR="00FE4FCF" w:rsidTr="006E639F">
        <w:trPr>
          <w:trHeight w:val="454"/>
        </w:trPr>
        <w:tc>
          <w:tcPr>
            <w:tcW w:w="10080" w:type="dxa"/>
            <w:shd w:val="clear" w:color="auto" w:fill="3366FF"/>
            <w:vAlign w:val="center"/>
          </w:tcPr>
          <w:p w:rsidR="00FE4FCF" w:rsidRPr="007871E2" w:rsidRDefault="00FE4FCF" w:rsidP="006E639F">
            <w:pPr>
              <w:pStyle w:val="Header"/>
              <w:tabs>
                <w:tab w:val="clear" w:pos="4320"/>
                <w:tab w:val="clear" w:pos="8640"/>
              </w:tabs>
              <w:rPr>
                <w:rFonts w:ascii="Arial" w:hAnsi="Arial" w:cs="Arial"/>
                <w:b/>
                <w:color w:val="FFFFFF"/>
                <w:spacing w:val="10"/>
              </w:rPr>
            </w:pPr>
            <w:r>
              <w:rPr>
                <w:rFonts w:ascii="Arial" w:hAnsi="Arial" w:cs="Arial"/>
                <w:b/>
                <w:color w:val="FFFFFF"/>
                <w:spacing w:val="10"/>
              </w:rPr>
              <w:t>Strategy and Resources</w:t>
            </w:r>
            <w:r w:rsidRPr="007871E2">
              <w:rPr>
                <w:rFonts w:ascii="Arial" w:hAnsi="Arial" w:cs="Arial"/>
                <w:b/>
                <w:color w:val="FFFFFF"/>
                <w:spacing w:val="10"/>
              </w:rPr>
              <w:t xml:space="preserve"> – Strategic Commissioning Team</w:t>
            </w:r>
          </w:p>
        </w:tc>
      </w:tr>
      <w:tr w:rsidR="00FE4FCF" w:rsidTr="006E639F">
        <w:tc>
          <w:tcPr>
            <w:tcW w:w="10080" w:type="dxa"/>
            <w:shd w:val="clear" w:color="auto" w:fill="3366FF"/>
            <w:vAlign w:val="center"/>
          </w:tcPr>
          <w:p w:rsidR="00FE4FCF" w:rsidRPr="00E52B1B" w:rsidRDefault="00FE4FCF" w:rsidP="006E639F">
            <w:pPr>
              <w:pStyle w:val="Header"/>
              <w:tabs>
                <w:tab w:val="clear" w:pos="4320"/>
                <w:tab w:val="clear" w:pos="8640"/>
              </w:tabs>
              <w:spacing w:after="80"/>
              <w:rPr>
                <w:rFonts w:ascii="Arial" w:hAnsi="Arial" w:cs="Arial"/>
                <w:b/>
                <w:color w:val="FFFF00"/>
                <w:spacing w:val="10"/>
                <w:sz w:val="28"/>
                <w:szCs w:val="28"/>
              </w:rPr>
            </w:pPr>
            <w:r w:rsidRPr="00E52B1B">
              <w:rPr>
                <w:rFonts w:ascii="Arial" w:hAnsi="Arial" w:cs="Arial"/>
                <w:b/>
                <w:noProof/>
                <w:sz w:val="28"/>
                <w:szCs w:val="28"/>
                <w:lang w:eastAsia="en-GB"/>
              </w:rPr>
              <mc:AlternateContent>
                <mc:Choice Requires="wps">
                  <w:drawing>
                    <wp:anchor distT="0" distB="0" distL="114300" distR="114300" simplePos="0" relativeHeight="251659264" behindDoc="0" locked="0" layoutInCell="1" allowOverlap="1" wp14:anchorId="6A542B42" wp14:editId="3A0C7B76">
                      <wp:simplePos x="0" y="0"/>
                      <wp:positionH relativeFrom="column">
                        <wp:posOffset>5524500</wp:posOffset>
                      </wp:positionH>
                      <wp:positionV relativeFrom="paragraph">
                        <wp:posOffset>26670</wp:posOffset>
                      </wp:positionV>
                      <wp:extent cx="817245" cy="457200"/>
                      <wp:effectExtent l="5715" t="635" r="5715" b="8890"/>
                      <wp:wrapNone/>
                      <wp:docPr id="1" name="Right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599898" flipH="1">
                                <a:off x="0" y="0"/>
                                <a:ext cx="817245" cy="457200"/>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FDB04"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435pt;margin-top:2.1pt;width:64.35pt;height:36pt;rotation:111fd;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QlXjQIAAB4FAAAOAAAAZHJzL2Uyb0RvYy54bWysVNuO0zAQfUfiHyy/d3NRum2iTVd7oYC0&#10;wIpdPsB1nMbCsc3Ybbog/p2x05Yu8IAQeXA89nh8zswZX1zuekW2Apw0uqbZWUqJ0Nw0Uq9r+ulx&#10;OZlT4jzTDVNGi5o+CUcvFy9fXAy2ErnpjGoEEAyiXTXYmnbe2ypJHO9Ez9yZsULjZmugZx5NWCcN&#10;sAGj9yrJ0/Q8GQw0FgwXzuHq7bhJFzF+2wruP7StE56omiI2H0eI4yqMyeKCVWtgtpN8D4P9A4qe&#10;SY2XHkPdMs/IBuRvoXrJwTjT+jNu+sS0reQickA2WfoLm4eOWRG5YHKcPabJ/b+w/P32HohssHaU&#10;aNZjiT7KdefJI0im10qQLORosK5C1wd7D4Gls3eGf3ZEm5sOvcQVgBk6wRpEFv2TZweC4fAoWQ3v&#10;TINXsI03MV27FnoCBsuSZ9OynJcol1ZJ+ybECTdhhsguluvpWC6x84Tj4jyb5cWUEo5bxXSGcghQ&#10;E1aFqOGwBedfC9OTMKkp+AOpGJpt75wfDxwcIzejZLOUSkUD1qsbBWTLUD/L+O3vcKduSgdnbcKx&#10;MeK4gkjxjrAXMEc9fCuzvEiv83KyPJ/PJsWymE7KWTqfpFl5XZ6nRVncLr8HgFlRdbJphL6TWhy0&#10;mRV/V/t9l4yqiuokQ03LaT6N3J+hd6ck0/j9iWQvPbaqkj1m/ujEqlD2V7pB2qzyTKpxnjyHH8uC&#10;OTj8Y1aiSIIuRn2tTPOEGolqwFbFRwVr1hn4SsmADVpT92XDQFCi3mrUWZkVRejoaMTyUwKnO6vT&#10;HaY5hqqpp2Sc3vjxFdhYCHo/6E2bK9RmK6Mwgm5HVIg7GNiEkcH+wQhdfmpHr5/P2uIHAAAA//8D&#10;AFBLAwQUAAYACAAAACEA0nfiot8AAAAIAQAADwAAAGRycy9kb3ducmV2LnhtbEyPQUvDQBSE74L/&#10;YXmCN7sxaJOmeSlSlIqIYtLet8kziWbfht1tm/5715MehxlmvslXkx7EkazrDSPcziIQxLVpem4R&#10;ttXTTQrCecWNGgwTwpkcrIrLi1xljTnxBx1L34pQwi5TCJ33YyalqzvSys3MSBy8T2O18kHaVjZW&#10;nUK5HmQcRXOpVc9hoVMjrTuqv8uDRnh8qeSuTDfv6/P98+61/3qz1YYQr6+mhyUIT5P/C8MvfkCH&#10;IjDtzYEbJwaENInCF49wF4MI/mKRJiD2CMk8Blnk8v+B4gcAAP//AwBQSwECLQAUAAYACAAAACEA&#10;toM4kv4AAADhAQAAEwAAAAAAAAAAAAAAAAAAAAAAW0NvbnRlbnRfVHlwZXNdLnhtbFBLAQItABQA&#10;BgAIAAAAIQA4/SH/1gAAAJQBAAALAAAAAAAAAAAAAAAAAC8BAABfcmVscy8ucmVsc1BLAQItABQA&#10;BgAIAAAAIQCQAQlXjQIAAB4FAAAOAAAAAAAAAAAAAAAAAC4CAABkcnMvZTJvRG9jLnhtbFBLAQIt&#10;ABQABgAIAAAAIQDSd+Ki3wAAAAgBAAAPAAAAAAAAAAAAAAAAAOcEAABkcnMvZG93bnJldi54bWxQ&#10;SwUGAAAAAAQABADzAAAA8wUAAAAA&#10;" stroked="f"/>
                  </w:pict>
                </mc:Fallback>
              </mc:AlternateContent>
            </w:r>
            <w:r>
              <w:rPr>
                <w:rFonts w:ascii="Arial" w:hAnsi="Arial" w:cs="Arial"/>
                <w:b/>
                <w:color w:val="FFFF00"/>
                <w:spacing w:val="10"/>
                <w:sz w:val="28"/>
                <w:szCs w:val="28"/>
              </w:rPr>
              <w:t>STRATEGIC REVIEW OF CARE SUPPORT AND ENABLEMENT SERVICES 2017/18</w:t>
            </w:r>
          </w:p>
        </w:tc>
      </w:tr>
    </w:tbl>
    <w:p w:rsidR="00FE4FCF" w:rsidRDefault="00FE4FCF" w:rsidP="00912524">
      <w:pPr>
        <w:pStyle w:val="NoSpacing"/>
        <w:rPr>
          <w:rFonts w:ascii="Arial" w:hAnsi="Arial" w:cs="Arial"/>
          <w:sz w:val="24"/>
          <w:szCs w:val="24"/>
        </w:rPr>
      </w:pPr>
    </w:p>
    <w:p w:rsidR="00FE4FCF" w:rsidRDefault="00FE4FCF" w:rsidP="00912524">
      <w:pPr>
        <w:pStyle w:val="NoSpacing"/>
        <w:rPr>
          <w:rFonts w:ascii="Arial" w:hAnsi="Arial" w:cs="Arial"/>
          <w:sz w:val="24"/>
          <w:szCs w:val="24"/>
        </w:rPr>
      </w:pPr>
    </w:p>
    <w:p w:rsidR="006239AB" w:rsidRPr="00FE4FCF" w:rsidRDefault="009B032E" w:rsidP="00912524">
      <w:pPr>
        <w:pStyle w:val="NoSpacing"/>
        <w:rPr>
          <w:rFonts w:ascii="Arial" w:hAnsi="Arial" w:cs="Arial"/>
          <w:sz w:val="24"/>
          <w:szCs w:val="24"/>
        </w:rPr>
      </w:pPr>
      <w:r w:rsidRPr="00FE4FCF">
        <w:rPr>
          <w:rFonts w:ascii="Arial" w:hAnsi="Arial" w:cs="Arial"/>
          <w:sz w:val="24"/>
          <w:szCs w:val="24"/>
        </w:rPr>
        <w:t>This document outlines Nottingham City Council’s plans to review how it uses its resources and how it works with partners to help people in the City access high quality Care Support and Enablement services, which provides Outreach and Accommodation based care and support</w:t>
      </w:r>
      <w:r w:rsidR="00912524" w:rsidRPr="00FE4FCF">
        <w:rPr>
          <w:rFonts w:ascii="Arial" w:hAnsi="Arial" w:cs="Arial"/>
          <w:sz w:val="24"/>
          <w:szCs w:val="24"/>
        </w:rPr>
        <w:t>.</w:t>
      </w:r>
    </w:p>
    <w:p w:rsidR="00912524" w:rsidRPr="00FE4FCF" w:rsidRDefault="00912524" w:rsidP="00912524">
      <w:pPr>
        <w:pStyle w:val="NoSpacing"/>
        <w:rPr>
          <w:rFonts w:ascii="Arial" w:hAnsi="Arial" w:cs="Arial"/>
          <w:sz w:val="24"/>
          <w:szCs w:val="24"/>
        </w:rPr>
      </w:pPr>
    </w:p>
    <w:p w:rsidR="009B032E" w:rsidRPr="00FE4FCF" w:rsidRDefault="009B032E" w:rsidP="009B032E">
      <w:pPr>
        <w:rPr>
          <w:rFonts w:ascii="Arial" w:hAnsi="Arial" w:cs="Arial"/>
          <w:b/>
          <w:sz w:val="24"/>
          <w:szCs w:val="24"/>
        </w:rPr>
      </w:pPr>
      <w:r w:rsidRPr="00FE4FCF">
        <w:rPr>
          <w:rFonts w:ascii="Arial" w:hAnsi="Arial" w:cs="Arial"/>
          <w:b/>
          <w:sz w:val="24"/>
          <w:szCs w:val="24"/>
        </w:rPr>
        <w:t>Background</w:t>
      </w:r>
    </w:p>
    <w:p w:rsidR="009B032E" w:rsidRPr="00FE4FCF" w:rsidRDefault="009B032E" w:rsidP="00912524">
      <w:pPr>
        <w:pStyle w:val="NoSpacing"/>
        <w:rPr>
          <w:rFonts w:ascii="Arial" w:hAnsi="Arial" w:cs="Arial"/>
          <w:sz w:val="24"/>
          <w:szCs w:val="24"/>
        </w:rPr>
      </w:pPr>
      <w:r w:rsidRPr="00FE4FCF">
        <w:rPr>
          <w:rFonts w:ascii="Arial" w:hAnsi="Arial" w:cs="Arial"/>
          <w:sz w:val="24"/>
          <w:szCs w:val="24"/>
        </w:rPr>
        <w:t>Care Support and Enablement (CSE) provides care and support in services users’ homes or in the community enabling a holistic supported living environment for service users. However there is not a prescriptive model of service design, and can look very different for different people.</w:t>
      </w:r>
    </w:p>
    <w:p w:rsidR="00912524" w:rsidRPr="00FE4FCF" w:rsidRDefault="00912524" w:rsidP="00912524">
      <w:pPr>
        <w:pStyle w:val="NoSpacing"/>
        <w:rPr>
          <w:rFonts w:ascii="Arial" w:hAnsi="Arial" w:cs="Arial"/>
          <w:sz w:val="24"/>
          <w:szCs w:val="24"/>
        </w:rPr>
      </w:pPr>
    </w:p>
    <w:p w:rsidR="0077341F" w:rsidRPr="00FE4FCF" w:rsidRDefault="0077341F" w:rsidP="00912524">
      <w:pPr>
        <w:pStyle w:val="NoSpacing"/>
        <w:rPr>
          <w:rFonts w:ascii="Arial" w:eastAsia="Times New Roman" w:hAnsi="Arial" w:cs="Arial"/>
          <w:sz w:val="24"/>
          <w:szCs w:val="24"/>
        </w:rPr>
      </w:pPr>
      <w:r w:rsidRPr="00FE4FCF">
        <w:rPr>
          <w:rFonts w:ascii="Arial" w:eastAsia="Times New Roman" w:hAnsi="Arial" w:cs="Arial"/>
          <w:sz w:val="24"/>
          <w:szCs w:val="24"/>
        </w:rPr>
        <w:t>A Framework was established in October 2013, to deliver Care Support and Enablement to support citizens aged 18 - 64 years who live in supported living settings</w:t>
      </w:r>
      <w:r w:rsidR="004364AE" w:rsidRPr="00FE4FCF">
        <w:rPr>
          <w:rFonts w:ascii="Arial" w:eastAsia="Times New Roman" w:hAnsi="Arial" w:cs="Arial"/>
          <w:sz w:val="24"/>
          <w:szCs w:val="24"/>
        </w:rPr>
        <w:t>,</w:t>
      </w:r>
      <w:r w:rsidRPr="00FE4FCF">
        <w:rPr>
          <w:rFonts w:ascii="Arial" w:eastAsia="Times New Roman" w:hAnsi="Arial" w:cs="Arial"/>
          <w:sz w:val="24"/>
          <w:szCs w:val="24"/>
        </w:rPr>
        <w:t xml:space="preserve"> providing Outreach and single person/individual services or shared Accommodation Services. </w:t>
      </w:r>
    </w:p>
    <w:p w:rsidR="0077341F" w:rsidRPr="00FE4FCF" w:rsidRDefault="0077341F" w:rsidP="0077341F">
      <w:pPr>
        <w:tabs>
          <w:tab w:val="left" w:pos="0"/>
        </w:tabs>
        <w:spacing w:after="0" w:line="240" w:lineRule="auto"/>
        <w:rPr>
          <w:rFonts w:ascii="Arial" w:eastAsia="Times New Roman" w:hAnsi="Arial" w:cs="Arial"/>
          <w:sz w:val="24"/>
          <w:szCs w:val="24"/>
        </w:rPr>
      </w:pPr>
    </w:p>
    <w:p w:rsidR="0077341F" w:rsidRPr="00FE4FCF" w:rsidRDefault="0077341F" w:rsidP="0077341F">
      <w:pPr>
        <w:tabs>
          <w:tab w:val="left" w:pos="0"/>
        </w:tabs>
        <w:spacing w:after="0" w:line="240" w:lineRule="auto"/>
        <w:rPr>
          <w:rFonts w:ascii="Arial" w:eastAsia="Times New Roman" w:hAnsi="Arial" w:cs="Arial"/>
          <w:sz w:val="24"/>
          <w:szCs w:val="24"/>
        </w:rPr>
      </w:pPr>
      <w:r w:rsidRPr="00FE4FCF">
        <w:rPr>
          <w:rFonts w:ascii="Arial" w:eastAsia="Times New Roman" w:hAnsi="Arial" w:cs="Arial"/>
          <w:sz w:val="24"/>
          <w:szCs w:val="24"/>
        </w:rPr>
        <w:t>3</w:t>
      </w:r>
      <w:r w:rsidR="00B8356D">
        <w:rPr>
          <w:rFonts w:ascii="Arial" w:eastAsia="Times New Roman" w:hAnsi="Arial" w:cs="Arial"/>
          <w:sz w:val="24"/>
          <w:szCs w:val="24"/>
        </w:rPr>
        <w:t>4</w:t>
      </w:r>
      <w:r w:rsidRPr="00FE4FCF">
        <w:rPr>
          <w:rFonts w:ascii="Arial" w:eastAsia="Times New Roman" w:hAnsi="Arial" w:cs="Arial"/>
          <w:sz w:val="24"/>
          <w:szCs w:val="24"/>
        </w:rPr>
        <w:t xml:space="preserve"> Providers were successfully placed on a </w:t>
      </w:r>
      <w:r w:rsidR="00387649">
        <w:rPr>
          <w:rFonts w:ascii="Arial" w:eastAsia="Times New Roman" w:hAnsi="Arial" w:cs="Arial"/>
          <w:sz w:val="24"/>
          <w:szCs w:val="24"/>
        </w:rPr>
        <w:t>F</w:t>
      </w:r>
      <w:r w:rsidRPr="00FE4FCF">
        <w:rPr>
          <w:rFonts w:ascii="Arial" w:eastAsia="Times New Roman" w:hAnsi="Arial" w:cs="Arial"/>
          <w:sz w:val="24"/>
          <w:szCs w:val="24"/>
        </w:rPr>
        <w:t>ramework following</w:t>
      </w:r>
      <w:r w:rsidR="00F4742B">
        <w:rPr>
          <w:rFonts w:ascii="Arial" w:eastAsia="Times New Roman" w:hAnsi="Arial" w:cs="Arial"/>
          <w:sz w:val="24"/>
          <w:szCs w:val="24"/>
        </w:rPr>
        <w:t xml:space="preserve"> a t</w:t>
      </w:r>
      <w:r w:rsidRPr="00FE4FCF">
        <w:rPr>
          <w:rFonts w:ascii="Arial" w:eastAsia="Times New Roman" w:hAnsi="Arial" w:cs="Arial"/>
          <w:sz w:val="24"/>
          <w:szCs w:val="24"/>
        </w:rPr>
        <w:t xml:space="preserve">ender exercise to deliver </w:t>
      </w:r>
      <w:r w:rsidR="00F4742B">
        <w:rPr>
          <w:rFonts w:ascii="Arial" w:eastAsia="Times New Roman" w:hAnsi="Arial" w:cs="Arial"/>
          <w:sz w:val="24"/>
          <w:szCs w:val="24"/>
        </w:rPr>
        <w:t>CSE</w:t>
      </w:r>
      <w:r w:rsidRPr="00FE4FCF">
        <w:rPr>
          <w:rFonts w:ascii="Arial" w:eastAsia="Times New Roman" w:hAnsi="Arial" w:cs="Arial"/>
          <w:sz w:val="24"/>
          <w:szCs w:val="24"/>
        </w:rPr>
        <w:t xml:space="preserve"> services to meet the needs of the following vulnerable adults:</w:t>
      </w:r>
    </w:p>
    <w:p w:rsidR="0077341F" w:rsidRPr="00FE4FCF" w:rsidRDefault="0077341F" w:rsidP="0077341F">
      <w:pPr>
        <w:numPr>
          <w:ilvl w:val="0"/>
          <w:numId w:val="1"/>
        </w:numPr>
        <w:tabs>
          <w:tab w:val="left" w:pos="0"/>
        </w:tabs>
        <w:spacing w:after="0" w:line="240" w:lineRule="auto"/>
        <w:rPr>
          <w:rFonts w:ascii="Arial" w:eastAsia="Times New Roman" w:hAnsi="Arial" w:cs="Arial"/>
          <w:sz w:val="24"/>
          <w:szCs w:val="24"/>
        </w:rPr>
      </w:pPr>
      <w:r w:rsidRPr="00FE4FCF">
        <w:rPr>
          <w:rFonts w:ascii="Arial" w:eastAsia="Times New Roman" w:hAnsi="Arial" w:cs="Arial"/>
          <w:sz w:val="24"/>
          <w:szCs w:val="24"/>
        </w:rPr>
        <w:t>Learning Disability including Enhanced Learning Disability</w:t>
      </w:r>
    </w:p>
    <w:p w:rsidR="0077341F" w:rsidRPr="00FE4FCF" w:rsidRDefault="0077341F" w:rsidP="0077341F">
      <w:pPr>
        <w:numPr>
          <w:ilvl w:val="0"/>
          <w:numId w:val="1"/>
        </w:numPr>
        <w:tabs>
          <w:tab w:val="left" w:pos="0"/>
        </w:tabs>
        <w:spacing w:after="0" w:line="240" w:lineRule="auto"/>
        <w:rPr>
          <w:rFonts w:ascii="Arial" w:eastAsia="Times New Roman" w:hAnsi="Arial" w:cs="Arial"/>
          <w:sz w:val="24"/>
          <w:szCs w:val="24"/>
        </w:rPr>
      </w:pPr>
      <w:r w:rsidRPr="00FE4FCF">
        <w:rPr>
          <w:rFonts w:ascii="Arial" w:eastAsia="Times New Roman" w:hAnsi="Arial" w:cs="Arial"/>
          <w:sz w:val="24"/>
          <w:szCs w:val="24"/>
        </w:rPr>
        <w:t>Autism</w:t>
      </w:r>
    </w:p>
    <w:p w:rsidR="0077341F" w:rsidRPr="00FE4FCF" w:rsidRDefault="0077341F" w:rsidP="0077341F">
      <w:pPr>
        <w:numPr>
          <w:ilvl w:val="0"/>
          <w:numId w:val="1"/>
        </w:numPr>
        <w:tabs>
          <w:tab w:val="left" w:pos="0"/>
        </w:tabs>
        <w:spacing w:after="0" w:line="240" w:lineRule="auto"/>
        <w:rPr>
          <w:rFonts w:ascii="Arial" w:eastAsia="Times New Roman" w:hAnsi="Arial" w:cs="Arial"/>
          <w:sz w:val="24"/>
          <w:szCs w:val="24"/>
        </w:rPr>
      </w:pPr>
      <w:r w:rsidRPr="00FE4FCF">
        <w:rPr>
          <w:rFonts w:ascii="Arial" w:eastAsia="Times New Roman" w:hAnsi="Arial" w:cs="Arial"/>
          <w:sz w:val="24"/>
          <w:szCs w:val="24"/>
        </w:rPr>
        <w:t>Mental Health</w:t>
      </w:r>
    </w:p>
    <w:p w:rsidR="0077341F" w:rsidRPr="00FE4FCF" w:rsidRDefault="0077341F" w:rsidP="0077341F">
      <w:pPr>
        <w:numPr>
          <w:ilvl w:val="0"/>
          <w:numId w:val="1"/>
        </w:numPr>
        <w:tabs>
          <w:tab w:val="left" w:pos="0"/>
        </w:tabs>
        <w:spacing w:after="0" w:line="240" w:lineRule="auto"/>
        <w:rPr>
          <w:rFonts w:ascii="Arial" w:eastAsia="Times New Roman" w:hAnsi="Arial" w:cs="Arial"/>
          <w:sz w:val="24"/>
          <w:szCs w:val="24"/>
        </w:rPr>
      </w:pPr>
      <w:r w:rsidRPr="00FE4FCF">
        <w:rPr>
          <w:rFonts w:ascii="Arial" w:eastAsia="Times New Roman" w:hAnsi="Arial" w:cs="Arial"/>
          <w:sz w:val="24"/>
          <w:szCs w:val="24"/>
        </w:rPr>
        <w:t xml:space="preserve">Physical and Sensory Impairment </w:t>
      </w:r>
    </w:p>
    <w:p w:rsidR="0077341F" w:rsidRPr="00FE4FCF" w:rsidRDefault="0077341F" w:rsidP="0077341F">
      <w:pPr>
        <w:numPr>
          <w:ilvl w:val="0"/>
          <w:numId w:val="1"/>
        </w:numPr>
        <w:tabs>
          <w:tab w:val="left" w:pos="0"/>
        </w:tabs>
        <w:spacing w:after="0" w:line="240" w:lineRule="auto"/>
        <w:rPr>
          <w:rFonts w:ascii="Arial" w:eastAsia="Times New Roman" w:hAnsi="Arial" w:cs="Arial"/>
          <w:sz w:val="24"/>
          <w:szCs w:val="24"/>
        </w:rPr>
      </w:pPr>
      <w:r w:rsidRPr="00FE4FCF">
        <w:rPr>
          <w:rFonts w:ascii="Arial" w:eastAsia="Times New Roman" w:hAnsi="Arial" w:cs="Arial"/>
          <w:sz w:val="24"/>
          <w:szCs w:val="24"/>
        </w:rPr>
        <w:t>Acquired Brain Injuries</w:t>
      </w:r>
    </w:p>
    <w:p w:rsidR="0077341F" w:rsidRPr="00FE4FCF" w:rsidRDefault="0077341F" w:rsidP="0077341F">
      <w:pPr>
        <w:tabs>
          <w:tab w:val="left" w:pos="0"/>
        </w:tabs>
        <w:spacing w:after="0" w:line="240" w:lineRule="auto"/>
        <w:rPr>
          <w:rFonts w:ascii="Arial" w:eastAsia="Times New Roman" w:hAnsi="Arial" w:cs="Arial"/>
          <w:sz w:val="24"/>
          <w:szCs w:val="24"/>
        </w:rPr>
      </w:pPr>
    </w:p>
    <w:p w:rsidR="0077341F" w:rsidRPr="00FE4FCF" w:rsidRDefault="0077341F" w:rsidP="0077341F">
      <w:pPr>
        <w:rPr>
          <w:rFonts w:ascii="Arial" w:eastAsia="Times New Roman" w:hAnsi="Arial" w:cs="Arial"/>
          <w:sz w:val="24"/>
          <w:szCs w:val="24"/>
        </w:rPr>
      </w:pPr>
      <w:r w:rsidRPr="00FE4FCF">
        <w:rPr>
          <w:rFonts w:ascii="Arial" w:eastAsia="Times New Roman" w:hAnsi="Arial" w:cs="Arial"/>
          <w:sz w:val="24"/>
          <w:szCs w:val="24"/>
        </w:rPr>
        <w:t xml:space="preserve">The Framework </w:t>
      </w:r>
      <w:r w:rsidR="002A3DAB" w:rsidRPr="00FE4FCF">
        <w:rPr>
          <w:rFonts w:ascii="Arial" w:eastAsia="Times New Roman" w:hAnsi="Arial" w:cs="Arial"/>
          <w:sz w:val="24"/>
          <w:szCs w:val="24"/>
        </w:rPr>
        <w:t>was due to</w:t>
      </w:r>
      <w:r w:rsidRPr="00FE4FCF">
        <w:rPr>
          <w:rFonts w:ascii="Arial" w:eastAsia="Times New Roman" w:hAnsi="Arial" w:cs="Arial"/>
          <w:sz w:val="24"/>
          <w:szCs w:val="24"/>
        </w:rPr>
        <w:t xml:space="preserve"> end</w:t>
      </w:r>
      <w:r w:rsidR="002A3DAB" w:rsidRPr="00FE4FCF">
        <w:rPr>
          <w:rFonts w:ascii="Arial" w:eastAsia="Times New Roman" w:hAnsi="Arial" w:cs="Arial"/>
          <w:sz w:val="24"/>
          <w:szCs w:val="24"/>
        </w:rPr>
        <w:t xml:space="preserve"> on 31st</w:t>
      </w:r>
      <w:r w:rsidRPr="00FE4FCF">
        <w:rPr>
          <w:rFonts w:ascii="Arial" w:eastAsia="Times New Roman" w:hAnsi="Arial" w:cs="Arial"/>
          <w:sz w:val="24"/>
          <w:szCs w:val="24"/>
        </w:rPr>
        <w:t xml:space="preserve"> October 2017, however </w:t>
      </w:r>
      <w:r w:rsidR="00387649">
        <w:rPr>
          <w:rFonts w:ascii="Arial" w:eastAsia="Times New Roman" w:hAnsi="Arial" w:cs="Arial"/>
          <w:sz w:val="24"/>
          <w:szCs w:val="24"/>
        </w:rPr>
        <w:t xml:space="preserve">it </w:t>
      </w:r>
      <w:r w:rsidR="00F4742B">
        <w:rPr>
          <w:rFonts w:ascii="Arial" w:eastAsia="Times New Roman" w:hAnsi="Arial" w:cs="Arial"/>
          <w:sz w:val="24"/>
          <w:szCs w:val="24"/>
        </w:rPr>
        <w:t>has been</w:t>
      </w:r>
      <w:r w:rsidR="002A3DAB" w:rsidRPr="00FE4FCF">
        <w:rPr>
          <w:rFonts w:ascii="Arial" w:eastAsia="Times New Roman" w:hAnsi="Arial" w:cs="Arial"/>
          <w:sz w:val="24"/>
          <w:szCs w:val="24"/>
        </w:rPr>
        <w:t xml:space="preserve"> </w:t>
      </w:r>
      <w:r w:rsidRPr="00FE4FCF">
        <w:rPr>
          <w:rFonts w:ascii="Arial" w:eastAsia="Times New Roman" w:hAnsi="Arial" w:cs="Arial"/>
          <w:sz w:val="24"/>
          <w:szCs w:val="24"/>
        </w:rPr>
        <w:t>extended to April 2018.</w:t>
      </w:r>
    </w:p>
    <w:p w:rsidR="0077341F" w:rsidRPr="00FE4FCF" w:rsidRDefault="0077341F" w:rsidP="0077341F">
      <w:pPr>
        <w:rPr>
          <w:rFonts w:ascii="Arial" w:hAnsi="Arial" w:cs="Arial"/>
          <w:b/>
          <w:sz w:val="24"/>
          <w:szCs w:val="24"/>
        </w:rPr>
      </w:pPr>
      <w:r w:rsidRPr="00FE4FCF">
        <w:rPr>
          <w:rFonts w:ascii="Arial" w:hAnsi="Arial" w:cs="Arial"/>
          <w:b/>
          <w:sz w:val="24"/>
          <w:szCs w:val="24"/>
        </w:rPr>
        <w:t>Aims</w:t>
      </w:r>
    </w:p>
    <w:p w:rsidR="0077341F" w:rsidRPr="00FE4FCF" w:rsidRDefault="0077341F" w:rsidP="00912524">
      <w:pPr>
        <w:pStyle w:val="NoSpacing"/>
        <w:rPr>
          <w:rFonts w:ascii="Arial" w:hAnsi="Arial" w:cs="Arial"/>
          <w:sz w:val="24"/>
          <w:szCs w:val="24"/>
        </w:rPr>
      </w:pPr>
      <w:r w:rsidRPr="00FE4FCF">
        <w:rPr>
          <w:rFonts w:ascii="Arial" w:hAnsi="Arial" w:cs="Arial"/>
          <w:sz w:val="24"/>
          <w:szCs w:val="24"/>
        </w:rPr>
        <w:t xml:space="preserve">The success of this strategic review will </w:t>
      </w:r>
      <w:r w:rsidR="00F8645A" w:rsidRPr="00FE4FCF">
        <w:rPr>
          <w:rFonts w:ascii="Arial" w:hAnsi="Arial" w:cs="Arial"/>
          <w:sz w:val="24"/>
          <w:szCs w:val="24"/>
        </w:rPr>
        <w:t>be measured by achieving the following:</w:t>
      </w:r>
    </w:p>
    <w:p w:rsidR="0077341F" w:rsidRPr="00FE4FCF" w:rsidRDefault="00F8645A" w:rsidP="00912524">
      <w:pPr>
        <w:pStyle w:val="NoSpacing"/>
        <w:numPr>
          <w:ilvl w:val="0"/>
          <w:numId w:val="4"/>
        </w:numPr>
        <w:rPr>
          <w:rFonts w:ascii="Arial" w:hAnsi="Arial" w:cs="Arial"/>
          <w:sz w:val="24"/>
          <w:szCs w:val="24"/>
        </w:rPr>
      </w:pPr>
      <w:r w:rsidRPr="00FE4FCF">
        <w:rPr>
          <w:rFonts w:ascii="Arial" w:hAnsi="Arial" w:cs="Arial"/>
          <w:sz w:val="24"/>
          <w:szCs w:val="24"/>
        </w:rPr>
        <w:t>CSE being strengths based, having the capacity and capability of enabling c</w:t>
      </w:r>
      <w:r w:rsidR="0077341F" w:rsidRPr="00FE4FCF">
        <w:rPr>
          <w:rFonts w:ascii="Arial" w:hAnsi="Arial" w:cs="Arial"/>
          <w:sz w:val="24"/>
          <w:szCs w:val="24"/>
        </w:rPr>
        <w:t xml:space="preserve">itizens to </w:t>
      </w:r>
      <w:r w:rsidRPr="00FE4FCF">
        <w:rPr>
          <w:rFonts w:ascii="Arial" w:hAnsi="Arial" w:cs="Arial"/>
          <w:sz w:val="24"/>
          <w:szCs w:val="24"/>
        </w:rPr>
        <w:t xml:space="preserve">increase their skills and </w:t>
      </w:r>
      <w:r w:rsidR="0077341F" w:rsidRPr="00FE4FCF">
        <w:rPr>
          <w:rFonts w:ascii="Arial" w:hAnsi="Arial" w:cs="Arial"/>
          <w:sz w:val="24"/>
          <w:szCs w:val="24"/>
        </w:rPr>
        <w:t>maximise their independence;</w:t>
      </w:r>
    </w:p>
    <w:p w:rsidR="0077341F" w:rsidRPr="00FE4FCF" w:rsidRDefault="00F8645A" w:rsidP="00912524">
      <w:pPr>
        <w:pStyle w:val="NoSpacing"/>
        <w:numPr>
          <w:ilvl w:val="0"/>
          <w:numId w:val="4"/>
        </w:numPr>
        <w:rPr>
          <w:rFonts w:ascii="Arial" w:hAnsi="Arial" w:cs="Arial"/>
          <w:sz w:val="24"/>
          <w:szCs w:val="24"/>
        </w:rPr>
      </w:pPr>
      <w:r w:rsidRPr="00FE4FCF">
        <w:rPr>
          <w:rFonts w:ascii="Arial" w:hAnsi="Arial" w:cs="Arial"/>
          <w:sz w:val="24"/>
          <w:szCs w:val="24"/>
        </w:rPr>
        <w:t>A</w:t>
      </w:r>
      <w:r w:rsidR="0077341F" w:rsidRPr="00FE4FCF">
        <w:rPr>
          <w:rFonts w:ascii="Arial" w:hAnsi="Arial" w:cs="Arial"/>
          <w:sz w:val="24"/>
          <w:szCs w:val="24"/>
        </w:rPr>
        <w:t xml:space="preserve"> flexible and responsive directory of high quality providers who are, capable of meeting the range of complex care and support needs of vulnerable adults in the community, enabling them to make person centred choices and achieve quality of life outcomes;</w:t>
      </w:r>
    </w:p>
    <w:p w:rsidR="0077341F" w:rsidRPr="00FE4FCF" w:rsidRDefault="0077341F" w:rsidP="00912524">
      <w:pPr>
        <w:pStyle w:val="NoSpacing"/>
        <w:numPr>
          <w:ilvl w:val="0"/>
          <w:numId w:val="4"/>
        </w:numPr>
        <w:rPr>
          <w:rFonts w:ascii="Arial" w:hAnsi="Arial" w:cs="Arial"/>
          <w:sz w:val="24"/>
          <w:szCs w:val="24"/>
        </w:rPr>
      </w:pPr>
      <w:r w:rsidRPr="00FE4FCF">
        <w:rPr>
          <w:rFonts w:ascii="Arial" w:hAnsi="Arial" w:cs="Arial"/>
          <w:sz w:val="24"/>
          <w:szCs w:val="24"/>
        </w:rPr>
        <w:t xml:space="preserve">Ensure Health &amp; Social </w:t>
      </w:r>
      <w:r w:rsidR="002A3DAB" w:rsidRPr="00FE4FCF">
        <w:rPr>
          <w:rFonts w:ascii="Arial" w:hAnsi="Arial" w:cs="Arial"/>
          <w:sz w:val="24"/>
          <w:szCs w:val="24"/>
        </w:rPr>
        <w:t>C</w:t>
      </w:r>
      <w:r w:rsidRPr="00FE4FCF">
        <w:rPr>
          <w:rFonts w:ascii="Arial" w:hAnsi="Arial" w:cs="Arial"/>
          <w:sz w:val="24"/>
          <w:szCs w:val="24"/>
        </w:rPr>
        <w:t>are colleagues work co-productively and confidently with</w:t>
      </w:r>
      <w:r w:rsidR="00F8645A" w:rsidRPr="00FE4FCF">
        <w:rPr>
          <w:rFonts w:ascii="Arial" w:hAnsi="Arial" w:cs="Arial"/>
          <w:sz w:val="24"/>
          <w:szCs w:val="24"/>
        </w:rPr>
        <w:t xml:space="preserve"> stakeholders</w:t>
      </w:r>
      <w:r w:rsidRPr="00FE4FCF">
        <w:rPr>
          <w:rFonts w:ascii="Arial" w:hAnsi="Arial" w:cs="Arial"/>
          <w:sz w:val="24"/>
          <w:szCs w:val="24"/>
        </w:rPr>
        <w:t xml:space="preserve">, and ultimately citizens and their families/circles of support to </w:t>
      </w:r>
      <w:r w:rsidR="00F8645A" w:rsidRPr="00FE4FCF">
        <w:rPr>
          <w:rFonts w:ascii="Arial" w:hAnsi="Arial" w:cs="Arial"/>
          <w:sz w:val="24"/>
          <w:szCs w:val="24"/>
        </w:rPr>
        <w:t xml:space="preserve">increase the number of </w:t>
      </w:r>
      <w:r w:rsidRPr="00FE4FCF">
        <w:rPr>
          <w:rFonts w:ascii="Arial" w:hAnsi="Arial" w:cs="Arial"/>
          <w:sz w:val="24"/>
          <w:szCs w:val="24"/>
        </w:rPr>
        <w:t>community placements</w:t>
      </w:r>
      <w:r w:rsidR="00F8645A" w:rsidRPr="00FE4FCF">
        <w:rPr>
          <w:rFonts w:ascii="Arial" w:hAnsi="Arial" w:cs="Arial"/>
          <w:sz w:val="24"/>
          <w:szCs w:val="24"/>
        </w:rPr>
        <w:t>/supported living;</w:t>
      </w:r>
    </w:p>
    <w:p w:rsidR="0077341F" w:rsidRPr="00FE4FCF" w:rsidRDefault="0077341F" w:rsidP="00912524">
      <w:pPr>
        <w:pStyle w:val="NoSpacing"/>
        <w:numPr>
          <w:ilvl w:val="0"/>
          <w:numId w:val="4"/>
        </w:numPr>
        <w:rPr>
          <w:rFonts w:ascii="Arial" w:hAnsi="Arial" w:cs="Arial"/>
          <w:sz w:val="24"/>
          <w:szCs w:val="24"/>
        </w:rPr>
      </w:pPr>
      <w:r w:rsidRPr="00FE4FCF">
        <w:rPr>
          <w:rFonts w:ascii="Arial" w:hAnsi="Arial" w:cs="Arial"/>
          <w:sz w:val="24"/>
          <w:szCs w:val="24"/>
        </w:rPr>
        <w:t>Establish a robust and comprehensive process to se</w:t>
      </w:r>
      <w:r w:rsidR="002A3DAB" w:rsidRPr="00FE4FCF">
        <w:rPr>
          <w:rFonts w:ascii="Arial" w:hAnsi="Arial" w:cs="Arial"/>
          <w:sz w:val="24"/>
          <w:szCs w:val="24"/>
        </w:rPr>
        <w:t>lect and call off Care Support and</w:t>
      </w:r>
      <w:r w:rsidRPr="00FE4FCF">
        <w:rPr>
          <w:rFonts w:ascii="Arial" w:hAnsi="Arial" w:cs="Arial"/>
          <w:sz w:val="24"/>
          <w:szCs w:val="24"/>
        </w:rPr>
        <w:t xml:space="preserve"> Enablement provision for citizens with Learning Disability, Mental Health, Autism, Physical </w:t>
      </w:r>
      <w:r w:rsidR="002A3DAB" w:rsidRPr="00FE4FCF">
        <w:rPr>
          <w:rFonts w:ascii="Arial" w:hAnsi="Arial" w:cs="Arial"/>
          <w:sz w:val="24"/>
          <w:szCs w:val="24"/>
        </w:rPr>
        <w:t>and</w:t>
      </w:r>
      <w:r w:rsidRPr="00FE4FCF">
        <w:rPr>
          <w:rFonts w:ascii="Arial" w:hAnsi="Arial" w:cs="Arial"/>
          <w:sz w:val="24"/>
          <w:szCs w:val="24"/>
        </w:rPr>
        <w:t xml:space="preserve"> Sensory Impairment</w:t>
      </w:r>
      <w:r w:rsidR="002A3DAB" w:rsidRPr="00FE4FCF">
        <w:rPr>
          <w:rFonts w:ascii="Arial" w:hAnsi="Arial" w:cs="Arial"/>
          <w:sz w:val="24"/>
          <w:szCs w:val="24"/>
        </w:rPr>
        <w:t>. A</w:t>
      </w:r>
      <w:r w:rsidRPr="00FE4FCF">
        <w:rPr>
          <w:rFonts w:ascii="Arial" w:hAnsi="Arial" w:cs="Arial"/>
          <w:sz w:val="24"/>
          <w:szCs w:val="24"/>
        </w:rPr>
        <w:t>lso incorporated will be provision for Complex Needs and Challenging Behaviour;</w:t>
      </w:r>
    </w:p>
    <w:p w:rsidR="0077341F" w:rsidRPr="00FE4FCF" w:rsidRDefault="0077341F" w:rsidP="00912524">
      <w:pPr>
        <w:pStyle w:val="NoSpacing"/>
        <w:numPr>
          <w:ilvl w:val="0"/>
          <w:numId w:val="4"/>
        </w:numPr>
        <w:rPr>
          <w:rFonts w:ascii="Arial" w:hAnsi="Arial" w:cs="Arial"/>
          <w:sz w:val="24"/>
          <w:szCs w:val="24"/>
        </w:rPr>
      </w:pPr>
      <w:r w:rsidRPr="00FE4FCF">
        <w:rPr>
          <w:rFonts w:ascii="Arial" w:hAnsi="Arial" w:cs="Arial"/>
          <w:sz w:val="24"/>
          <w:szCs w:val="24"/>
        </w:rPr>
        <w:t>Enable information, gathered throughout the process, to be accumulated and reviewed to evaluate and plan future Adult Social Care services;</w:t>
      </w:r>
    </w:p>
    <w:p w:rsidR="0077341F" w:rsidRPr="00FE4FCF" w:rsidRDefault="00F8645A" w:rsidP="00912524">
      <w:pPr>
        <w:pStyle w:val="NoSpacing"/>
        <w:numPr>
          <w:ilvl w:val="0"/>
          <w:numId w:val="4"/>
        </w:numPr>
        <w:rPr>
          <w:rFonts w:ascii="Arial" w:hAnsi="Arial" w:cs="Arial"/>
          <w:sz w:val="24"/>
          <w:szCs w:val="24"/>
        </w:rPr>
      </w:pPr>
      <w:r w:rsidRPr="00FE4FCF">
        <w:rPr>
          <w:rFonts w:ascii="Arial" w:hAnsi="Arial" w:cs="Arial"/>
          <w:sz w:val="24"/>
          <w:szCs w:val="24"/>
        </w:rPr>
        <w:lastRenderedPageBreak/>
        <w:t>R</w:t>
      </w:r>
      <w:r w:rsidR="0077341F" w:rsidRPr="00FE4FCF">
        <w:rPr>
          <w:rFonts w:ascii="Arial" w:hAnsi="Arial" w:cs="Arial"/>
          <w:sz w:val="24"/>
          <w:szCs w:val="24"/>
        </w:rPr>
        <w:t xml:space="preserve">eporting data sets are </w:t>
      </w:r>
      <w:r w:rsidRPr="00FE4FCF">
        <w:rPr>
          <w:rFonts w:ascii="Arial" w:hAnsi="Arial" w:cs="Arial"/>
          <w:sz w:val="24"/>
          <w:szCs w:val="24"/>
        </w:rPr>
        <w:t>established</w:t>
      </w:r>
      <w:r w:rsidR="0077341F" w:rsidRPr="00FE4FCF">
        <w:rPr>
          <w:rFonts w:ascii="Arial" w:hAnsi="Arial" w:cs="Arial"/>
          <w:sz w:val="24"/>
          <w:szCs w:val="24"/>
        </w:rPr>
        <w:t xml:space="preserve"> to measure impact of </w:t>
      </w:r>
      <w:r w:rsidRPr="00FE4FCF">
        <w:rPr>
          <w:rFonts w:ascii="Arial" w:hAnsi="Arial" w:cs="Arial"/>
          <w:sz w:val="24"/>
          <w:szCs w:val="24"/>
        </w:rPr>
        <w:t xml:space="preserve">services including the diverse range of needs and </w:t>
      </w:r>
      <w:r w:rsidR="0077341F" w:rsidRPr="00FE4FCF">
        <w:rPr>
          <w:rFonts w:ascii="Arial" w:hAnsi="Arial" w:cs="Arial"/>
          <w:sz w:val="24"/>
          <w:szCs w:val="24"/>
        </w:rPr>
        <w:t xml:space="preserve">equality characteristics. </w:t>
      </w:r>
    </w:p>
    <w:p w:rsidR="00F8645A" w:rsidRPr="00FE4FCF" w:rsidRDefault="00F8645A" w:rsidP="00F8645A">
      <w:pPr>
        <w:tabs>
          <w:tab w:val="left" w:pos="0"/>
          <w:tab w:val="left" w:pos="720"/>
          <w:tab w:val="left" w:pos="1134"/>
          <w:tab w:val="left" w:pos="1701"/>
          <w:tab w:val="left" w:pos="9540"/>
        </w:tabs>
        <w:spacing w:after="0" w:line="240" w:lineRule="auto"/>
        <w:jc w:val="both"/>
        <w:rPr>
          <w:rFonts w:ascii="Arial" w:eastAsia="Times New Roman" w:hAnsi="Arial" w:cs="Arial"/>
          <w:sz w:val="24"/>
          <w:szCs w:val="24"/>
        </w:rPr>
      </w:pPr>
    </w:p>
    <w:p w:rsidR="00F8645A" w:rsidRPr="00FE4FCF" w:rsidRDefault="00F8645A" w:rsidP="00F8645A">
      <w:pPr>
        <w:spacing w:after="160"/>
        <w:rPr>
          <w:rFonts w:ascii="Arial" w:eastAsia="Times New Roman" w:hAnsi="Arial" w:cs="Arial"/>
          <w:b/>
          <w:color w:val="000000"/>
          <w:sz w:val="24"/>
          <w:szCs w:val="24"/>
          <w:lang w:val="en-US"/>
        </w:rPr>
      </w:pPr>
      <w:r w:rsidRPr="00FE4FCF">
        <w:rPr>
          <w:rFonts w:ascii="Arial" w:eastAsia="Times New Roman" w:hAnsi="Arial" w:cs="Arial"/>
          <w:b/>
          <w:color w:val="000000"/>
          <w:sz w:val="24"/>
          <w:szCs w:val="24"/>
          <w:lang w:val="en-US"/>
        </w:rPr>
        <w:t xml:space="preserve">Scope </w:t>
      </w:r>
    </w:p>
    <w:p w:rsidR="00F8645A" w:rsidRPr="00FE4FCF" w:rsidRDefault="00F8645A" w:rsidP="00912524">
      <w:pPr>
        <w:pStyle w:val="NoSpacing"/>
        <w:rPr>
          <w:rFonts w:ascii="Arial" w:hAnsi="Arial" w:cs="Arial"/>
          <w:sz w:val="24"/>
          <w:szCs w:val="24"/>
          <w:lang w:val="en-US"/>
        </w:rPr>
      </w:pPr>
      <w:r w:rsidRPr="00FE4FCF">
        <w:rPr>
          <w:rFonts w:ascii="Arial" w:hAnsi="Arial" w:cs="Arial"/>
          <w:sz w:val="24"/>
          <w:szCs w:val="24"/>
          <w:lang w:val="en-US"/>
        </w:rPr>
        <w:t>The scope of the review include</w:t>
      </w:r>
      <w:r w:rsidR="00387649">
        <w:rPr>
          <w:rFonts w:ascii="Arial" w:hAnsi="Arial" w:cs="Arial"/>
          <w:sz w:val="24"/>
          <w:szCs w:val="24"/>
          <w:lang w:val="en-US"/>
        </w:rPr>
        <w:t>s</w:t>
      </w:r>
      <w:r w:rsidRPr="00FE4FCF">
        <w:rPr>
          <w:rFonts w:ascii="Arial" w:hAnsi="Arial" w:cs="Arial"/>
          <w:sz w:val="24"/>
          <w:szCs w:val="24"/>
          <w:lang w:val="en-US"/>
        </w:rPr>
        <w:t xml:space="preserve"> the current CSE Framework,</w:t>
      </w:r>
      <w:r w:rsidR="00912524" w:rsidRPr="00FE4FCF">
        <w:rPr>
          <w:rFonts w:ascii="Arial" w:hAnsi="Arial" w:cs="Arial"/>
          <w:sz w:val="24"/>
          <w:szCs w:val="24"/>
          <w:lang w:val="en-US"/>
        </w:rPr>
        <w:t xml:space="preserve"> which delivers Outreach and Accommodation based services.</w:t>
      </w:r>
      <w:r w:rsidR="00641694" w:rsidRPr="00FE4FCF">
        <w:rPr>
          <w:rFonts w:ascii="Arial" w:hAnsi="Arial" w:cs="Arial"/>
          <w:sz w:val="24"/>
          <w:szCs w:val="24"/>
          <w:lang w:val="en-US"/>
        </w:rPr>
        <w:t xml:space="preserve"> T</w:t>
      </w:r>
      <w:r w:rsidR="00912524" w:rsidRPr="00FE4FCF">
        <w:rPr>
          <w:rFonts w:ascii="Arial" w:hAnsi="Arial" w:cs="Arial"/>
          <w:sz w:val="24"/>
          <w:szCs w:val="24"/>
          <w:lang w:val="en-US"/>
        </w:rPr>
        <w:t xml:space="preserve">he current </w:t>
      </w:r>
      <w:r w:rsidRPr="00FE4FCF">
        <w:rPr>
          <w:rFonts w:ascii="Arial" w:hAnsi="Arial" w:cs="Arial"/>
          <w:sz w:val="24"/>
          <w:szCs w:val="24"/>
          <w:lang w:val="en-US"/>
        </w:rPr>
        <w:t>model, price, quality and outcomes</w:t>
      </w:r>
      <w:r w:rsidR="00387649">
        <w:rPr>
          <w:rFonts w:ascii="Arial" w:hAnsi="Arial" w:cs="Arial"/>
          <w:sz w:val="24"/>
          <w:szCs w:val="24"/>
          <w:lang w:val="en-US"/>
        </w:rPr>
        <w:t xml:space="preserve"> has been </w:t>
      </w:r>
      <w:r w:rsidR="00F9431B" w:rsidRPr="00FE4FCF">
        <w:rPr>
          <w:rFonts w:ascii="Arial" w:hAnsi="Arial" w:cs="Arial"/>
          <w:sz w:val="24"/>
          <w:szCs w:val="24"/>
          <w:lang w:val="en-US"/>
        </w:rPr>
        <w:t xml:space="preserve">evaluated in terms of outcomes and impact </w:t>
      </w:r>
      <w:r w:rsidRPr="00FE4FCF">
        <w:rPr>
          <w:rFonts w:ascii="Arial" w:hAnsi="Arial" w:cs="Arial"/>
          <w:sz w:val="24"/>
          <w:szCs w:val="24"/>
          <w:lang w:val="en-US"/>
        </w:rPr>
        <w:t xml:space="preserve">for citizens, providers and </w:t>
      </w:r>
      <w:r w:rsidR="00F4742B">
        <w:rPr>
          <w:rFonts w:ascii="Arial" w:hAnsi="Arial" w:cs="Arial"/>
          <w:sz w:val="24"/>
          <w:szCs w:val="24"/>
          <w:lang w:val="en-US"/>
        </w:rPr>
        <w:t>A</w:t>
      </w:r>
      <w:r w:rsidRPr="00FE4FCF">
        <w:rPr>
          <w:rFonts w:ascii="Arial" w:hAnsi="Arial" w:cs="Arial"/>
          <w:sz w:val="24"/>
          <w:szCs w:val="24"/>
          <w:lang w:val="en-US"/>
        </w:rPr>
        <w:t xml:space="preserve">dult </w:t>
      </w:r>
      <w:r w:rsidR="00F4742B">
        <w:rPr>
          <w:rFonts w:ascii="Arial" w:hAnsi="Arial" w:cs="Arial"/>
          <w:sz w:val="24"/>
          <w:szCs w:val="24"/>
          <w:lang w:val="en-US"/>
        </w:rPr>
        <w:t>S</w:t>
      </w:r>
      <w:r w:rsidRPr="00FE4FCF">
        <w:rPr>
          <w:rFonts w:ascii="Arial" w:hAnsi="Arial" w:cs="Arial"/>
          <w:sz w:val="24"/>
          <w:szCs w:val="24"/>
          <w:lang w:val="en-US"/>
        </w:rPr>
        <w:t xml:space="preserve">ocial </w:t>
      </w:r>
      <w:r w:rsidR="00F4742B">
        <w:rPr>
          <w:rFonts w:ascii="Arial" w:hAnsi="Arial" w:cs="Arial"/>
          <w:sz w:val="24"/>
          <w:szCs w:val="24"/>
          <w:lang w:val="en-US"/>
        </w:rPr>
        <w:t>C</w:t>
      </w:r>
      <w:r w:rsidRPr="00FE4FCF">
        <w:rPr>
          <w:rFonts w:ascii="Arial" w:hAnsi="Arial" w:cs="Arial"/>
          <w:sz w:val="24"/>
          <w:szCs w:val="24"/>
          <w:lang w:val="en-US"/>
        </w:rPr>
        <w:t>are as a whole delivery system</w:t>
      </w:r>
      <w:r w:rsidR="00F9431B" w:rsidRPr="00FE4FCF">
        <w:rPr>
          <w:rFonts w:ascii="Arial" w:hAnsi="Arial" w:cs="Arial"/>
          <w:sz w:val="24"/>
          <w:szCs w:val="24"/>
          <w:lang w:val="en-US"/>
        </w:rPr>
        <w:t>. A benchmarking exercise</w:t>
      </w:r>
      <w:r w:rsidR="00912524" w:rsidRPr="00FE4FCF">
        <w:rPr>
          <w:rFonts w:ascii="Arial" w:hAnsi="Arial" w:cs="Arial"/>
          <w:sz w:val="24"/>
          <w:szCs w:val="24"/>
          <w:lang w:val="en-US"/>
        </w:rPr>
        <w:t xml:space="preserve"> against neighbouring and similar local </w:t>
      </w:r>
      <w:r w:rsidR="00F9431B" w:rsidRPr="00FE4FCF">
        <w:rPr>
          <w:rFonts w:ascii="Arial" w:hAnsi="Arial" w:cs="Arial"/>
          <w:sz w:val="24"/>
          <w:szCs w:val="24"/>
          <w:lang w:val="en-US"/>
        </w:rPr>
        <w:t xml:space="preserve">authorities </w:t>
      </w:r>
      <w:r w:rsidR="00387649">
        <w:rPr>
          <w:rFonts w:ascii="Arial" w:hAnsi="Arial" w:cs="Arial"/>
          <w:sz w:val="24"/>
          <w:szCs w:val="24"/>
          <w:lang w:val="en-US"/>
        </w:rPr>
        <w:t>h</w:t>
      </w:r>
      <w:r w:rsidR="00F9431B" w:rsidRPr="00FE4FCF">
        <w:rPr>
          <w:rFonts w:ascii="Arial" w:hAnsi="Arial" w:cs="Arial"/>
          <w:sz w:val="24"/>
          <w:szCs w:val="24"/>
          <w:lang w:val="en-US"/>
        </w:rPr>
        <w:t xml:space="preserve">as also </w:t>
      </w:r>
      <w:r w:rsidR="00387649">
        <w:rPr>
          <w:rFonts w:ascii="Arial" w:hAnsi="Arial" w:cs="Arial"/>
          <w:sz w:val="24"/>
          <w:szCs w:val="24"/>
          <w:lang w:val="en-US"/>
        </w:rPr>
        <w:t xml:space="preserve">been </w:t>
      </w:r>
      <w:r w:rsidR="00F9431B" w:rsidRPr="00FE4FCF">
        <w:rPr>
          <w:rFonts w:ascii="Arial" w:hAnsi="Arial" w:cs="Arial"/>
          <w:sz w:val="24"/>
          <w:szCs w:val="24"/>
          <w:lang w:val="en-US"/>
        </w:rPr>
        <w:t>undertaken</w:t>
      </w:r>
      <w:r w:rsidR="00912524" w:rsidRPr="00FE4FCF">
        <w:rPr>
          <w:rFonts w:ascii="Arial" w:hAnsi="Arial" w:cs="Arial"/>
          <w:sz w:val="24"/>
          <w:szCs w:val="24"/>
          <w:lang w:val="en-US"/>
        </w:rPr>
        <w:t>.</w:t>
      </w:r>
    </w:p>
    <w:p w:rsidR="00912524" w:rsidRPr="00FE4FCF" w:rsidRDefault="00912524" w:rsidP="00912524">
      <w:pPr>
        <w:pStyle w:val="NoSpacing"/>
        <w:rPr>
          <w:rFonts w:ascii="Arial" w:hAnsi="Arial" w:cs="Arial"/>
          <w:sz w:val="24"/>
          <w:szCs w:val="24"/>
          <w:lang w:val="en-US"/>
        </w:rPr>
      </w:pPr>
    </w:p>
    <w:p w:rsidR="00F8645A" w:rsidRPr="00FE4FCF" w:rsidRDefault="00387649" w:rsidP="00912524">
      <w:pPr>
        <w:pStyle w:val="NoSpacing"/>
        <w:rPr>
          <w:rFonts w:ascii="Arial" w:hAnsi="Arial" w:cs="Arial"/>
          <w:sz w:val="24"/>
          <w:szCs w:val="24"/>
          <w:lang w:val="en-US"/>
        </w:rPr>
      </w:pPr>
      <w:r>
        <w:rPr>
          <w:rFonts w:ascii="Arial" w:hAnsi="Arial" w:cs="Arial"/>
          <w:sz w:val="24"/>
          <w:szCs w:val="24"/>
          <w:lang w:val="en-US"/>
        </w:rPr>
        <w:t>As part of the review the following questions have been considered</w:t>
      </w:r>
      <w:r w:rsidR="00F8645A" w:rsidRPr="00FE4FCF">
        <w:rPr>
          <w:rFonts w:ascii="Arial" w:hAnsi="Arial" w:cs="Arial"/>
          <w:sz w:val="24"/>
          <w:szCs w:val="24"/>
          <w:lang w:val="en-US"/>
        </w:rPr>
        <w:t>:</w:t>
      </w:r>
    </w:p>
    <w:p w:rsidR="00F8645A" w:rsidRPr="00FE4FCF" w:rsidRDefault="00F8645A" w:rsidP="00912524">
      <w:pPr>
        <w:pStyle w:val="NoSpacing"/>
        <w:numPr>
          <w:ilvl w:val="0"/>
          <w:numId w:val="5"/>
        </w:numPr>
        <w:rPr>
          <w:rFonts w:ascii="Arial" w:hAnsi="Arial" w:cs="Arial"/>
          <w:sz w:val="24"/>
          <w:szCs w:val="24"/>
          <w:lang w:val="en-US"/>
        </w:rPr>
      </w:pPr>
      <w:r w:rsidRPr="00FE4FCF">
        <w:rPr>
          <w:rFonts w:ascii="Arial" w:hAnsi="Arial" w:cs="Arial"/>
          <w:sz w:val="24"/>
          <w:szCs w:val="24"/>
          <w:lang w:val="en-US"/>
        </w:rPr>
        <w:t>How does the M</w:t>
      </w:r>
      <w:r w:rsidR="002A3DAB" w:rsidRPr="00FE4FCF">
        <w:rPr>
          <w:rFonts w:ascii="Arial" w:hAnsi="Arial" w:cs="Arial"/>
          <w:sz w:val="24"/>
          <w:szCs w:val="24"/>
          <w:lang w:val="en-US"/>
        </w:rPr>
        <w:t>ental Health</w:t>
      </w:r>
      <w:r w:rsidRPr="00FE4FCF">
        <w:rPr>
          <w:rFonts w:ascii="Arial" w:hAnsi="Arial" w:cs="Arial"/>
          <w:sz w:val="24"/>
          <w:szCs w:val="24"/>
          <w:lang w:val="en-US"/>
        </w:rPr>
        <w:t xml:space="preserve"> pathway fit with the CSE service delivery?</w:t>
      </w:r>
    </w:p>
    <w:p w:rsidR="00F8645A" w:rsidRPr="00FE4FCF" w:rsidRDefault="00F8645A" w:rsidP="00912524">
      <w:pPr>
        <w:pStyle w:val="NoSpacing"/>
        <w:numPr>
          <w:ilvl w:val="0"/>
          <w:numId w:val="5"/>
        </w:numPr>
        <w:rPr>
          <w:rFonts w:ascii="Arial" w:hAnsi="Arial" w:cs="Arial"/>
          <w:sz w:val="24"/>
          <w:szCs w:val="24"/>
          <w:lang w:val="en-US"/>
        </w:rPr>
      </w:pPr>
      <w:r w:rsidRPr="00FE4FCF">
        <w:rPr>
          <w:rFonts w:ascii="Arial" w:hAnsi="Arial" w:cs="Arial"/>
          <w:sz w:val="24"/>
          <w:szCs w:val="24"/>
          <w:lang w:val="en-US"/>
        </w:rPr>
        <w:t xml:space="preserve">Should </w:t>
      </w:r>
      <w:r w:rsidR="00912524" w:rsidRPr="00FE4FCF">
        <w:rPr>
          <w:rFonts w:ascii="Arial" w:hAnsi="Arial" w:cs="Arial"/>
          <w:sz w:val="24"/>
          <w:szCs w:val="24"/>
          <w:lang w:val="en-US"/>
        </w:rPr>
        <w:t xml:space="preserve">the </w:t>
      </w:r>
      <w:r w:rsidRPr="00FE4FCF">
        <w:rPr>
          <w:rFonts w:ascii="Arial" w:hAnsi="Arial" w:cs="Arial"/>
          <w:sz w:val="24"/>
          <w:szCs w:val="24"/>
          <w:lang w:val="en-US"/>
        </w:rPr>
        <w:t xml:space="preserve">Outreach </w:t>
      </w:r>
      <w:r w:rsidR="00912524" w:rsidRPr="00FE4FCF">
        <w:rPr>
          <w:rFonts w:ascii="Arial" w:hAnsi="Arial" w:cs="Arial"/>
          <w:sz w:val="24"/>
          <w:szCs w:val="24"/>
          <w:lang w:val="en-US"/>
        </w:rPr>
        <w:t xml:space="preserve">element of CSE </w:t>
      </w:r>
      <w:r w:rsidRPr="00FE4FCF">
        <w:rPr>
          <w:rFonts w:ascii="Arial" w:hAnsi="Arial" w:cs="Arial"/>
          <w:sz w:val="24"/>
          <w:szCs w:val="24"/>
          <w:lang w:val="en-US"/>
        </w:rPr>
        <w:t xml:space="preserve">be </w:t>
      </w:r>
      <w:r w:rsidR="00912524" w:rsidRPr="00FE4FCF">
        <w:rPr>
          <w:rFonts w:ascii="Arial" w:hAnsi="Arial" w:cs="Arial"/>
          <w:sz w:val="24"/>
          <w:szCs w:val="24"/>
          <w:lang w:val="en-US"/>
        </w:rPr>
        <w:t xml:space="preserve">considered as a </w:t>
      </w:r>
      <w:r w:rsidRPr="00FE4FCF">
        <w:rPr>
          <w:rFonts w:ascii="Arial" w:hAnsi="Arial" w:cs="Arial"/>
          <w:sz w:val="24"/>
          <w:szCs w:val="24"/>
          <w:lang w:val="en-US"/>
        </w:rPr>
        <w:t>Homecare</w:t>
      </w:r>
      <w:r w:rsidR="00912524" w:rsidRPr="00FE4FCF">
        <w:rPr>
          <w:rFonts w:ascii="Arial" w:hAnsi="Arial" w:cs="Arial"/>
          <w:sz w:val="24"/>
          <w:szCs w:val="24"/>
          <w:lang w:val="en-US"/>
        </w:rPr>
        <w:t xml:space="preserve"> service</w:t>
      </w:r>
      <w:r w:rsidRPr="00FE4FCF">
        <w:rPr>
          <w:rFonts w:ascii="Arial" w:hAnsi="Arial" w:cs="Arial"/>
          <w:sz w:val="24"/>
          <w:szCs w:val="24"/>
          <w:lang w:val="en-US"/>
        </w:rPr>
        <w:t>?</w:t>
      </w:r>
    </w:p>
    <w:p w:rsidR="00F8645A" w:rsidRPr="00FE4FCF" w:rsidRDefault="00F8645A" w:rsidP="00912524">
      <w:pPr>
        <w:pStyle w:val="NoSpacing"/>
        <w:numPr>
          <w:ilvl w:val="0"/>
          <w:numId w:val="5"/>
        </w:numPr>
        <w:rPr>
          <w:rFonts w:ascii="Arial" w:hAnsi="Arial" w:cs="Arial"/>
          <w:sz w:val="24"/>
          <w:szCs w:val="24"/>
          <w:lang w:val="en-US"/>
        </w:rPr>
      </w:pPr>
      <w:r w:rsidRPr="00FE4FCF">
        <w:rPr>
          <w:rFonts w:ascii="Arial" w:hAnsi="Arial" w:cs="Arial"/>
          <w:sz w:val="24"/>
          <w:szCs w:val="24"/>
          <w:lang w:val="en-US"/>
        </w:rPr>
        <w:t xml:space="preserve">How are we defining Complex </w:t>
      </w:r>
      <w:r w:rsidR="00387649">
        <w:rPr>
          <w:rFonts w:ascii="Arial" w:hAnsi="Arial" w:cs="Arial"/>
          <w:sz w:val="24"/>
          <w:szCs w:val="24"/>
          <w:lang w:val="en-US"/>
        </w:rPr>
        <w:t>N</w:t>
      </w:r>
      <w:r w:rsidR="00912524" w:rsidRPr="00FE4FCF">
        <w:rPr>
          <w:rFonts w:ascii="Arial" w:hAnsi="Arial" w:cs="Arial"/>
          <w:sz w:val="24"/>
          <w:szCs w:val="24"/>
          <w:lang w:val="en-US"/>
        </w:rPr>
        <w:t>eeds and Challenging Behaviour?</w:t>
      </w:r>
    </w:p>
    <w:p w:rsidR="00912524" w:rsidRPr="00FE4FCF" w:rsidRDefault="00912524" w:rsidP="00912524">
      <w:pPr>
        <w:pStyle w:val="NoSpacing"/>
        <w:rPr>
          <w:rFonts w:ascii="Arial" w:hAnsi="Arial" w:cs="Arial"/>
          <w:sz w:val="24"/>
          <w:szCs w:val="24"/>
          <w:lang w:val="en-US"/>
        </w:rPr>
      </w:pPr>
    </w:p>
    <w:p w:rsidR="0077341F" w:rsidRPr="00FE4FCF" w:rsidRDefault="00641694" w:rsidP="0077341F">
      <w:pPr>
        <w:rPr>
          <w:rFonts w:ascii="Arial" w:hAnsi="Arial" w:cs="Arial"/>
          <w:sz w:val="24"/>
          <w:szCs w:val="24"/>
        </w:rPr>
      </w:pPr>
      <w:r w:rsidRPr="00FE4FCF">
        <w:rPr>
          <w:rFonts w:ascii="Arial" w:hAnsi="Arial" w:cs="Arial"/>
          <w:b/>
          <w:sz w:val="24"/>
          <w:szCs w:val="24"/>
        </w:rPr>
        <w:t>Engagement and Consultation</w:t>
      </w:r>
    </w:p>
    <w:p w:rsidR="00F9431B" w:rsidRPr="00F4742B" w:rsidRDefault="00641694" w:rsidP="00F4742B">
      <w:pPr>
        <w:spacing w:after="0" w:line="240" w:lineRule="auto"/>
        <w:rPr>
          <w:rFonts w:ascii="Arial" w:hAnsi="Arial" w:cs="Arial"/>
          <w:sz w:val="24"/>
          <w:szCs w:val="24"/>
          <w:lang w:val="en-US"/>
        </w:rPr>
      </w:pPr>
      <w:r w:rsidRPr="00F4742B">
        <w:rPr>
          <w:rFonts w:ascii="Arial" w:hAnsi="Arial" w:cs="Arial"/>
          <w:sz w:val="24"/>
          <w:szCs w:val="24"/>
          <w:lang w:val="en-US"/>
        </w:rPr>
        <w:t xml:space="preserve">A series of consultation events </w:t>
      </w:r>
      <w:r w:rsidR="00F9431B" w:rsidRPr="00F4742B">
        <w:rPr>
          <w:rFonts w:ascii="Arial" w:hAnsi="Arial" w:cs="Arial"/>
          <w:sz w:val="24"/>
          <w:szCs w:val="24"/>
          <w:lang w:val="en-US"/>
        </w:rPr>
        <w:t xml:space="preserve">have </w:t>
      </w:r>
      <w:r w:rsidR="005C0E25" w:rsidRPr="00F4742B">
        <w:rPr>
          <w:rFonts w:ascii="Arial" w:hAnsi="Arial" w:cs="Arial"/>
          <w:sz w:val="24"/>
          <w:szCs w:val="24"/>
          <w:lang w:val="en-US"/>
        </w:rPr>
        <w:t>taken place</w:t>
      </w:r>
      <w:r w:rsidR="00F9431B" w:rsidRPr="00F4742B">
        <w:rPr>
          <w:rFonts w:ascii="Arial" w:hAnsi="Arial" w:cs="Arial"/>
          <w:sz w:val="24"/>
          <w:szCs w:val="24"/>
          <w:lang w:val="en-US"/>
        </w:rPr>
        <w:t xml:space="preserve"> with </w:t>
      </w:r>
      <w:r w:rsidR="00F4742B">
        <w:rPr>
          <w:rFonts w:ascii="Arial" w:hAnsi="Arial" w:cs="Arial"/>
          <w:sz w:val="24"/>
          <w:szCs w:val="24"/>
          <w:lang w:val="en-US"/>
        </w:rPr>
        <w:t>c</w:t>
      </w:r>
      <w:r w:rsidR="00F9431B" w:rsidRPr="00F4742B">
        <w:rPr>
          <w:rFonts w:ascii="Arial" w:hAnsi="Arial" w:cs="Arial"/>
          <w:sz w:val="24"/>
          <w:szCs w:val="24"/>
          <w:lang w:val="en-US"/>
        </w:rPr>
        <w:t xml:space="preserve">itizens and </w:t>
      </w:r>
      <w:r w:rsidR="00F4742B">
        <w:rPr>
          <w:rFonts w:ascii="Arial" w:hAnsi="Arial" w:cs="Arial"/>
          <w:sz w:val="24"/>
          <w:szCs w:val="24"/>
          <w:lang w:val="en-US"/>
        </w:rPr>
        <w:t>c</w:t>
      </w:r>
      <w:r w:rsidR="00F9431B" w:rsidRPr="00F4742B">
        <w:rPr>
          <w:rFonts w:ascii="Arial" w:hAnsi="Arial" w:cs="Arial"/>
          <w:sz w:val="24"/>
          <w:szCs w:val="24"/>
          <w:lang w:val="en-US"/>
        </w:rPr>
        <w:t xml:space="preserve">arers, SPLAT the Learning Disability </w:t>
      </w:r>
      <w:r w:rsidR="005C0E25" w:rsidRPr="00F4742B">
        <w:rPr>
          <w:rFonts w:ascii="Arial" w:hAnsi="Arial" w:cs="Arial"/>
          <w:sz w:val="24"/>
          <w:szCs w:val="24"/>
          <w:lang w:val="en-US"/>
        </w:rPr>
        <w:t>P</w:t>
      </w:r>
      <w:r w:rsidR="00F9431B" w:rsidRPr="00F4742B">
        <w:rPr>
          <w:rFonts w:ascii="Arial" w:hAnsi="Arial" w:cs="Arial"/>
          <w:sz w:val="24"/>
          <w:szCs w:val="24"/>
          <w:lang w:val="en-US"/>
        </w:rPr>
        <w:t xml:space="preserve">artnership Forum which includes </w:t>
      </w:r>
      <w:r w:rsidR="00F4742B">
        <w:rPr>
          <w:rFonts w:ascii="Arial" w:hAnsi="Arial" w:cs="Arial"/>
          <w:sz w:val="24"/>
          <w:szCs w:val="24"/>
          <w:lang w:val="en-US"/>
        </w:rPr>
        <w:t>a</w:t>
      </w:r>
      <w:r w:rsidR="00F9431B" w:rsidRPr="00F4742B">
        <w:rPr>
          <w:rFonts w:ascii="Arial" w:hAnsi="Arial" w:cs="Arial"/>
          <w:sz w:val="24"/>
          <w:szCs w:val="24"/>
          <w:lang w:val="en-US"/>
        </w:rPr>
        <w:t xml:space="preserve">utistic people, Providers, </w:t>
      </w:r>
      <w:r w:rsidR="00F4742B">
        <w:rPr>
          <w:rFonts w:ascii="Arial" w:hAnsi="Arial" w:cs="Arial"/>
          <w:sz w:val="24"/>
          <w:szCs w:val="24"/>
          <w:lang w:val="en-US"/>
        </w:rPr>
        <w:t>o</w:t>
      </w:r>
      <w:r w:rsidR="00F9431B" w:rsidRPr="00F4742B">
        <w:rPr>
          <w:rFonts w:ascii="Arial" w:hAnsi="Arial" w:cs="Arial"/>
          <w:sz w:val="24"/>
          <w:szCs w:val="24"/>
          <w:lang w:val="en-US"/>
        </w:rPr>
        <w:t>perational staff and other stakeholders including the voluntary sector.</w:t>
      </w:r>
    </w:p>
    <w:p w:rsidR="00F9431B" w:rsidRPr="00FE4FCF" w:rsidRDefault="00F9431B" w:rsidP="0077341F">
      <w:pPr>
        <w:rPr>
          <w:rFonts w:ascii="Arial" w:hAnsi="Arial" w:cs="Arial"/>
          <w:sz w:val="24"/>
          <w:szCs w:val="24"/>
        </w:rPr>
      </w:pPr>
      <w:r w:rsidRPr="00FE4FCF">
        <w:rPr>
          <w:rFonts w:ascii="Arial" w:hAnsi="Arial" w:cs="Arial"/>
          <w:sz w:val="24"/>
          <w:szCs w:val="24"/>
        </w:rPr>
        <w:t>The outcomes of feedback are available</w:t>
      </w:r>
      <w:r w:rsidR="00387649">
        <w:rPr>
          <w:rFonts w:ascii="Arial" w:hAnsi="Arial" w:cs="Arial"/>
          <w:sz w:val="24"/>
          <w:szCs w:val="24"/>
        </w:rPr>
        <w:t xml:space="preserve"> separately.</w:t>
      </w:r>
      <w:bookmarkStart w:id="0" w:name="_GoBack"/>
      <w:bookmarkEnd w:id="0"/>
    </w:p>
    <w:p w:rsidR="00F9431B" w:rsidRPr="00FE4FCF" w:rsidRDefault="00F9431B" w:rsidP="00F9431B">
      <w:pPr>
        <w:rPr>
          <w:rFonts w:ascii="Arial" w:hAnsi="Arial" w:cs="Arial"/>
          <w:b/>
          <w:sz w:val="24"/>
          <w:szCs w:val="24"/>
        </w:rPr>
      </w:pPr>
      <w:r w:rsidRPr="00FE4FCF">
        <w:rPr>
          <w:rFonts w:ascii="Arial" w:hAnsi="Arial" w:cs="Arial"/>
          <w:b/>
          <w:sz w:val="24"/>
          <w:szCs w:val="24"/>
        </w:rPr>
        <w:t>Timescales</w:t>
      </w:r>
    </w:p>
    <w:p w:rsidR="00F9431B" w:rsidRPr="00FE4FCF" w:rsidRDefault="00F9431B" w:rsidP="00F9431B">
      <w:pPr>
        <w:rPr>
          <w:rFonts w:ascii="Arial" w:hAnsi="Arial" w:cs="Arial"/>
          <w:sz w:val="24"/>
          <w:szCs w:val="24"/>
        </w:rPr>
      </w:pPr>
      <w:r w:rsidRPr="00FE4FCF">
        <w:rPr>
          <w:rFonts w:ascii="Arial" w:hAnsi="Arial" w:cs="Arial"/>
          <w:sz w:val="24"/>
          <w:szCs w:val="24"/>
        </w:rPr>
        <w:t xml:space="preserve">The provisional timescales for this review </w:t>
      </w:r>
      <w:r w:rsidR="00387649">
        <w:rPr>
          <w:rFonts w:ascii="Arial" w:hAnsi="Arial" w:cs="Arial"/>
          <w:sz w:val="24"/>
          <w:szCs w:val="24"/>
        </w:rPr>
        <w:t>are</w:t>
      </w:r>
      <w:r w:rsidRPr="00FE4FCF">
        <w:rPr>
          <w:rFonts w:ascii="Arial" w:hAnsi="Arial" w:cs="Arial"/>
          <w:sz w:val="24"/>
          <w:szCs w:val="24"/>
        </w:rPr>
        <w:t xml:space="preserve"> as follows:</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58"/>
        <w:gridCol w:w="2558"/>
        <w:gridCol w:w="2558"/>
      </w:tblGrid>
      <w:tr w:rsidR="00F9431B" w:rsidRPr="00FE4FCF" w:rsidTr="001E771A">
        <w:trPr>
          <w:trHeight w:val="566"/>
          <w:jc w:val="center"/>
        </w:trPr>
        <w:tc>
          <w:tcPr>
            <w:tcW w:w="2558" w:type="dxa"/>
            <w:shd w:val="clear" w:color="auto" w:fill="auto"/>
            <w:vAlign w:val="center"/>
          </w:tcPr>
          <w:p w:rsidR="00F9431B" w:rsidRPr="00FE4FCF" w:rsidRDefault="00F9431B" w:rsidP="001E771A">
            <w:pPr>
              <w:spacing w:before="120" w:after="120"/>
              <w:rPr>
                <w:rFonts w:ascii="Arial" w:hAnsi="Arial" w:cs="Arial"/>
                <w:sz w:val="24"/>
                <w:szCs w:val="24"/>
              </w:rPr>
            </w:pPr>
          </w:p>
        </w:tc>
        <w:tc>
          <w:tcPr>
            <w:tcW w:w="2558" w:type="dxa"/>
            <w:shd w:val="clear" w:color="auto" w:fill="auto"/>
            <w:vAlign w:val="center"/>
          </w:tcPr>
          <w:p w:rsidR="00F9431B" w:rsidRPr="00FE4FCF" w:rsidRDefault="00F9431B" w:rsidP="001E771A">
            <w:pPr>
              <w:spacing w:before="120" w:after="120"/>
              <w:jc w:val="center"/>
              <w:rPr>
                <w:rFonts w:ascii="Arial" w:hAnsi="Arial" w:cs="Arial"/>
                <w:b/>
                <w:sz w:val="24"/>
                <w:szCs w:val="24"/>
              </w:rPr>
            </w:pPr>
            <w:r w:rsidRPr="00FE4FCF">
              <w:rPr>
                <w:rFonts w:ascii="Arial" w:hAnsi="Arial" w:cs="Arial"/>
                <w:b/>
                <w:sz w:val="24"/>
                <w:szCs w:val="24"/>
              </w:rPr>
              <w:t>Start</w:t>
            </w:r>
          </w:p>
        </w:tc>
        <w:tc>
          <w:tcPr>
            <w:tcW w:w="2558" w:type="dxa"/>
            <w:shd w:val="clear" w:color="auto" w:fill="auto"/>
            <w:vAlign w:val="center"/>
          </w:tcPr>
          <w:p w:rsidR="00F9431B" w:rsidRPr="00FE4FCF" w:rsidRDefault="00F9431B" w:rsidP="001E771A">
            <w:pPr>
              <w:spacing w:before="120" w:after="120"/>
              <w:jc w:val="center"/>
              <w:rPr>
                <w:rFonts w:ascii="Arial" w:hAnsi="Arial" w:cs="Arial"/>
                <w:b/>
                <w:sz w:val="24"/>
                <w:szCs w:val="24"/>
              </w:rPr>
            </w:pPr>
            <w:r w:rsidRPr="00FE4FCF">
              <w:rPr>
                <w:rFonts w:ascii="Arial" w:hAnsi="Arial" w:cs="Arial"/>
                <w:b/>
                <w:sz w:val="24"/>
                <w:szCs w:val="24"/>
              </w:rPr>
              <w:t>Finish</w:t>
            </w:r>
          </w:p>
        </w:tc>
      </w:tr>
      <w:tr w:rsidR="00F9431B" w:rsidRPr="00FE4FCF" w:rsidTr="001E771A">
        <w:trPr>
          <w:trHeight w:val="598"/>
          <w:jc w:val="center"/>
        </w:trPr>
        <w:tc>
          <w:tcPr>
            <w:tcW w:w="2558" w:type="dxa"/>
            <w:shd w:val="clear" w:color="auto" w:fill="auto"/>
            <w:vAlign w:val="center"/>
          </w:tcPr>
          <w:p w:rsidR="00F9431B" w:rsidRPr="00FE4FCF" w:rsidRDefault="00F9431B" w:rsidP="001E771A">
            <w:pPr>
              <w:spacing w:before="120" w:after="120"/>
              <w:rPr>
                <w:rFonts w:ascii="Arial" w:hAnsi="Arial" w:cs="Arial"/>
                <w:b/>
                <w:sz w:val="24"/>
                <w:szCs w:val="24"/>
              </w:rPr>
            </w:pPr>
            <w:r w:rsidRPr="00FE4FCF">
              <w:rPr>
                <w:rFonts w:ascii="Arial" w:hAnsi="Arial" w:cs="Arial"/>
                <w:b/>
                <w:sz w:val="24"/>
                <w:szCs w:val="24"/>
              </w:rPr>
              <w:t>Research and analysis</w:t>
            </w:r>
          </w:p>
        </w:tc>
        <w:tc>
          <w:tcPr>
            <w:tcW w:w="2558" w:type="dxa"/>
            <w:shd w:val="clear" w:color="auto" w:fill="auto"/>
            <w:vAlign w:val="center"/>
          </w:tcPr>
          <w:p w:rsidR="00F9431B" w:rsidRPr="00FE4FCF" w:rsidRDefault="00F9431B" w:rsidP="001E771A">
            <w:pPr>
              <w:spacing w:before="120" w:after="120"/>
              <w:rPr>
                <w:rFonts w:ascii="Arial" w:hAnsi="Arial" w:cs="Arial"/>
                <w:sz w:val="24"/>
                <w:szCs w:val="24"/>
              </w:rPr>
            </w:pPr>
            <w:r w:rsidRPr="00FE4FCF">
              <w:rPr>
                <w:rFonts w:ascii="Arial" w:hAnsi="Arial" w:cs="Arial"/>
                <w:sz w:val="24"/>
                <w:szCs w:val="24"/>
              </w:rPr>
              <w:t>January 2017</w:t>
            </w:r>
          </w:p>
        </w:tc>
        <w:tc>
          <w:tcPr>
            <w:tcW w:w="2558" w:type="dxa"/>
            <w:shd w:val="clear" w:color="auto" w:fill="auto"/>
            <w:vAlign w:val="center"/>
          </w:tcPr>
          <w:p w:rsidR="00F9431B" w:rsidRPr="00FE4FCF" w:rsidRDefault="00F9431B" w:rsidP="001E771A">
            <w:pPr>
              <w:spacing w:before="120" w:after="120"/>
              <w:rPr>
                <w:rFonts w:ascii="Arial" w:hAnsi="Arial" w:cs="Arial"/>
                <w:sz w:val="24"/>
                <w:szCs w:val="24"/>
              </w:rPr>
            </w:pPr>
            <w:r w:rsidRPr="00FE4FCF">
              <w:rPr>
                <w:rFonts w:ascii="Arial" w:hAnsi="Arial" w:cs="Arial"/>
                <w:sz w:val="24"/>
                <w:szCs w:val="24"/>
              </w:rPr>
              <w:t>April 2017</w:t>
            </w:r>
          </w:p>
        </w:tc>
      </w:tr>
      <w:tr w:rsidR="00F9431B" w:rsidRPr="00FE4FCF" w:rsidTr="001E771A">
        <w:trPr>
          <w:trHeight w:val="566"/>
          <w:jc w:val="center"/>
        </w:trPr>
        <w:tc>
          <w:tcPr>
            <w:tcW w:w="2558" w:type="dxa"/>
            <w:shd w:val="clear" w:color="auto" w:fill="auto"/>
            <w:vAlign w:val="center"/>
          </w:tcPr>
          <w:p w:rsidR="00F9431B" w:rsidRPr="00FE4FCF" w:rsidRDefault="00F9431B" w:rsidP="001E771A">
            <w:pPr>
              <w:spacing w:before="120" w:after="120"/>
              <w:rPr>
                <w:rFonts w:ascii="Arial" w:hAnsi="Arial" w:cs="Arial"/>
                <w:b/>
                <w:sz w:val="24"/>
                <w:szCs w:val="24"/>
              </w:rPr>
            </w:pPr>
            <w:r w:rsidRPr="00FE4FCF">
              <w:rPr>
                <w:rFonts w:ascii="Arial" w:hAnsi="Arial" w:cs="Arial"/>
                <w:b/>
                <w:sz w:val="24"/>
                <w:szCs w:val="24"/>
              </w:rPr>
              <w:t>Planning new services</w:t>
            </w:r>
          </w:p>
        </w:tc>
        <w:tc>
          <w:tcPr>
            <w:tcW w:w="2558" w:type="dxa"/>
            <w:shd w:val="clear" w:color="auto" w:fill="auto"/>
            <w:vAlign w:val="center"/>
          </w:tcPr>
          <w:p w:rsidR="00F9431B" w:rsidRPr="00FE4FCF" w:rsidRDefault="00F9431B" w:rsidP="00F9431B">
            <w:pPr>
              <w:spacing w:before="120" w:after="120"/>
              <w:rPr>
                <w:rFonts w:ascii="Arial" w:hAnsi="Arial" w:cs="Arial"/>
                <w:sz w:val="24"/>
                <w:szCs w:val="24"/>
              </w:rPr>
            </w:pPr>
            <w:r w:rsidRPr="00FE4FCF">
              <w:rPr>
                <w:rFonts w:ascii="Arial" w:hAnsi="Arial" w:cs="Arial"/>
                <w:sz w:val="24"/>
                <w:szCs w:val="24"/>
              </w:rPr>
              <w:t>May 2017</w:t>
            </w:r>
          </w:p>
        </w:tc>
        <w:tc>
          <w:tcPr>
            <w:tcW w:w="2558" w:type="dxa"/>
            <w:shd w:val="clear" w:color="auto" w:fill="auto"/>
            <w:vAlign w:val="center"/>
          </w:tcPr>
          <w:p w:rsidR="00F9431B" w:rsidRPr="00FE4FCF" w:rsidRDefault="00F9431B" w:rsidP="00F9431B">
            <w:pPr>
              <w:spacing w:before="120" w:after="120"/>
              <w:rPr>
                <w:rFonts w:ascii="Arial" w:hAnsi="Arial" w:cs="Arial"/>
                <w:sz w:val="24"/>
                <w:szCs w:val="24"/>
              </w:rPr>
            </w:pPr>
            <w:r w:rsidRPr="00FE4FCF">
              <w:rPr>
                <w:rFonts w:ascii="Arial" w:hAnsi="Arial" w:cs="Arial"/>
                <w:sz w:val="24"/>
                <w:szCs w:val="24"/>
              </w:rPr>
              <w:t>June 2017</w:t>
            </w:r>
          </w:p>
        </w:tc>
      </w:tr>
      <w:tr w:rsidR="00F9431B" w:rsidRPr="00FE4FCF" w:rsidTr="001E771A">
        <w:trPr>
          <w:trHeight w:val="1134"/>
          <w:jc w:val="center"/>
        </w:trPr>
        <w:tc>
          <w:tcPr>
            <w:tcW w:w="2558" w:type="dxa"/>
            <w:shd w:val="clear" w:color="auto" w:fill="auto"/>
            <w:vAlign w:val="center"/>
          </w:tcPr>
          <w:p w:rsidR="00F9431B" w:rsidRPr="00FE4FCF" w:rsidRDefault="00F9431B" w:rsidP="001E771A">
            <w:pPr>
              <w:spacing w:before="120" w:after="120"/>
              <w:rPr>
                <w:rFonts w:ascii="Arial" w:hAnsi="Arial" w:cs="Arial"/>
                <w:b/>
                <w:sz w:val="24"/>
                <w:szCs w:val="24"/>
              </w:rPr>
            </w:pPr>
            <w:r w:rsidRPr="00FE4FCF">
              <w:rPr>
                <w:rFonts w:ascii="Arial" w:hAnsi="Arial" w:cs="Arial"/>
                <w:b/>
                <w:sz w:val="24"/>
                <w:szCs w:val="24"/>
              </w:rPr>
              <w:t>Procurement and implementation</w:t>
            </w:r>
          </w:p>
        </w:tc>
        <w:tc>
          <w:tcPr>
            <w:tcW w:w="2558" w:type="dxa"/>
            <w:shd w:val="clear" w:color="auto" w:fill="auto"/>
            <w:vAlign w:val="center"/>
          </w:tcPr>
          <w:p w:rsidR="00F9431B" w:rsidRPr="00FE4FCF" w:rsidRDefault="00F9431B" w:rsidP="001E771A">
            <w:pPr>
              <w:spacing w:before="120" w:after="120"/>
              <w:rPr>
                <w:rFonts w:ascii="Arial" w:hAnsi="Arial" w:cs="Arial"/>
                <w:sz w:val="24"/>
                <w:szCs w:val="24"/>
              </w:rPr>
            </w:pPr>
            <w:r w:rsidRPr="00FE4FCF">
              <w:rPr>
                <w:rFonts w:ascii="Arial" w:hAnsi="Arial" w:cs="Arial"/>
                <w:sz w:val="24"/>
                <w:szCs w:val="24"/>
              </w:rPr>
              <w:t>Autumn 2017</w:t>
            </w:r>
          </w:p>
        </w:tc>
        <w:tc>
          <w:tcPr>
            <w:tcW w:w="2558" w:type="dxa"/>
            <w:shd w:val="clear" w:color="auto" w:fill="auto"/>
            <w:vAlign w:val="center"/>
          </w:tcPr>
          <w:p w:rsidR="00F9431B" w:rsidRPr="00FE4FCF" w:rsidRDefault="00F9431B" w:rsidP="001E771A">
            <w:pPr>
              <w:spacing w:before="120" w:after="120"/>
              <w:rPr>
                <w:rFonts w:ascii="Arial" w:hAnsi="Arial" w:cs="Arial"/>
                <w:sz w:val="24"/>
                <w:szCs w:val="24"/>
              </w:rPr>
            </w:pPr>
            <w:r w:rsidRPr="00FE4FCF">
              <w:rPr>
                <w:rFonts w:ascii="Arial" w:hAnsi="Arial" w:cs="Arial"/>
                <w:sz w:val="24"/>
                <w:szCs w:val="24"/>
              </w:rPr>
              <w:t>February 2018</w:t>
            </w:r>
          </w:p>
        </w:tc>
      </w:tr>
      <w:tr w:rsidR="00F9431B" w:rsidRPr="00FE4FCF" w:rsidTr="001E771A">
        <w:trPr>
          <w:trHeight w:val="598"/>
          <w:jc w:val="center"/>
        </w:trPr>
        <w:tc>
          <w:tcPr>
            <w:tcW w:w="2558" w:type="dxa"/>
            <w:shd w:val="clear" w:color="auto" w:fill="auto"/>
            <w:vAlign w:val="center"/>
          </w:tcPr>
          <w:p w:rsidR="00F9431B" w:rsidRPr="00FE4FCF" w:rsidRDefault="00F9431B" w:rsidP="001E771A">
            <w:pPr>
              <w:spacing w:before="120" w:after="120"/>
              <w:rPr>
                <w:rFonts w:ascii="Arial" w:hAnsi="Arial" w:cs="Arial"/>
                <w:b/>
                <w:sz w:val="24"/>
                <w:szCs w:val="24"/>
              </w:rPr>
            </w:pPr>
            <w:r w:rsidRPr="00FE4FCF">
              <w:rPr>
                <w:rFonts w:ascii="Arial" w:hAnsi="Arial" w:cs="Arial"/>
                <w:b/>
                <w:sz w:val="24"/>
                <w:szCs w:val="24"/>
              </w:rPr>
              <w:t>New arrangements begin</w:t>
            </w:r>
          </w:p>
        </w:tc>
        <w:tc>
          <w:tcPr>
            <w:tcW w:w="2558" w:type="dxa"/>
            <w:shd w:val="clear" w:color="auto" w:fill="auto"/>
            <w:vAlign w:val="center"/>
          </w:tcPr>
          <w:p w:rsidR="00F9431B" w:rsidRPr="00FE4FCF" w:rsidRDefault="00F9431B" w:rsidP="001E771A">
            <w:pPr>
              <w:spacing w:before="120" w:after="120"/>
              <w:rPr>
                <w:rFonts w:ascii="Arial" w:hAnsi="Arial" w:cs="Arial"/>
                <w:sz w:val="24"/>
                <w:szCs w:val="24"/>
              </w:rPr>
            </w:pPr>
            <w:r w:rsidRPr="00FE4FCF">
              <w:rPr>
                <w:rFonts w:ascii="Arial" w:hAnsi="Arial" w:cs="Arial"/>
                <w:sz w:val="24"/>
                <w:szCs w:val="24"/>
              </w:rPr>
              <w:t>March 2018</w:t>
            </w:r>
          </w:p>
        </w:tc>
        <w:tc>
          <w:tcPr>
            <w:tcW w:w="2558" w:type="dxa"/>
            <w:shd w:val="clear" w:color="auto" w:fill="auto"/>
            <w:vAlign w:val="center"/>
          </w:tcPr>
          <w:p w:rsidR="00F9431B" w:rsidRPr="00FE4FCF" w:rsidRDefault="00F9431B" w:rsidP="001E771A">
            <w:pPr>
              <w:spacing w:before="120" w:after="120"/>
              <w:rPr>
                <w:rFonts w:ascii="Arial" w:hAnsi="Arial" w:cs="Arial"/>
                <w:sz w:val="24"/>
                <w:szCs w:val="24"/>
              </w:rPr>
            </w:pPr>
          </w:p>
        </w:tc>
      </w:tr>
    </w:tbl>
    <w:p w:rsidR="00F9431B" w:rsidRPr="00FE4FCF" w:rsidRDefault="00F9431B" w:rsidP="0077341F">
      <w:pPr>
        <w:rPr>
          <w:rFonts w:ascii="Arial" w:hAnsi="Arial" w:cs="Arial"/>
          <w:sz w:val="24"/>
          <w:szCs w:val="24"/>
        </w:rPr>
      </w:pPr>
    </w:p>
    <w:p w:rsidR="00F9431B" w:rsidRPr="00FE4FCF" w:rsidRDefault="00F9431B" w:rsidP="0077341F">
      <w:pPr>
        <w:rPr>
          <w:rFonts w:ascii="Arial" w:hAnsi="Arial" w:cs="Arial"/>
          <w:sz w:val="24"/>
          <w:szCs w:val="24"/>
        </w:rPr>
      </w:pPr>
    </w:p>
    <w:sectPr w:rsidR="00F9431B" w:rsidRPr="00FE4FCF" w:rsidSect="00FE4FCF">
      <w:pgSz w:w="11906" w:h="16838"/>
      <w:pgMar w:top="107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362F8"/>
    <w:multiLevelType w:val="hybridMultilevel"/>
    <w:tmpl w:val="29AC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1F03CD"/>
    <w:multiLevelType w:val="hybridMultilevel"/>
    <w:tmpl w:val="FD22C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123FD3"/>
    <w:multiLevelType w:val="hybridMultilevel"/>
    <w:tmpl w:val="9F587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DF6E01"/>
    <w:multiLevelType w:val="hybridMultilevel"/>
    <w:tmpl w:val="DF8E0E1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15:restartNumberingAfterBreak="0">
    <w:nsid w:val="72E4683C"/>
    <w:multiLevelType w:val="hybridMultilevel"/>
    <w:tmpl w:val="1F30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AB"/>
    <w:rsid w:val="002A3DAB"/>
    <w:rsid w:val="00387649"/>
    <w:rsid w:val="004364AE"/>
    <w:rsid w:val="005C0E25"/>
    <w:rsid w:val="006239AB"/>
    <w:rsid w:val="00641694"/>
    <w:rsid w:val="00731134"/>
    <w:rsid w:val="0077341F"/>
    <w:rsid w:val="0078101F"/>
    <w:rsid w:val="00912524"/>
    <w:rsid w:val="00972D22"/>
    <w:rsid w:val="009B032E"/>
    <w:rsid w:val="00B8356D"/>
    <w:rsid w:val="00C50ECA"/>
    <w:rsid w:val="00F4742B"/>
    <w:rsid w:val="00F8645A"/>
    <w:rsid w:val="00F9431B"/>
    <w:rsid w:val="00FE4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E964"/>
  <w15:chartTrackingRefBased/>
  <w15:docId w15:val="{905B2F8C-C4C9-4621-A951-E63F0769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2524"/>
    <w:pPr>
      <w:spacing w:after="0" w:line="240" w:lineRule="auto"/>
    </w:pPr>
  </w:style>
  <w:style w:type="paragraph" w:styleId="Header">
    <w:name w:val="header"/>
    <w:basedOn w:val="Normal"/>
    <w:link w:val="HeaderChar"/>
    <w:rsid w:val="00FE4FC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E4F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Bramwell</dc:creator>
  <cp:keywords/>
  <dc:description/>
  <cp:lastModifiedBy>Glenys Townsend</cp:lastModifiedBy>
  <cp:revision>5</cp:revision>
  <cp:lastPrinted>2017-10-30T14:02:00Z</cp:lastPrinted>
  <dcterms:created xsi:type="dcterms:W3CDTF">2017-10-30T15:21:00Z</dcterms:created>
  <dcterms:modified xsi:type="dcterms:W3CDTF">2017-10-31T09:01:00Z</dcterms:modified>
</cp:coreProperties>
</file>