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19D" w:rsidRDefault="00FC419D" w:rsidP="00FC419D">
      <w:pPr>
        <w:jc w:val="right"/>
      </w:pPr>
      <w:r>
        <w:rPr>
          <w:noProof/>
          <w:lang w:eastAsia="en-GB"/>
        </w:rPr>
        <w:drawing>
          <wp:inline distT="0" distB="0" distL="0" distR="0" wp14:anchorId="44427F94" wp14:editId="4625304D">
            <wp:extent cx="1403350" cy="457200"/>
            <wp:effectExtent l="0" t="0" r="6350" b="0"/>
            <wp:docPr id="1" name="Picture 1"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350" cy="457200"/>
                    </a:xfrm>
                    <a:prstGeom prst="rect">
                      <a:avLst/>
                    </a:prstGeom>
                    <a:noFill/>
                    <a:ln>
                      <a:noFill/>
                    </a:ln>
                  </pic:spPr>
                </pic:pic>
              </a:graphicData>
            </a:graphic>
          </wp:inline>
        </w:drawing>
      </w:r>
    </w:p>
    <w:p w:rsidR="00FC419D" w:rsidRPr="00843C01" w:rsidRDefault="00FC419D" w:rsidP="00FC419D">
      <w:pPr>
        <w:ind w:left="720"/>
        <w:jc w:val="center"/>
        <w:rPr>
          <w:rFonts w:ascii="Arial" w:hAnsi="Arial" w:cs="Arial"/>
          <w:b/>
          <w:sz w:val="24"/>
          <w:szCs w:val="24"/>
        </w:rPr>
      </w:pPr>
      <w:r w:rsidRPr="00843C01">
        <w:rPr>
          <w:rFonts w:ascii="Arial" w:hAnsi="Arial" w:cs="Arial"/>
          <w:b/>
          <w:sz w:val="24"/>
          <w:szCs w:val="24"/>
        </w:rPr>
        <w:t>DESIGNATED PUBLIC PLACE ORDERS</w:t>
      </w:r>
      <w:r w:rsidR="00843C01" w:rsidRPr="00843C01">
        <w:rPr>
          <w:rFonts w:ascii="Arial" w:hAnsi="Arial" w:cs="Arial"/>
          <w:b/>
          <w:sz w:val="24"/>
          <w:szCs w:val="24"/>
        </w:rPr>
        <w:t xml:space="preserve"> (‘DPPOs’) </w:t>
      </w:r>
      <w:r w:rsidRPr="00843C01">
        <w:rPr>
          <w:rFonts w:ascii="Arial" w:hAnsi="Arial" w:cs="Arial"/>
          <w:b/>
          <w:sz w:val="24"/>
          <w:szCs w:val="24"/>
        </w:rPr>
        <w:t xml:space="preserve">MADE BY </w:t>
      </w:r>
      <w:r w:rsidR="00843C01" w:rsidRPr="00843C01">
        <w:rPr>
          <w:rFonts w:ascii="Arial" w:hAnsi="Arial" w:cs="Arial"/>
          <w:b/>
          <w:sz w:val="24"/>
          <w:szCs w:val="24"/>
        </w:rPr>
        <w:t xml:space="preserve">NOTTINGHAM CITY COUNCIL </w:t>
      </w:r>
      <w:r w:rsidR="000A6C3E">
        <w:rPr>
          <w:rFonts w:ascii="Arial" w:hAnsi="Arial" w:cs="Arial"/>
          <w:b/>
          <w:sz w:val="24"/>
          <w:szCs w:val="24"/>
        </w:rPr>
        <w:t xml:space="preserve">TO BE </w:t>
      </w:r>
      <w:r w:rsidR="00843C01">
        <w:rPr>
          <w:rFonts w:ascii="Arial" w:hAnsi="Arial" w:cs="Arial"/>
          <w:b/>
          <w:sz w:val="24"/>
          <w:szCs w:val="24"/>
        </w:rPr>
        <w:t xml:space="preserve">TREATED </w:t>
      </w:r>
      <w:r w:rsidR="00843C01" w:rsidRPr="00843C01">
        <w:rPr>
          <w:rFonts w:ascii="Arial" w:hAnsi="Arial" w:cs="Arial"/>
          <w:b/>
          <w:sz w:val="24"/>
          <w:szCs w:val="24"/>
        </w:rPr>
        <w:t>AS</w:t>
      </w:r>
      <w:r w:rsidRPr="00843C01">
        <w:rPr>
          <w:rFonts w:ascii="Arial" w:hAnsi="Arial" w:cs="Arial"/>
          <w:b/>
          <w:sz w:val="24"/>
          <w:szCs w:val="24"/>
        </w:rPr>
        <w:t xml:space="preserve"> PUBLIC SPACES PROTECTION ORDER</w:t>
      </w:r>
      <w:r w:rsidR="00843C01" w:rsidRPr="00843C01">
        <w:rPr>
          <w:rFonts w:ascii="Arial" w:hAnsi="Arial" w:cs="Arial"/>
          <w:b/>
          <w:sz w:val="24"/>
          <w:szCs w:val="24"/>
        </w:rPr>
        <w:t>S (‘PSPOs’)</w:t>
      </w:r>
      <w:r w:rsidRPr="00843C01">
        <w:rPr>
          <w:rFonts w:ascii="Arial" w:hAnsi="Arial" w:cs="Arial"/>
          <w:b/>
          <w:sz w:val="24"/>
          <w:szCs w:val="24"/>
        </w:rPr>
        <w:t xml:space="preserve"> </w:t>
      </w:r>
      <w:r w:rsidR="00843C01" w:rsidRPr="00843C01">
        <w:rPr>
          <w:rFonts w:ascii="Arial" w:hAnsi="Arial" w:cs="Arial"/>
          <w:b/>
          <w:sz w:val="24"/>
          <w:szCs w:val="24"/>
        </w:rPr>
        <w:t>FROM 20 OCTOBER 2017</w:t>
      </w:r>
    </w:p>
    <w:p w:rsidR="003B0BCD" w:rsidRDefault="003B0BCD" w:rsidP="00FC419D">
      <w:pPr>
        <w:rPr>
          <w:rFonts w:ascii="Arial" w:hAnsi="Arial" w:cs="Arial"/>
          <w:sz w:val="24"/>
          <w:szCs w:val="24"/>
        </w:rPr>
      </w:pPr>
      <w:r>
        <w:rPr>
          <w:rFonts w:ascii="Arial" w:hAnsi="Arial" w:cs="Arial"/>
          <w:sz w:val="24"/>
          <w:szCs w:val="24"/>
        </w:rPr>
        <w:t xml:space="preserve">DPPOs designate </w:t>
      </w:r>
      <w:r w:rsidR="00C26D45">
        <w:rPr>
          <w:rFonts w:ascii="Arial" w:hAnsi="Arial" w:cs="Arial"/>
          <w:sz w:val="24"/>
          <w:szCs w:val="24"/>
        </w:rPr>
        <w:t xml:space="preserve">public </w:t>
      </w:r>
      <w:r>
        <w:rPr>
          <w:rFonts w:ascii="Arial" w:hAnsi="Arial" w:cs="Arial"/>
          <w:sz w:val="24"/>
          <w:szCs w:val="24"/>
        </w:rPr>
        <w:t>areas where the consumption of alcohol is restricted. I</w:t>
      </w:r>
      <w:r w:rsidR="00C26D45">
        <w:rPr>
          <w:rFonts w:ascii="Arial" w:hAnsi="Arial" w:cs="Arial"/>
          <w:sz w:val="24"/>
          <w:szCs w:val="24"/>
        </w:rPr>
        <w:t>n a place where a DPPO applies authorised officers currently have the power to require a person not to drink alcohol in that area where that officer reasonably believes that the person has, or intends to do so. In addition authorised officers have the power to ask that person to surrender the alcohol and any opened or sealed containers in their possession. It is an offence to fail to comply with this requirement.</w:t>
      </w:r>
    </w:p>
    <w:p w:rsidR="00FC419D" w:rsidRPr="00D66271" w:rsidRDefault="00FC419D" w:rsidP="00FC419D">
      <w:pPr>
        <w:rPr>
          <w:rFonts w:ascii="Arial" w:hAnsi="Arial" w:cs="Arial"/>
          <w:sz w:val="24"/>
          <w:szCs w:val="24"/>
        </w:rPr>
      </w:pPr>
      <w:r>
        <w:rPr>
          <w:rFonts w:ascii="Arial" w:hAnsi="Arial" w:cs="Arial"/>
          <w:sz w:val="24"/>
          <w:szCs w:val="24"/>
        </w:rPr>
        <w:t>T</w:t>
      </w:r>
      <w:r w:rsidRPr="00D66271">
        <w:rPr>
          <w:rFonts w:ascii="Arial" w:hAnsi="Arial" w:cs="Arial"/>
          <w:sz w:val="24"/>
          <w:szCs w:val="24"/>
        </w:rPr>
        <w:t>his document</w:t>
      </w:r>
      <w:r w:rsidR="00843C01">
        <w:rPr>
          <w:rFonts w:ascii="Arial" w:hAnsi="Arial" w:cs="Arial"/>
          <w:sz w:val="24"/>
          <w:szCs w:val="24"/>
        </w:rPr>
        <w:t xml:space="preserve"> summarises the changes to DPPOs made by Nottingham City Council (‘the </w:t>
      </w:r>
      <w:r w:rsidR="001F5537">
        <w:rPr>
          <w:rFonts w:ascii="Arial" w:hAnsi="Arial" w:cs="Arial"/>
          <w:sz w:val="24"/>
          <w:szCs w:val="24"/>
        </w:rPr>
        <w:t>Authority</w:t>
      </w:r>
      <w:r w:rsidR="00843C01">
        <w:rPr>
          <w:rFonts w:ascii="Arial" w:hAnsi="Arial" w:cs="Arial"/>
          <w:sz w:val="24"/>
          <w:szCs w:val="24"/>
        </w:rPr>
        <w:t>’)</w:t>
      </w:r>
      <w:r w:rsidR="00C26D45">
        <w:rPr>
          <w:rFonts w:ascii="Arial" w:hAnsi="Arial" w:cs="Arial"/>
          <w:sz w:val="24"/>
          <w:szCs w:val="24"/>
        </w:rPr>
        <w:t>,</w:t>
      </w:r>
      <w:r w:rsidR="00843C01">
        <w:rPr>
          <w:rFonts w:ascii="Arial" w:hAnsi="Arial" w:cs="Arial"/>
          <w:sz w:val="24"/>
          <w:szCs w:val="24"/>
        </w:rPr>
        <w:t xml:space="preserve"> which will be treated as PSPO</w:t>
      </w:r>
      <w:r w:rsidR="00C26D45">
        <w:rPr>
          <w:rFonts w:ascii="Arial" w:hAnsi="Arial" w:cs="Arial"/>
          <w:sz w:val="24"/>
          <w:szCs w:val="24"/>
        </w:rPr>
        <w:t>s</w:t>
      </w:r>
      <w:r w:rsidR="00843C01">
        <w:rPr>
          <w:rFonts w:ascii="Arial" w:hAnsi="Arial" w:cs="Arial"/>
          <w:sz w:val="24"/>
          <w:szCs w:val="24"/>
        </w:rPr>
        <w:t xml:space="preserve"> from </w:t>
      </w:r>
      <w:r w:rsidR="00C26D45">
        <w:rPr>
          <w:rFonts w:ascii="Arial" w:hAnsi="Arial" w:cs="Arial"/>
          <w:sz w:val="24"/>
          <w:szCs w:val="24"/>
        </w:rPr>
        <w:t>20 October 2017</w:t>
      </w:r>
      <w:r w:rsidR="00843C01">
        <w:rPr>
          <w:rFonts w:ascii="Arial" w:hAnsi="Arial" w:cs="Arial"/>
          <w:sz w:val="24"/>
          <w:szCs w:val="24"/>
        </w:rPr>
        <w:t xml:space="preserve"> with ‘necessary modifications’.</w:t>
      </w:r>
    </w:p>
    <w:p w:rsidR="00FC419D" w:rsidRPr="00A60A75" w:rsidRDefault="001E4476" w:rsidP="00FC419D">
      <w:pPr>
        <w:spacing w:after="0" w:line="240" w:lineRule="auto"/>
        <w:jc w:val="both"/>
        <w:rPr>
          <w:rFonts w:ascii="Arial" w:hAnsi="Arial" w:cs="Arial"/>
          <w:sz w:val="24"/>
          <w:szCs w:val="24"/>
          <w:u w:val="single"/>
        </w:rPr>
      </w:pPr>
      <w:r>
        <w:rPr>
          <w:rFonts w:ascii="Arial" w:hAnsi="Arial" w:cs="Arial"/>
          <w:b/>
          <w:sz w:val="24"/>
          <w:szCs w:val="24"/>
          <w:u w:val="single"/>
        </w:rPr>
        <w:t>Summary</w:t>
      </w:r>
      <w:r w:rsidR="00FC419D" w:rsidRPr="00A60A75">
        <w:rPr>
          <w:rFonts w:ascii="Arial" w:hAnsi="Arial" w:cs="Arial"/>
          <w:sz w:val="24"/>
          <w:szCs w:val="24"/>
          <w:u w:val="single"/>
        </w:rPr>
        <w:t>:</w:t>
      </w:r>
    </w:p>
    <w:p w:rsidR="00FC419D" w:rsidRPr="002B1DD8" w:rsidRDefault="00FC419D" w:rsidP="00FC419D">
      <w:pPr>
        <w:spacing w:after="0" w:line="240" w:lineRule="auto"/>
        <w:jc w:val="both"/>
        <w:rPr>
          <w:rFonts w:ascii="Arial" w:hAnsi="Arial" w:cs="Arial"/>
          <w:color w:val="FF0000"/>
          <w:sz w:val="24"/>
          <w:szCs w:val="24"/>
          <w:u w:val="single"/>
        </w:rPr>
      </w:pPr>
    </w:p>
    <w:p w:rsidR="00FC419D" w:rsidRDefault="00FC419D" w:rsidP="00FC419D">
      <w:pPr>
        <w:spacing w:after="0" w:line="240" w:lineRule="auto"/>
        <w:jc w:val="both"/>
        <w:rPr>
          <w:rFonts w:ascii="Arial" w:hAnsi="Arial" w:cs="Arial"/>
          <w:sz w:val="24"/>
          <w:szCs w:val="24"/>
        </w:rPr>
      </w:pPr>
      <w:r>
        <w:rPr>
          <w:rFonts w:ascii="Arial" w:hAnsi="Arial" w:cs="Arial"/>
          <w:sz w:val="24"/>
          <w:szCs w:val="24"/>
        </w:rPr>
        <w:t xml:space="preserve">DPPOs were made under </w:t>
      </w:r>
      <w:r w:rsidR="00CF552B">
        <w:rPr>
          <w:rFonts w:ascii="Arial" w:hAnsi="Arial" w:cs="Arial"/>
          <w:sz w:val="24"/>
          <w:szCs w:val="24"/>
        </w:rPr>
        <w:t xml:space="preserve">section 13 of </w:t>
      </w:r>
      <w:r>
        <w:rPr>
          <w:rFonts w:ascii="Arial" w:hAnsi="Arial" w:cs="Arial"/>
          <w:sz w:val="24"/>
          <w:szCs w:val="24"/>
        </w:rPr>
        <w:t>the Criminal Justice and Police Act 2001 (</w:t>
      </w:r>
      <w:r w:rsidR="00843C01">
        <w:rPr>
          <w:rFonts w:ascii="Arial" w:hAnsi="Arial" w:cs="Arial"/>
          <w:sz w:val="24"/>
          <w:szCs w:val="24"/>
        </w:rPr>
        <w:t>‘</w:t>
      </w:r>
      <w:r>
        <w:rPr>
          <w:rFonts w:ascii="Arial" w:hAnsi="Arial" w:cs="Arial"/>
          <w:sz w:val="24"/>
          <w:szCs w:val="24"/>
        </w:rPr>
        <w:t>2001 Act</w:t>
      </w:r>
      <w:r w:rsidR="00843C01">
        <w:rPr>
          <w:rFonts w:ascii="Arial" w:hAnsi="Arial" w:cs="Arial"/>
          <w:sz w:val="24"/>
          <w:szCs w:val="24"/>
        </w:rPr>
        <w:t>’</w:t>
      </w:r>
      <w:r>
        <w:rPr>
          <w:rFonts w:ascii="Arial" w:hAnsi="Arial" w:cs="Arial"/>
          <w:sz w:val="24"/>
          <w:szCs w:val="24"/>
        </w:rPr>
        <w:t>), which is no</w:t>
      </w:r>
      <w:r w:rsidR="00843C01">
        <w:rPr>
          <w:rFonts w:ascii="Arial" w:hAnsi="Arial" w:cs="Arial"/>
          <w:sz w:val="24"/>
          <w:szCs w:val="24"/>
        </w:rPr>
        <w:t xml:space="preserve"> longer in force</w:t>
      </w:r>
      <w:r>
        <w:rPr>
          <w:rFonts w:ascii="Arial" w:hAnsi="Arial" w:cs="Arial"/>
          <w:sz w:val="24"/>
          <w:szCs w:val="24"/>
        </w:rPr>
        <w:t>. However,</w:t>
      </w:r>
      <w:r w:rsidR="00843C01">
        <w:rPr>
          <w:rFonts w:ascii="Arial" w:hAnsi="Arial" w:cs="Arial"/>
          <w:sz w:val="24"/>
          <w:szCs w:val="24"/>
        </w:rPr>
        <w:t xml:space="preserve"> under the Anti-social Behaviour, Crime and Policing Act 2014 (‘the 2014 Act’) DPPOs made by the </w:t>
      </w:r>
      <w:r w:rsidR="001F5537">
        <w:rPr>
          <w:rFonts w:ascii="Arial" w:hAnsi="Arial" w:cs="Arial"/>
          <w:sz w:val="24"/>
          <w:szCs w:val="24"/>
        </w:rPr>
        <w:t>Authority</w:t>
      </w:r>
      <w:r w:rsidR="000A6C3E">
        <w:rPr>
          <w:rFonts w:ascii="Arial" w:hAnsi="Arial" w:cs="Arial"/>
          <w:sz w:val="24"/>
          <w:szCs w:val="24"/>
        </w:rPr>
        <w:t>,</w:t>
      </w:r>
      <w:r w:rsidR="00843C01">
        <w:rPr>
          <w:rFonts w:ascii="Arial" w:hAnsi="Arial" w:cs="Arial"/>
          <w:sz w:val="24"/>
          <w:szCs w:val="24"/>
        </w:rPr>
        <w:t xml:space="preserve"> </w:t>
      </w:r>
      <w:r w:rsidR="00A84AE4">
        <w:rPr>
          <w:rFonts w:ascii="Arial" w:hAnsi="Arial" w:cs="Arial"/>
          <w:sz w:val="24"/>
          <w:szCs w:val="24"/>
        </w:rPr>
        <w:t xml:space="preserve">listed as ‘THE </w:t>
      </w:r>
      <w:r w:rsidR="001051B6">
        <w:rPr>
          <w:rFonts w:ascii="Arial" w:hAnsi="Arial" w:cs="Arial"/>
          <w:sz w:val="24"/>
          <w:szCs w:val="24"/>
        </w:rPr>
        <w:t xml:space="preserve">NOTTINGHAM </w:t>
      </w:r>
      <w:r w:rsidR="00A84AE4">
        <w:rPr>
          <w:rFonts w:ascii="Arial" w:hAnsi="Arial" w:cs="Arial"/>
          <w:sz w:val="24"/>
          <w:szCs w:val="24"/>
        </w:rPr>
        <w:t>DPPOs’ in the table below</w:t>
      </w:r>
      <w:r w:rsidR="000A6C3E">
        <w:rPr>
          <w:rFonts w:ascii="Arial" w:hAnsi="Arial" w:cs="Arial"/>
          <w:sz w:val="24"/>
          <w:szCs w:val="24"/>
        </w:rPr>
        <w:t>,</w:t>
      </w:r>
      <w:r w:rsidR="00A84AE4">
        <w:rPr>
          <w:rFonts w:ascii="Arial" w:hAnsi="Arial" w:cs="Arial"/>
          <w:sz w:val="24"/>
          <w:szCs w:val="24"/>
        </w:rPr>
        <w:t xml:space="preserve"> </w:t>
      </w:r>
      <w:r w:rsidR="00843C01">
        <w:rPr>
          <w:rFonts w:ascii="Arial" w:hAnsi="Arial" w:cs="Arial"/>
          <w:sz w:val="24"/>
          <w:szCs w:val="24"/>
        </w:rPr>
        <w:t>remain in force as DPPOs until 20 October 2017</w:t>
      </w:r>
      <w:r>
        <w:rPr>
          <w:rFonts w:ascii="Arial" w:hAnsi="Arial" w:cs="Arial"/>
          <w:sz w:val="24"/>
          <w:szCs w:val="24"/>
        </w:rPr>
        <w:t>.</w:t>
      </w:r>
    </w:p>
    <w:p w:rsidR="00FC419D" w:rsidRDefault="00FC419D" w:rsidP="00FC419D">
      <w:pPr>
        <w:spacing w:after="0" w:line="240" w:lineRule="auto"/>
        <w:jc w:val="both"/>
        <w:rPr>
          <w:rFonts w:ascii="Arial" w:hAnsi="Arial" w:cs="Arial"/>
          <w:sz w:val="24"/>
          <w:szCs w:val="24"/>
        </w:rPr>
      </w:pPr>
    </w:p>
    <w:p w:rsidR="001051B6" w:rsidRDefault="00197AAB" w:rsidP="00FC419D">
      <w:pPr>
        <w:spacing w:after="0" w:line="240" w:lineRule="auto"/>
        <w:jc w:val="both"/>
        <w:rPr>
          <w:rFonts w:ascii="Arial" w:hAnsi="Arial" w:cs="Arial"/>
          <w:sz w:val="24"/>
          <w:szCs w:val="24"/>
        </w:rPr>
      </w:pPr>
      <w:r>
        <w:rPr>
          <w:rFonts w:ascii="Arial" w:hAnsi="Arial" w:cs="Arial"/>
          <w:sz w:val="24"/>
          <w:szCs w:val="24"/>
        </w:rPr>
        <w:t>Under section 75 of the 2014 Act</w:t>
      </w:r>
      <w:r w:rsidRPr="00197AAB">
        <w:rPr>
          <w:rFonts w:ascii="Arial" w:hAnsi="Arial" w:cs="Arial"/>
          <w:sz w:val="24"/>
          <w:szCs w:val="24"/>
        </w:rPr>
        <w:t xml:space="preserve"> </w:t>
      </w:r>
      <w:r>
        <w:rPr>
          <w:rFonts w:ascii="Arial" w:hAnsi="Arial" w:cs="Arial"/>
          <w:sz w:val="24"/>
          <w:szCs w:val="24"/>
        </w:rPr>
        <w:t xml:space="preserve">any DPPO that is still in force </w:t>
      </w:r>
      <w:r w:rsidR="00A84AE4">
        <w:rPr>
          <w:rFonts w:ascii="Arial" w:hAnsi="Arial" w:cs="Arial"/>
          <w:sz w:val="24"/>
          <w:szCs w:val="24"/>
        </w:rPr>
        <w:t>on 20 October 2017</w:t>
      </w:r>
      <w:r>
        <w:rPr>
          <w:rFonts w:ascii="Arial" w:hAnsi="Arial" w:cs="Arial"/>
          <w:sz w:val="24"/>
          <w:szCs w:val="24"/>
        </w:rPr>
        <w:t xml:space="preserve"> </w:t>
      </w:r>
      <w:r w:rsidR="001051B6">
        <w:rPr>
          <w:rFonts w:ascii="Arial" w:hAnsi="Arial" w:cs="Arial"/>
          <w:sz w:val="24"/>
          <w:szCs w:val="24"/>
        </w:rPr>
        <w:t>(</w:t>
      </w:r>
      <w:r w:rsidR="00C26D45">
        <w:rPr>
          <w:rFonts w:ascii="Arial" w:hAnsi="Arial" w:cs="Arial"/>
          <w:sz w:val="24"/>
          <w:szCs w:val="24"/>
        </w:rPr>
        <w:t xml:space="preserve">including </w:t>
      </w:r>
      <w:r w:rsidR="001051B6">
        <w:rPr>
          <w:rFonts w:ascii="Arial" w:hAnsi="Arial" w:cs="Arial"/>
          <w:sz w:val="24"/>
          <w:szCs w:val="24"/>
        </w:rPr>
        <w:t xml:space="preserve">THE NOTTINGHAM DPPOs) </w:t>
      </w:r>
      <w:r>
        <w:rPr>
          <w:rFonts w:ascii="Arial" w:hAnsi="Arial" w:cs="Arial"/>
          <w:sz w:val="24"/>
          <w:szCs w:val="24"/>
        </w:rPr>
        <w:t xml:space="preserve">will </w:t>
      </w:r>
      <w:r w:rsidRPr="000A6C3E">
        <w:rPr>
          <w:rFonts w:ascii="Arial" w:hAnsi="Arial" w:cs="Arial"/>
          <w:sz w:val="24"/>
          <w:szCs w:val="24"/>
        </w:rPr>
        <w:t>remain in force as if the provisions of the DPPO were provisions of a PSPO</w:t>
      </w:r>
      <w:r w:rsidR="00A84AE4" w:rsidRPr="001051B6">
        <w:rPr>
          <w:rFonts w:ascii="Arial" w:hAnsi="Arial" w:cs="Arial"/>
          <w:sz w:val="24"/>
          <w:szCs w:val="24"/>
        </w:rPr>
        <w:t xml:space="preserve"> </w:t>
      </w:r>
      <w:r w:rsidR="00A84AE4">
        <w:rPr>
          <w:rFonts w:ascii="Arial" w:hAnsi="Arial" w:cs="Arial"/>
          <w:sz w:val="24"/>
          <w:szCs w:val="24"/>
        </w:rPr>
        <w:t>with any necessary modifications.</w:t>
      </w:r>
      <w:r w:rsidR="001051B6">
        <w:rPr>
          <w:rFonts w:ascii="Arial" w:hAnsi="Arial" w:cs="Arial"/>
          <w:sz w:val="24"/>
          <w:szCs w:val="24"/>
        </w:rPr>
        <w:t xml:space="preserve"> </w:t>
      </w:r>
    </w:p>
    <w:p w:rsidR="001051B6" w:rsidRDefault="001051B6" w:rsidP="00FC419D">
      <w:pPr>
        <w:spacing w:after="0" w:line="240" w:lineRule="auto"/>
        <w:jc w:val="both"/>
        <w:rPr>
          <w:rFonts w:ascii="Arial" w:hAnsi="Arial" w:cs="Arial"/>
          <w:sz w:val="24"/>
          <w:szCs w:val="24"/>
        </w:rPr>
      </w:pPr>
    </w:p>
    <w:p w:rsidR="00197AAB" w:rsidRDefault="001051B6" w:rsidP="00FC419D">
      <w:pPr>
        <w:spacing w:after="0" w:line="240" w:lineRule="auto"/>
        <w:jc w:val="both"/>
        <w:rPr>
          <w:rFonts w:ascii="Arial" w:hAnsi="Arial" w:cs="Arial"/>
          <w:sz w:val="24"/>
          <w:szCs w:val="24"/>
        </w:rPr>
      </w:pPr>
      <w:r>
        <w:rPr>
          <w:rFonts w:ascii="Arial" w:hAnsi="Arial" w:cs="Arial"/>
          <w:sz w:val="24"/>
          <w:szCs w:val="24"/>
        </w:rPr>
        <w:t xml:space="preserve">Copies of THE NOTTINGHAM DPPOs can be found on the </w:t>
      </w:r>
      <w:r w:rsidR="001F5537">
        <w:rPr>
          <w:rFonts w:ascii="Arial" w:hAnsi="Arial" w:cs="Arial"/>
          <w:sz w:val="24"/>
          <w:szCs w:val="24"/>
        </w:rPr>
        <w:t>Authority’s</w:t>
      </w:r>
      <w:r w:rsidR="00166626">
        <w:rPr>
          <w:rFonts w:ascii="Arial" w:hAnsi="Arial" w:cs="Arial"/>
          <w:sz w:val="24"/>
          <w:szCs w:val="24"/>
        </w:rPr>
        <w:t xml:space="preserve"> website </w:t>
      </w:r>
      <w:hyperlink r:id="rId9" w:history="1">
        <w:r w:rsidR="00166626" w:rsidRPr="000E2268">
          <w:rPr>
            <w:rStyle w:val="Hyperlink"/>
            <w:rFonts w:ascii="Arial" w:hAnsi="Arial" w:cs="Arial"/>
            <w:sz w:val="24"/>
            <w:szCs w:val="24"/>
          </w:rPr>
          <w:t>www.nottinghamcity.gov.uk</w:t>
        </w:r>
      </w:hyperlink>
      <w:r w:rsidR="00166626">
        <w:rPr>
          <w:rFonts w:ascii="Arial" w:hAnsi="Arial" w:cs="Arial"/>
          <w:sz w:val="24"/>
          <w:szCs w:val="24"/>
        </w:rPr>
        <w:t xml:space="preserve"> </w:t>
      </w:r>
      <w:bookmarkStart w:id="0" w:name="_GoBack"/>
      <w:bookmarkEnd w:id="0"/>
      <w:r>
        <w:rPr>
          <w:rFonts w:ascii="Arial" w:hAnsi="Arial" w:cs="Arial"/>
          <w:sz w:val="24"/>
          <w:szCs w:val="24"/>
        </w:rPr>
        <w:t xml:space="preserve"> </w:t>
      </w:r>
      <w:r w:rsidR="00166626">
        <w:rPr>
          <w:rFonts w:ascii="Arial" w:hAnsi="Arial" w:cs="Arial"/>
          <w:sz w:val="24"/>
          <w:szCs w:val="24"/>
        </w:rPr>
        <w:t xml:space="preserve"> </w:t>
      </w:r>
    </w:p>
    <w:p w:rsidR="00A84AE4" w:rsidRDefault="00A84AE4" w:rsidP="00FC419D">
      <w:pPr>
        <w:spacing w:after="0" w:line="240" w:lineRule="auto"/>
        <w:jc w:val="both"/>
        <w:rPr>
          <w:rFonts w:ascii="Arial" w:hAnsi="Arial" w:cs="Arial"/>
          <w:sz w:val="24"/>
          <w:szCs w:val="24"/>
        </w:rPr>
      </w:pPr>
    </w:p>
    <w:p w:rsidR="00FC419D" w:rsidRDefault="00FC419D" w:rsidP="00FC419D">
      <w:pPr>
        <w:spacing w:after="0" w:line="240" w:lineRule="auto"/>
        <w:jc w:val="both"/>
        <w:rPr>
          <w:rFonts w:ascii="Arial" w:hAnsi="Arial" w:cs="Arial"/>
          <w:sz w:val="24"/>
          <w:szCs w:val="24"/>
        </w:rPr>
      </w:pPr>
      <w:r>
        <w:rPr>
          <w:rFonts w:ascii="Arial" w:hAnsi="Arial" w:cs="Arial"/>
          <w:sz w:val="24"/>
          <w:szCs w:val="24"/>
        </w:rPr>
        <w:t xml:space="preserve">DPPOs set out the land that is designated by each order, </w:t>
      </w:r>
      <w:r w:rsidR="00DD09F3">
        <w:rPr>
          <w:rFonts w:ascii="Arial" w:hAnsi="Arial" w:cs="Arial"/>
          <w:sz w:val="24"/>
          <w:szCs w:val="24"/>
        </w:rPr>
        <w:t>with</w:t>
      </w:r>
      <w:r>
        <w:rPr>
          <w:rFonts w:ascii="Arial" w:hAnsi="Arial" w:cs="Arial"/>
          <w:sz w:val="24"/>
          <w:szCs w:val="24"/>
        </w:rPr>
        <w:t xml:space="preserve"> the detail contained in the 2001 Act.  </w:t>
      </w:r>
      <w:r w:rsidR="001051B6">
        <w:rPr>
          <w:rFonts w:ascii="Arial" w:hAnsi="Arial" w:cs="Arial"/>
          <w:sz w:val="24"/>
          <w:szCs w:val="24"/>
        </w:rPr>
        <w:t xml:space="preserve">However, from 20 October 2017 </w:t>
      </w:r>
      <w:r w:rsidR="00DD09F3">
        <w:rPr>
          <w:rFonts w:ascii="Arial" w:hAnsi="Arial" w:cs="Arial"/>
          <w:sz w:val="24"/>
          <w:szCs w:val="24"/>
        </w:rPr>
        <w:t xml:space="preserve">the 2001 Act provisions will no longer apply to DPPOs and </w:t>
      </w:r>
      <w:r w:rsidR="001051B6">
        <w:rPr>
          <w:rFonts w:ascii="Arial" w:hAnsi="Arial" w:cs="Arial"/>
          <w:sz w:val="24"/>
          <w:szCs w:val="24"/>
        </w:rPr>
        <w:t xml:space="preserve">‘necessary modifications’ </w:t>
      </w:r>
      <w:r w:rsidR="000A6C3E">
        <w:rPr>
          <w:rFonts w:ascii="Arial" w:hAnsi="Arial" w:cs="Arial"/>
          <w:sz w:val="24"/>
          <w:szCs w:val="24"/>
        </w:rPr>
        <w:t>such as</w:t>
      </w:r>
      <w:r w:rsidR="003B0BCD">
        <w:rPr>
          <w:rFonts w:ascii="Arial" w:hAnsi="Arial" w:cs="Arial"/>
          <w:sz w:val="24"/>
          <w:szCs w:val="24"/>
        </w:rPr>
        <w:t xml:space="preserve"> provisions regarding ‘</w:t>
      </w:r>
      <w:r w:rsidR="003B0BCD" w:rsidRPr="001F5537">
        <w:rPr>
          <w:rFonts w:ascii="Arial" w:hAnsi="Arial" w:cs="Arial"/>
          <w:b/>
          <w:sz w:val="24"/>
          <w:szCs w:val="24"/>
        </w:rPr>
        <w:t>Prohibition on consuming alcohol</w:t>
      </w:r>
      <w:r w:rsidR="003B0BCD">
        <w:rPr>
          <w:rFonts w:ascii="Arial" w:hAnsi="Arial" w:cs="Arial"/>
          <w:sz w:val="24"/>
          <w:szCs w:val="24"/>
        </w:rPr>
        <w:t>’ in section 62 and 63 of the 2014 Act</w:t>
      </w:r>
      <w:r w:rsidR="001051B6">
        <w:rPr>
          <w:rFonts w:ascii="Arial" w:hAnsi="Arial" w:cs="Arial"/>
          <w:sz w:val="24"/>
          <w:szCs w:val="24"/>
        </w:rPr>
        <w:t xml:space="preserve"> will</w:t>
      </w:r>
      <w:r w:rsidR="003B0BCD">
        <w:rPr>
          <w:rFonts w:ascii="Arial" w:hAnsi="Arial" w:cs="Arial"/>
          <w:sz w:val="24"/>
          <w:szCs w:val="24"/>
        </w:rPr>
        <w:t xml:space="preserve"> apply</w:t>
      </w:r>
      <w:r w:rsidR="001051B6">
        <w:rPr>
          <w:rFonts w:ascii="Arial" w:hAnsi="Arial" w:cs="Arial"/>
          <w:sz w:val="24"/>
          <w:szCs w:val="24"/>
        </w:rPr>
        <w:t xml:space="preserve"> to THE NOTTIN</w:t>
      </w:r>
      <w:r w:rsidR="003B0BCD">
        <w:rPr>
          <w:rFonts w:ascii="Arial" w:hAnsi="Arial" w:cs="Arial"/>
          <w:sz w:val="24"/>
          <w:szCs w:val="24"/>
        </w:rPr>
        <w:t>GHAM DPPOs</w:t>
      </w:r>
      <w:r w:rsidR="00DD09F3">
        <w:rPr>
          <w:rFonts w:ascii="Arial" w:hAnsi="Arial" w:cs="Arial"/>
          <w:sz w:val="24"/>
          <w:szCs w:val="24"/>
        </w:rPr>
        <w:t>, along with provision</w:t>
      </w:r>
      <w:r w:rsidR="003B0BCD">
        <w:rPr>
          <w:rFonts w:ascii="Arial" w:hAnsi="Arial" w:cs="Arial"/>
          <w:sz w:val="24"/>
          <w:szCs w:val="24"/>
        </w:rPr>
        <w:t xml:space="preserve"> regarding the duration of PSPOs (section 60 of the 2014 Act)</w:t>
      </w:r>
      <w:r>
        <w:rPr>
          <w:rFonts w:ascii="Arial" w:hAnsi="Arial" w:cs="Arial"/>
          <w:sz w:val="24"/>
          <w:szCs w:val="24"/>
        </w:rPr>
        <w:t>.</w:t>
      </w:r>
      <w:r w:rsidR="003B0BCD">
        <w:rPr>
          <w:rFonts w:ascii="Arial" w:hAnsi="Arial" w:cs="Arial"/>
          <w:sz w:val="24"/>
          <w:szCs w:val="24"/>
        </w:rPr>
        <w:t xml:space="preserve"> These provisions are detail</w:t>
      </w:r>
      <w:r w:rsidR="002F22BF">
        <w:rPr>
          <w:rFonts w:ascii="Arial" w:hAnsi="Arial" w:cs="Arial"/>
          <w:sz w:val="24"/>
          <w:szCs w:val="24"/>
        </w:rPr>
        <w:t>ed</w:t>
      </w:r>
      <w:r w:rsidR="003B0BCD">
        <w:rPr>
          <w:rFonts w:ascii="Arial" w:hAnsi="Arial" w:cs="Arial"/>
          <w:sz w:val="24"/>
          <w:szCs w:val="24"/>
        </w:rPr>
        <w:t xml:space="preserve"> below.</w:t>
      </w:r>
      <w:r>
        <w:rPr>
          <w:rFonts w:ascii="Arial" w:hAnsi="Arial" w:cs="Arial"/>
          <w:sz w:val="24"/>
          <w:szCs w:val="24"/>
        </w:rPr>
        <w:t xml:space="preserve">  </w:t>
      </w:r>
    </w:p>
    <w:p w:rsidR="003B0BCD" w:rsidRDefault="003B0BCD" w:rsidP="00FC419D">
      <w:pPr>
        <w:spacing w:after="0" w:line="240" w:lineRule="auto"/>
        <w:jc w:val="both"/>
        <w:rPr>
          <w:rFonts w:ascii="Arial" w:hAnsi="Arial" w:cs="Arial"/>
          <w:sz w:val="24"/>
          <w:szCs w:val="24"/>
        </w:rPr>
      </w:pPr>
    </w:p>
    <w:p w:rsidR="00DD09F3" w:rsidRDefault="00DD09F3" w:rsidP="00FC419D">
      <w:pPr>
        <w:spacing w:after="0" w:line="240" w:lineRule="auto"/>
        <w:jc w:val="both"/>
        <w:rPr>
          <w:rFonts w:ascii="Arial" w:hAnsi="Arial" w:cs="Arial"/>
          <w:sz w:val="24"/>
          <w:szCs w:val="24"/>
        </w:rPr>
      </w:pPr>
      <w:r>
        <w:rPr>
          <w:rFonts w:ascii="Arial" w:hAnsi="Arial" w:cs="Arial"/>
          <w:sz w:val="24"/>
          <w:szCs w:val="24"/>
        </w:rPr>
        <w:t xml:space="preserve">PSPOs </w:t>
      </w:r>
      <w:r w:rsidR="002F22BF">
        <w:rPr>
          <w:rFonts w:ascii="Arial" w:hAnsi="Arial" w:cs="Arial"/>
          <w:sz w:val="24"/>
          <w:szCs w:val="24"/>
        </w:rPr>
        <w:t xml:space="preserve">(including THE NOTTINGHAM DPPOs from 20 October 2017) </w:t>
      </w:r>
      <w:r>
        <w:rPr>
          <w:rFonts w:ascii="Arial" w:hAnsi="Arial" w:cs="Arial"/>
          <w:sz w:val="24"/>
          <w:szCs w:val="24"/>
        </w:rPr>
        <w:t>last for a maximum of three years, but can be extended for up to three years if the Authority is satisfied that the order is still necessary</w:t>
      </w:r>
      <w:r w:rsidR="002F22BF">
        <w:rPr>
          <w:rFonts w:ascii="Arial" w:hAnsi="Arial" w:cs="Arial"/>
          <w:sz w:val="24"/>
          <w:szCs w:val="24"/>
        </w:rPr>
        <w:t xml:space="preserve">, and </w:t>
      </w:r>
      <w:r>
        <w:rPr>
          <w:rFonts w:ascii="Arial" w:hAnsi="Arial" w:cs="Arial"/>
          <w:sz w:val="24"/>
          <w:szCs w:val="24"/>
        </w:rPr>
        <w:t>can be extended more than once.</w:t>
      </w:r>
    </w:p>
    <w:p w:rsidR="00DD09F3" w:rsidRDefault="00DD09F3" w:rsidP="00FC419D">
      <w:pPr>
        <w:spacing w:after="0" w:line="240" w:lineRule="auto"/>
        <w:jc w:val="both"/>
        <w:rPr>
          <w:rFonts w:ascii="Arial" w:hAnsi="Arial" w:cs="Arial"/>
          <w:sz w:val="24"/>
          <w:szCs w:val="24"/>
        </w:rPr>
      </w:pPr>
    </w:p>
    <w:p w:rsidR="00DD09F3" w:rsidRDefault="002F22BF" w:rsidP="00FC419D">
      <w:pPr>
        <w:spacing w:after="0" w:line="240" w:lineRule="auto"/>
        <w:jc w:val="both"/>
        <w:rPr>
          <w:rFonts w:ascii="Arial" w:hAnsi="Arial" w:cs="Arial"/>
          <w:sz w:val="24"/>
          <w:szCs w:val="24"/>
        </w:rPr>
      </w:pPr>
      <w:r>
        <w:rPr>
          <w:rFonts w:ascii="Arial" w:hAnsi="Arial" w:cs="Arial"/>
          <w:sz w:val="24"/>
          <w:szCs w:val="24"/>
        </w:rPr>
        <w:t xml:space="preserve">THE NOTTINGHAM DPPOs cover all publically accessible places such as highways, squares, pedestrian areas, public conveniences, doorways, entrances and other open areas within the administrative area of the Authority. However, THE NOTTINGHAM DPPOs do not apply to premises </w:t>
      </w:r>
      <w:r w:rsidR="000A6C3E">
        <w:rPr>
          <w:rFonts w:ascii="Arial" w:hAnsi="Arial" w:cs="Arial"/>
          <w:sz w:val="24"/>
          <w:szCs w:val="24"/>
        </w:rPr>
        <w:t xml:space="preserve">or its curtilage (a beer garden or pavement seating area) which is licenced </w:t>
      </w:r>
      <w:r>
        <w:rPr>
          <w:rFonts w:ascii="Arial" w:hAnsi="Arial" w:cs="Arial"/>
          <w:sz w:val="24"/>
          <w:szCs w:val="24"/>
        </w:rPr>
        <w:t>for the supply of alcohol as detailed below, or places were the consumption of alcohol is permitted on the highway (such as pavement cafes) as detailed below.</w:t>
      </w:r>
    </w:p>
    <w:p w:rsidR="002F22BF" w:rsidRDefault="002F22BF" w:rsidP="00FC419D">
      <w:pPr>
        <w:spacing w:after="0" w:line="240" w:lineRule="auto"/>
        <w:jc w:val="both"/>
        <w:rPr>
          <w:rFonts w:ascii="Arial" w:hAnsi="Arial" w:cs="Arial"/>
          <w:sz w:val="24"/>
          <w:szCs w:val="24"/>
        </w:rPr>
      </w:pPr>
    </w:p>
    <w:p w:rsidR="003B0BCD" w:rsidRDefault="002F22BF" w:rsidP="00FC419D">
      <w:pPr>
        <w:spacing w:after="0" w:line="240" w:lineRule="auto"/>
        <w:jc w:val="both"/>
        <w:rPr>
          <w:rFonts w:ascii="Arial" w:hAnsi="Arial" w:cs="Arial"/>
          <w:sz w:val="24"/>
          <w:szCs w:val="24"/>
        </w:rPr>
      </w:pPr>
      <w:r>
        <w:rPr>
          <w:rFonts w:ascii="Arial" w:hAnsi="Arial" w:cs="Arial"/>
          <w:sz w:val="24"/>
          <w:szCs w:val="24"/>
        </w:rPr>
        <w:lastRenderedPageBreak/>
        <w:t xml:space="preserve">It is not an offence to drink alcohol in </w:t>
      </w:r>
      <w:r w:rsidR="00FF095C">
        <w:rPr>
          <w:rFonts w:ascii="Arial" w:hAnsi="Arial" w:cs="Arial"/>
          <w:sz w:val="24"/>
          <w:szCs w:val="24"/>
        </w:rPr>
        <w:t>an area covered by THE NOTTINGHAM DPPOs. However, it is an offence to fail to comply with a request of an Authorised Person (which includes community protection officers, police officers and police community support officers</w:t>
      </w:r>
      <w:r w:rsidR="000A6C3E">
        <w:rPr>
          <w:rFonts w:ascii="Arial" w:hAnsi="Arial" w:cs="Arial"/>
          <w:sz w:val="24"/>
          <w:szCs w:val="24"/>
        </w:rPr>
        <w:t xml:space="preserve"> as detailed below</w:t>
      </w:r>
      <w:r w:rsidR="00FF095C">
        <w:rPr>
          <w:rFonts w:ascii="Arial" w:hAnsi="Arial" w:cs="Arial"/>
          <w:sz w:val="24"/>
          <w:szCs w:val="24"/>
        </w:rPr>
        <w:t xml:space="preserve">) to cease drinking or to surrender alcohol in these areas. The penalty on conviction is a fine not exceeding level 2 (currently £500). </w:t>
      </w:r>
      <w:r w:rsidR="001F5537">
        <w:rPr>
          <w:rFonts w:ascii="Arial" w:hAnsi="Arial" w:cs="Arial"/>
          <w:sz w:val="24"/>
          <w:szCs w:val="24"/>
        </w:rPr>
        <w:t>A fixed penalty notice</w:t>
      </w:r>
      <w:r w:rsidR="00166626">
        <w:rPr>
          <w:rFonts w:ascii="Arial" w:hAnsi="Arial" w:cs="Arial"/>
          <w:sz w:val="24"/>
          <w:szCs w:val="24"/>
        </w:rPr>
        <w:t xml:space="preserve"> of £70, reduced to £35 if paid within 10 days,</w:t>
      </w:r>
      <w:r w:rsidR="001F5537">
        <w:rPr>
          <w:rFonts w:ascii="Arial" w:hAnsi="Arial" w:cs="Arial"/>
          <w:sz w:val="24"/>
          <w:szCs w:val="24"/>
        </w:rPr>
        <w:t xml:space="preserve"> is also available as an alternative to </w:t>
      </w:r>
      <w:r w:rsidR="00166626">
        <w:rPr>
          <w:rFonts w:ascii="Arial" w:hAnsi="Arial" w:cs="Arial"/>
          <w:sz w:val="24"/>
          <w:szCs w:val="24"/>
        </w:rPr>
        <w:t>prosecution.</w:t>
      </w:r>
      <w:r w:rsidR="003B0BCD">
        <w:rPr>
          <w:rFonts w:ascii="Arial" w:hAnsi="Arial" w:cs="Arial"/>
          <w:sz w:val="24"/>
          <w:szCs w:val="24"/>
        </w:rPr>
        <w:t xml:space="preserve"> </w:t>
      </w:r>
    </w:p>
    <w:p w:rsidR="00DD09F3" w:rsidRPr="00E12EB6" w:rsidRDefault="00DD09F3" w:rsidP="00FC419D">
      <w:pPr>
        <w:spacing w:after="0" w:line="240" w:lineRule="auto"/>
        <w:jc w:val="both"/>
        <w:rPr>
          <w:rFonts w:ascii="Arial" w:hAnsi="Arial" w:cs="Arial"/>
          <w:color w:val="FF0000"/>
          <w:sz w:val="24"/>
          <w:szCs w:val="24"/>
        </w:rPr>
      </w:pPr>
    </w:p>
    <w:p w:rsidR="00FC419D" w:rsidRDefault="00FC419D" w:rsidP="00FC419D">
      <w:pPr>
        <w:spacing w:after="0" w:line="240" w:lineRule="auto"/>
        <w:jc w:val="both"/>
        <w:rPr>
          <w:rFonts w:ascii="Arial" w:hAnsi="Arial" w:cs="Arial"/>
          <w:color w:val="FF0000"/>
          <w:sz w:val="24"/>
          <w:szCs w:val="24"/>
        </w:rPr>
      </w:pPr>
    </w:p>
    <w:p w:rsidR="00FC419D" w:rsidRPr="002435F8" w:rsidRDefault="00FC419D" w:rsidP="00FC419D">
      <w:pPr>
        <w:spacing w:after="0" w:line="240" w:lineRule="auto"/>
        <w:jc w:val="both"/>
        <w:rPr>
          <w:rFonts w:ascii="Arial" w:hAnsi="Arial" w:cs="Arial"/>
          <w:b/>
          <w:sz w:val="24"/>
          <w:szCs w:val="24"/>
          <w:u w:val="single"/>
        </w:rPr>
      </w:pPr>
      <w:r w:rsidRPr="002435F8">
        <w:rPr>
          <w:rFonts w:ascii="Arial" w:hAnsi="Arial" w:cs="Arial"/>
          <w:b/>
          <w:sz w:val="24"/>
          <w:szCs w:val="24"/>
          <w:u w:val="single"/>
        </w:rPr>
        <w:t xml:space="preserve">Provisions of THE </w:t>
      </w:r>
      <w:r w:rsidR="00DD09F3">
        <w:rPr>
          <w:rFonts w:ascii="Arial" w:hAnsi="Arial" w:cs="Arial"/>
          <w:b/>
          <w:sz w:val="24"/>
          <w:szCs w:val="24"/>
          <w:u w:val="single"/>
        </w:rPr>
        <w:t xml:space="preserve">NOTTINGHAM </w:t>
      </w:r>
      <w:r w:rsidRPr="002435F8">
        <w:rPr>
          <w:rFonts w:ascii="Arial" w:hAnsi="Arial" w:cs="Arial"/>
          <w:b/>
          <w:sz w:val="24"/>
          <w:szCs w:val="24"/>
          <w:u w:val="single"/>
        </w:rPr>
        <w:t>DPPOs</w:t>
      </w:r>
      <w:r>
        <w:rPr>
          <w:rFonts w:ascii="Arial" w:hAnsi="Arial" w:cs="Arial"/>
          <w:b/>
          <w:sz w:val="24"/>
          <w:szCs w:val="24"/>
          <w:u w:val="single"/>
        </w:rPr>
        <w:t xml:space="preserve"> from 20 October 2017</w:t>
      </w:r>
      <w:r w:rsidRPr="002435F8">
        <w:rPr>
          <w:rFonts w:ascii="Arial" w:hAnsi="Arial" w:cs="Arial"/>
          <w:b/>
          <w:sz w:val="24"/>
          <w:szCs w:val="24"/>
          <w:u w:val="single"/>
        </w:rPr>
        <w:t>:</w:t>
      </w:r>
    </w:p>
    <w:p w:rsidR="00FC419D" w:rsidRPr="00DB19ED" w:rsidRDefault="00FC419D" w:rsidP="00FC419D">
      <w:pPr>
        <w:spacing w:after="0" w:line="240" w:lineRule="auto"/>
        <w:jc w:val="both"/>
        <w:rPr>
          <w:rFonts w:ascii="Arial" w:hAnsi="Arial" w:cs="Arial"/>
          <w:sz w:val="24"/>
          <w:szCs w:val="24"/>
          <w:u w:val="single"/>
        </w:rPr>
      </w:pPr>
    </w:p>
    <w:p w:rsidR="00FC419D" w:rsidRDefault="00FC419D" w:rsidP="00FC419D">
      <w:pPr>
        <w:spacing w:after="0" w:line="240" w:lineRule="auto"/>
        <w:jc w:val="both"/>
        <w:rPr>
          <w:rFonts w:ascii="Arial" w:hAnsi="Arial" w:cs="Arial"/>
          <w:color w:val="FF0000"/>
        </w:rPr>
      </w:pPr>
      <w:r>
        <w:rPr>
          <w:rFonts w:ascii="Arial" w:hAnsi="Arial" w:cs="Arial"/>
          <w:sz w:val="24"/>
          <w:szCs w:val="24"/>
        </w:rPr>
        <w:t xml:space="preserve">The provisions of THE </w:t>
      </w:r>
      <w:r w:rsidR="001F5537">
        <w:rPr>
          <w:rFonts w:ascii="Arial" w:hAnsi="Arial" w:cs="Arial"/>
          <w:sz w:val="24"/>
          <w:szCs w:val="24"/>
        </w:rPr>
        <w:t xml:space="preserve">NOTTINGHAM </w:t>
      </w:r>
      <w:r>
        <w:rPr>
          <w:rFonts w:ascii="Arial" w:hAnsi="Arial" w:cs="Arial"/>
          <w:sz w:val="24"/>
          <w:szCs w:val="24"/>
        </w:rPr>
        <w:t>DPPOs as modified by the 2014 Act are as follows:</w:t>
      </w:r>
    </w:p>
    <w:p w:rsidR="00FC419D" w:rsidRDefault="00FC419D" w:rsidP="00FC419D">
      <w:pPr>
        <w:pStyle w:val="ListParagraph"/>
        <w:rPr>
          <w:rFonts w:ascii="Arial" w:hAnsi="Arial" w:cs="Arial"/>
          <w:color w:val="FF0000"/>
        </w:rPr>
      </w:pPr>
    </w:p>
    <w:p w:rsidR="00FC419D" w:rsidRPr="00B660D8" w:rsidRDefault="00FC419D" w:rsidP="00FC419D">
      <w:pPr>
        <w:jc w:val="both"/>
        <w:rPr>
          <w:rFonts w:ascii="Arial" w:hAnsi="Arial" w:cs="Arial"/>
          <w:sz w:val="24"/>
          <w:szCs w:val="24"/>
        </w:rPr>
      </w:pPr>
      <w:r>
        <w:rPr>
          <w:rFonts w:ascii="Arial" w:hAnsi="Arial" w:cs="Arial"/>
          <w:sz w:val="24"/>
          <w:szCs w:val="24"/>
        </w:rPr>
        <w:t>The following terms have the following meanings:</w:t>
      </w:r>
    </w:p>
    <w:tbl>
      <w:tblPr>
        <w:tblStyle w:val="TableGrid"/>
        <w:tblpPr w:leftFromText="180" w:rightFromText="180" w:vertAnchor="text" w:horzAnchor="page" w:tblpX="2633" w:tblpY="113"/>
        <w:tblW w:w="0" w:type="auto"/>
        <w:tblLook w:val="04A0" w:firstRow="1" w:lastRow="0" w:firstColumn="1" w:lastColumn="0" w:noHBand="0" w:noVBand="1"/>
      </w:tblPr>
      <w:tblGrid>
        <w:gridCol w:w="2660"/>
        <w:gridCol w:w="5612"/>
      </w:tblGrid>
      <w:tr w:rsidR="00FC419D" w:rsidRPr="00B660D8" w:rsidTr="0076531B">
        <w:tc>
          <w:tcPr>
            <w:tcW w:w="2660" w:type="dxa"/>
          </w:tcPr>
          <w:p w:rsidR="00FC419D" w:rsidRPr="00B660D8" w:rsidRDefault="00FC419D" w:rsidP="0076531B">
            <w:pPr>
              <w:jc w:val="both"/>
              <w:rPr>
                <w:rFonts w:ascii="Arial" w:hAnsi="Arial" w:cs="Arial"/>
                <w:sz w:val="24"/>
                <w:szCs w:val="24"/>
              </w:rPr>
            </w:pPr>
            <w:r w:rsidRPr="00B660D8">
              <w:rPr>
                <w:rFonts w:ascii="Arial" w:hAnsi="Arial" w:cs="Arial"/>
                <w:sz w:val="24"/>
                <w:szCs w:val="24"/>
              </w:rPr>
              <w:t>Alcohol</w:t>
            </w:r>
          </w:p>
        </w:tc>
        <w:tc>
          <w:tcPr>
            <w:tcW w:w="5612" w:type="dxa"/>
          </w:tcPr>
          <w:p w:rsidR="00FC419D" w:rsidRDefault="00FC419D" w:rsidP="0076531B">
            <w:pPr>
              <w:jc w:val="both"/>
              <w:rPr>
                <w:rFonts w:ascii="Arial" w:hAnsi="Arial" w:cs="Arial"/>
                <w:sz w:val="24"/>
                <w:szCs w:val="24"/>
              </w:rPr>
            </w:pPr>
            <w:r w:rsidRPr="00B660D8">
              <w:rPr>
                <w:rFonts w:ascii="Arial" w:hAnsi="Arial" w:cs="Arial"/>
                <w:sz w:val="24"/>
                <w:szCs w:val="24"/>
              </w:rPr>
              <w:t>has the meaning given by section 191 of the Licensing Act 2003</w:t>
            </w:r>
          </w:p>
          <w:p w:rsidR="00FC419D" w:rsidRPr="00B660D8" w:rsidRDefault="00FC419D" w:rsidP="0076531B">
            <w:pPr>
              <w:jc w:val="both"/>
              <w:rPr>
                <w:rFonts w:ascii="Arial" w:hAnsi="Arial" w:cs="Arial"/>
                <w:sz w:val="24"/>
                <w:szCs w:val="24"/>
              </w:rPr>
            </w:pPr>
          </w:p>
        </w:tc>
      </w:tr>
      <w:tr w:rsidR="00FC419D" w:rsidRPr="00B660D8" w:rsidTr="0076531B">
        <w:tc>
          <w:tcPr>
            <w:tcW w:w="2660" w:type="dxa"/>
          </w:tcPr>
          <w:p w:rsidR="00FC419D" w:rsidRPr="00B660D8" w:rsidRDefault="00FC419D" w:rsidP="0076531B">
            <w:pPr>
              <w:jc w:val="both"/>
              <w:rPr>
                <w:rFonts w:ascii="Arial" w:hAnsi="Arial" w:cs="Arial"/>
                <w:sz w:val="24"/>
                <w:szCs w:val="24"/>
              </w:rPr>
            </w:pPr>
            <w:r>
              <w:rPr>
                <w:rFonts w:ascii="Arial" w:hAnsi="Arial" w:cs="Arial"/>
                <w:sz w:val="24"/>
                <w:szCs w:val="24"/>
              </w:rPr>
              <w:t>t</w:t>
            </w:r>
            <w:r w:rsidRPr="00B660D8">
              <w:rPr>
                <w:rFonts w:ascii="Arial" w:hAnsi="Arial" w:cs="Arial"/>
                <w:sz w:val="24"/>
                <w:szCs w:val="24"/>
              </w:rPr>
              <w:t>he Authority</w:t>
            </w:r>
          </w:p>
        </w:tc>
        <w:tc>
          <w:tcPr>
            <w:tcW w:w="5612" w:type="dxa"/>
          </w:tcPr>
          <w:p w:rsidR="00FC419D" w:rsidRDefault="00FC419D" w:rsidP="0076531B">
            <w:pPr>
              <w:jc w:val="both"/>
              <w:rPr>
                <w:rFonts w:ascii="Arial" w:hAnsi="Arial" w:cs="Arial"/>
                <w:sz w:val="24"/>
                <w:szCs w:val="24"/>
              </w:rPr>
            </w:pPr>
            <w:r w:rsidRPr="00B660D8">
              <w:rPr>
                <w:rFonts w:ascii="Arial" w:hAnsi="Arial" w:cs="Arial"/>
                <w:sz w:val="24"/>
                <w:szCs w:val="24"/>
              </w:rPr>
              <w:t>means Nottingham City Council</w:t>
            </w:r>
          </w:p>
          <w:p w:rsidR="00FC419D" w:rsidRPr="00B660D8" w:rsidRDefault="00FC419D" w:rsidP="0076531B">
            <w:pPr>
              <w:jc w:val="both"/>
              <w:rPr>
                <w:rFonts w:ascii="Arial" w:hAnsi="Arial" w:cs="Arial"/>
                <w:sz w:val="24"/>
                <w:szCs w:val="24"/>
              </w:rPr>
            </w:pPr>
          </w:p>
        </w:tc>
      </w:tr>
      <w:tr w:rsidR="00FC419D" w:rsidRPr="00B660D8" w:rsidTr="0076531B">
        <w:tc>
          <w:tcPr>
            <w:tcW w:w="2660" w:type="dxa"/>
          </w:tcPr>
          <w:p w:rsidR="00FC419D" w:rsidRPr="00B660D8" w:rsidRDefault="00FC419D" w:rsidP="0076531B">
            <w:pPr>
              <w:jc w:val="both"/>
              <w:rPr>
                <w:rFonts w:ascii="Arial" w:hAnsi="Arial" w:cs="Arial"/>
                <w:sz w:val="24"/>
                <w:szCs w:val="24"/>
              </w:rPr>
            </w:pPr>
            <w:r w:rsidRPr="00B660D8">
              <w:rPr>
                <w:rFonts w:ascii="Arial" w:hAnsi="Arial" w:cs="Arial"/>
                <w:sz w:val="24"/>
                <w:szCs w:val="24"/>
              </w:rPr>
              <w:t>Authorised Officer of the Authority</w:t>
            </w:r>
          </w:p>
        </w:tc>
        <w:tc>
          <w:tcPr>
            <w:tcW w:w="5612" w:type="dxa"/>
          </w:tcPr>
          <w:p w:rsidR="00FC419D" w:rsidRPr="00B660D8" w:rsidRDefault="00FC419D" w:rsidP="0076531B">
            <w:pPr>
              <w:jc w:val="both"/>
              <w:rPr>
                <w:rFonts w:ascii="Arial" w:hAnsi="Arial" w:cs="Arial"/>
                <w:sz w:val="24"/>
                <w:szCs w:val="24"/>
              </w:rPr>
            </w:pPr>
            <w:r w:rsidRPr="00B660D8">
              <w:rPr>
                <w:rFonts w:ascii="Arial" w:hAnsi="Arial" w:cs="Arial"/>
                <w:sz w:val="24"/>
                <w:szCs w:val="24"/>
              </w:rPr>
              <w:t xml:space="preserve">means an employee of the Authority who is authorised in writing by the Authority for the purposes of </w:t>
            </w:r>
            <w:r>
              <w:rPr>
                <w:rFonts w:ascii="Arial" w:hAnsi="Arial" w:cs="Arial"/>
                <w:sz w:val="24"/>
                <w:szCs w:val="24"/>
              </w:rPr>
              <w:t>the relevant DPPO</w:t>
            </w:r>
            <w:r w:rsidRPr="00B660D8">
              <w:rPr>
                <w:rFonts w:ascii="Arial" w:hAnsi="Arial" w:cs="Arial"/>
                <w:sz w:val="24"/>
                <w:szCs w:val="24"/>
              </w:rPr>
              <w:t xml:space="preserve"> </w:t>
            </w:r>
          </w:p>
          <w:p w:rsidR="00FC419D" w:rsidRPr="00B660D8" w:rsidRDefault="00FC419D" w:rsidP="0076531B">
            <w:pPr>
              <w:jc w:val="both"/>
              <w:rPr>
                <w:rFonts w:ascii="Arial" w:hAnsi="Arial" w:cs="Arial"/>
                <w:color w:val="00B0F0"/>
                <w:sz w:val="24"/>
                <w:szCs w:val="24"/>
              </w:rPr>
            </w:pPr>
          </w:p>
        </w:tc>
      </w:tr>
      <w:tr w:rsidR="00FC419D" w:rsidRPr="00B660D8" w:rsidTr="0076531B">
        <w:tc>
          <w:tcPr>
            <w:tcW w:w="2660" w:type="dxa"/>
          </w:tcPr>
          <w:p w:rsidR="00FC419D" w:rsidRPr="00B660D8" w:rsidRDefault="00FC419D" w:rsidP="0076531B">
            <w:pPr>
              <w:jc w:val="both"/>
              <w:rPr>
                <w:rFonts w:ascii="Arial" w:hAnsi="Arial" w:cs="Arial"/>
                <w:sz w:val="24"/>
                <w:szCs w:val="24"/>
              </w:rPr>
            </w:pPr>
            <w:r w:rsidRPr="00B660D8">
              <w:rPr>
                <w:rFonts w:ascii="Arial" w:hAnsi="Arial" w:cs="Arial"/>
                <w:sz w:val="24"/>
                <w:szCs w:val="24"/>
              </w:rPr>
              <w:t>Authorised Person</w:t>
            </w:r>
          </w:p>
        </w:tc>
        <w:tc>
          <w:tcPr>
            <w:tcW w:w="5612" w:type="dxa"/>
          </w:tcPr>
          <w:p w:rsidR="00FC419D" w:rsidRPr="00B660D8" w:rsidRDefault="00FC419D" w:rsidP="0076531B">
            <w:pPr>
              <w:ind w:left="34"/>
              <w:jc w:val="both"/>
              <w:rPr>
                <w:rFonts w:ascii="Arial" w:hAnsi="Arial" w:cs="Arial"/>
                <w:sz w:val="24"/>
                <w:szCs w:val="24"/>
              </w:rPr>
            </w:pPr>
            <w:r w:rsidRPr="00B660D8">
              <w:rPr>
                <w:rFonts w:ascii="Arial" w:hAnsi="Arial" w:cs="Arial"/>
                <w:sz w:val="24"/>
                <w:szCs w:val="24"/>
              </w:rPr>
              <w:t>means (1) an Authorised Officer of the Authority, or</w:t>
            </w:r>
          </w:p>
          <w:p w:rsidR="00FC419D" w:rsidRPr="00B660D8" w:rsidRDefault="00FC419D" w:rsidP="0076531B">
            <w:pPr>
              <w:ind w:left="34"/>
              <w:jc w:val="both"/>
              <w:rPr>
                <w:rFonts w:ascii="Arial" w:hAnsi="Arial" w:cs="Arial"/>
                <w:sz w:val="24"/>
                <w:szCs w:val="24"/>
              </w:rPr>
            </w:pPr>
            <w:r w:rsidRPr="00B660D8">
              <w:rPr>
                <w:rFonts w:ascii="Arial" w:hAnsi="Arial" w:cs="Arial"/>
                <w:sz w:val="24"/>
                <w:szCs w:val="24"/>
              </w:rPr>
              <w:t xml:space="preserve">(2) a police constable, or </w:t>
            </w:r>
          </w:p>
          <w:p w:rsidR="00FC419D" w:rsidRDefault="00FC419D" w:rsidP="0076531B">
            <w:pPr>
              <w:ind w:left="34"/>
              <w:jc w:val="both"/>
              <w:rPr>
                <w:rFonts w:ascii="Arial" w:hAnsi="Arial" w:cs="Arial"/>
                <w:sz w:val="24"/>
                <w:szCs w:val="24"/>
              </w:rPr>
            </w:pPr>
            <w:r w:rsidRPr="00B660D8">
              <w:rPr>
                <w:rFonts w:ascii="Arial" w:hAnsi="Arial" w:cs="Arial"/>
                <w:sz w:val="24"/>
                <w:szCs w:val="24"/>
              </w:rPr>
              <w:t xml:space="preserve">(3) a community support officer designated under Paragraph 5 of Part 1 of Schedule 4 to the Police Reform Act 2002  </w:t>
            </w:r>
          </w:p>
          <w:p w:rsidR="00FC419D" w:rsidRPr="00B660D8" w:rsidRDefault="00FC419D" w:rsidP="0076531B">
            <w:pPr>
              <w:ind w:left="34"/>
              <w:jc w:val="both"/>
              <w:rPr>
                <w:rFonts w:ascii="Arial" w:hAnsi="Arial" w:cs="Arial"/>
                <w:color w:val="00B0F0"/>
                <w:sz w:val="24"/>
                <w:szCs w:val="24"/>
              </w:rPr>
            </w:pPr>
          </w:p>
        </w:tc>
      </w:tr>
      <w:tr w:rsidR="00FC419D" w:rsidRPr="00B660D8" w:rsidTr="0076531B">
        <w:tc>
          <w:tcPr>
            <w:tcW w:w="2660" w:type="dxa"/>
          </w:tcPr>
          <w:p w:rsidR="00FC419D" w:rsidRPr="00944288" w:rsidRDefault="00FC419D" w:rsidP="0076531B">
            <w:pPr>
              <w:jc w:val="both"/>
              <w:rPr>
                <w:rFonts w:ascii="Arial" w:hAnsi="Arial" w:cs="Arial"/>
                <w:sz w:val="24"/>
                <w:szCs w:val="24"/>
              </w:rPr>
            </w:pPr>
            <w:r>
              <w:rPr>
                <w:rFonts w:ascii="Arial" w:hAnsi="Arial" w:cs="Arial"/>
                <w:color w:val="000000"/>
                <w:sz w:val="24"/>
                <w:szCs w:val="24"/>
              </w:rPr>
              <w:t>Council-operated L</w:t>
            </w:r>
            <w:r w:rsidRPr="00944288">
              <w:rPr>
                <w:rFonts w:ascii="Arial" w:hAnsi="Arial" w:cs="Arial"/>
                <w:color w:val="000000"/>
                <w:sz w:val="24"/>
                <w:szCs w:val="24"/>
              </w:rPr>
              <w:t xml:space="preserve">icensed </w:t>
            </w:r>
            <w:r>
              <w:rPr>
                <w:rFonts w:ascii="Arial" w:hAnsi="Arial" w:cs="Arial"/>
                <w:color w:val="000000"/>
                <w:sz w:val="24"/>
                <w:szCs w:val="24"/>
              </w:rPr>
              <w:t>P</w:t>
            </w:r>
            <w:r w:rsidRPr="00944288">
              <w:rPr>
                <w:rFonts w:ascii="Arial" w:hAnsi="Arial" w:cs="Arial"/>
                <w:color w:val="000000"/>
                <w:sz w:val="24"/>
                <w:szCs w:val="24"/>
              </w:rPr>
              <w:t>remises</w:t>
            </w:r>
          </w:p>
        </w:tc>
        <w:tc>
          <w:tcPr>
            <w:tcW w:w="5612" w:type="dxa"/>
          </w:tcPr>
          <w:p w:rsidR="00FC419D" w:rsidRPr="00B660D8" w:rsidRDefault="00FF095C" w:rsidP="0076531B">
            <w:pPr>
              <w:pStyle w:val="NormalWeb"/>
              <w:shd w:val="clear" w:color="auto" w:fill="FFFFFF"/>
              <w:spacing w:line="384" w:lineRule="atLeast"/>
              <w:ind w:left="34" w:hanging="34"/>
              <w:rPr>
                <w:rFonts w:ascii="Arial" w:hAnsi="Arial" w:cs="Arial"/>
                <w:color w:val="000000"/>
              </w:rPr>
            </w:pPr>
            <w:r>
              <w:rPr>
                <w:rFonts w:ascii="Arial" w:hAnsi="Arial" w:cs="Arial"/>
                <w:color w:val="000000"/>
              </w:rPr>
              <w:t>m</w:t>
            </w:r>
            <w:r w:rsidR="00FC419D">
              <w:rPr>
                <w:rFonts w:ascii="Arial" w:hAnsi="Arial" w:cs="Arial"/>
                <w:color w:val="000000"/>
              </w:rPr>
              <w:t>eans p</w:t>
            </w:r>
            <w:r w:rsidR="00FC419D" w:rsidRPr="00B660D8">
              <w:rPr>
                <w:rFonts w:ascii="Arial" w:hAnsi="Arial" w:cs="Arial"/>
                <w:color w:val="000000"/>
              </w:rPr>
              <w:t xml:space="preserve">remises </w:t>
            </w:r>
            <w:r w:rsidR="00FC419D">
              <w:rPr>
                <w:rFonts w:ascii="Arial" w:hAnsi="Arial" w:cs="Arial"/>
                <w:color w:val="000000"/>
              </w:rPr>
              <w:t>authorised by a Premises L</w:t>
            </w:r>
            <w:r w:rsidR="00FC419D" w:rsidRPr="00B660D8">
              <w:rPr>
                <w:rFonts w:ascii="Arial" w:hAnsi="Arial" w:cs="Arial"/>
                <w:color w:val="000000"/>
              </w:rPr>
              <w:t>icence to be used for the supply of alcohol and—</w:t>
            </w:r>
          </w:p>
          <w:p w:rsidR="00FC419D" w:rsidRPr="00B660D8" w:rsidRDefault="00FC419D" w:rsidP="0076531B">
            <w:pPr>
              <w:pStyle w:val="NormalWeb"/>
              <w:shd w:val="clear" w:color="auto" w:fill="FFFFFF"/>
              <w:spacing w:line="384" w:lineRule="atLeast"/>
              <w:ind w:left="720"/>
              <w:rPr>
                <w:rFonts w:ascii="Arial" w:hAnsi="Arial" w:cs="Arial"/>
                <w:color w:val="000000"/>
              </w:rPr>
            </w:pPr>
            <w:r w:rsidRPr="00B660D8">
              <w:rPr>
                <w:rFonts w:ascii="Arial" w:hAnsi="Arial" w:cs="Arial"/>
                <w:color w:val="000000"/>
              </w:rPr>
              <w:t>(a) the licence is held by a local authority in whose area the premises (or part of the premises) are situated, or</w:t>
            </w:r>
          </w:p>
          <w:p w:rsidR="00FC419D" w:rsidRDefault="00FC419D" w:rsidP="00FF095C">
            <w:pPr>
              <w:pStyle w:val="NormalWeb"/>
              <w:shd w:val="clear" w:color="auto" w:fill="FFFFFF"/>
              <w:spacing w:line="384" w:lineRule="atLeast"/>
              <w:ind w:left="720"/>
              <w:rPr>
                <w:rFonts w:ascii="Arial" w:hAnsi="Arial" w:cs="Arial"/>
                <w:color w:val="000000"/>
              </w:rPr>
            </w:pPr>
            <w:r w:rsidRPr="00B660D8">
              <w:rPr>
                <w:rFonts w:ascii="Arial" w:hAnsi="Arial" w:cs="Arial"/>
                <w:color w:val="000000"/>
              </w:rPr>
              <w:t xml:space="preserve">(b) </w:t>
            </w:r>
            <w:proofErr w:type="gramStart"/>
            <w:r w:rsidRPr="00B660D8">
              <w:rPr>
                <w:rFonts w:ascii="Arial" w:hAnsi="Arial" w:cs="Arial"/>
                <w:color w:val="000000"/>
              </w:rPr>
              <w:t>the</w:t>
            </w:r>
            <w:proofErr w:type="gramEnd"/>
            <w:r w:rsidRPr="00B660D8">
              <w:rPr>
                <w:rFonts w:ascii="Arial" w:hAnsi="Arial" w:cs="Arial"/>
                <w:color w:val="000000"/>
              </w:rPr>
              <w:t xml:space="preserve"> licence is held by another person but the premises are occupied by a local authority or are managed by or on behalf of a local authority.</w:t>
            </w:r>
          </w:p>
          <w:p w:rsidR="00FF095C" w:rsidRPr="00B660D8" w:rsidRDefault="00FF095C" w:rsidP="00FF095C">
            <w:pPr>
              <w:pStyle w:val="NormalWeb"/>
              <w:shd w:val="clear" w:color="auto" w:fill="FFFFFF"/>
              <w:spacing w:line="384" w:lineRule="atLeast"/>
              <w:ind w:left="720"/>
              <w:rPr>
                <w:rFonts w:ascii="Arial" w:hAnsi="Arial" w:cs="Arial"/>
              </w:rPr>
            </w:pPr>
          </w:p>
        </w:tc>
      </w:tr>
      <w:tr w:rsidR="00FC419D" w:rsidRPr="00B660D8" w:rsidTr="0076531B">
        <w:tc>
          <w:tcPr>
            <w:tcW w:w="2660" w:type="dxa"/>
          </w:tcPr>
          <w:p w:rsidR="00FC419D" w:rsidRPr="00B85750" w:rsidRDefault="00FC419D" w:rsidP="0076531B">
            <w:pPr>
              <w:rPr>
                <w:rFonts w:ascii="Arial" w:hAnsi="Arial" w:cs="Arial"/>
                <w:color w:val="000000"/>
                <w:sz w:val="24"/>
                <w:szCs w:val="24"/>
              </w:rPr>
            </w:pPr>
            <w:r>
              <w:rPr>
                <w:rFonts w:ascii="Arial" w:hAnsi="Arial" w:cs="Arial"/>
                <w:color w:val="000000"/>
                <w:sz w:val="24"/>
                <w:szCs w:val="24"/>
              </w:rPr>
              <w:lastRenderedPageBreak/>
              <w:t>C</w:t>
            </w:r>
            <w:r w:rsidRPr="00B85750">
              <w:rPr>
                <w:rFonts w:ascii="Arial" w:hAnsi="Arial" w:cs="Arial"/>
                <w:color w:val="000000"/>
                <w:sz w:val="24"/>
                <w:szCs w:val="24"/>
              </w:rPr>
              <w:t xml:space="preserve">lub </w:t>
            </w:r>
            <w:r>
              <w:rPr>
                <w:rFonts w:ascii="Arial" w:hAnsi="Arial" w:cs="Arial"/>
                <w:color w:val="000000"/>
                <w:sz w:val="24"/>
                <w:szCs w:val="24"/>
              </w:rPr>
              <w:t>Premises C</w:t>
            </w:r>
            <w:r w:rsidRPr="00B85750">
              <w:rPr>
                <w:rFonts w:ascii="Arial" w:hAnsi="Arial" w:cs="Arial"/>
                <w:color w:val="000000"/>
                <w:sz w:val="24"/>
                <w:szCs w:val="24"/>
              </w:rPr>
              <w:t>ertificate</w:t>
            </w:r>
          </w:p>
        </w:tc>
        <w:tc>
          <w:tcPr>
            <w:tcW w:w="5612" w:type="dxa"/>
          </w:tcPr>
          <w:p w:rsidR="00FC419D" w:rsidRDefault="00FC419D" w:rsidP="0076531B">
            <w:pPr>
              <w:pStyle w:val="NormalWeb"/>
              <w:shd w:val="clear" w:color="auto" w:fill="FFFFFF"/>
              <w:spacing w:line="384" w:lineRule="atLeast"/>
              <w:ind w:left="34" w:hanging="34"/>
              <w:rPr>
                <w:rFonts w:ascii="Arial" w:hAnsi="Arial" w:cs="Arial"/>
                <w:color w:val="000000"/>
              </w:rPr>
            </w:pPr>
            <w:r w:rsidRPr="00B660D8">
              <w:rPr>
                <w:rFonts w:ascii="Arial" w:hAnsi="Arial" w:cs="Arial"/>
                <w:color w:val="000000"/>
              </w:rPr>
              <w:t xml:space="preserve">has the meaning given by </w:t>
            </w:r>
            <w:hyperlink r:id="rId10" w:tgtFrame="_parent" w:history="1">
              <w:r w:rsidRPr="005F32C6">
                <w:rPr>
                  <w:rStyle w:val="Hyperlink"/>
                  <w:rFonts w:ascii="Arial" w:hAnsi="Arial" w:cs="Arial"/>
                  <w:color w:val="auto"/>
                </w:rPr>
                <w:t>section 60</w:t>
              </w:r>
            </w:hyperlink>
            <w:r w:rsidRPr="00B660D8">
              <w:rPr>
                <w:rFonts w:ascii="Arial" w:hAnsi="Arial" w:cs="Arial"/>
              </w:rPr>
              <w:t xml:space="preserve"> </w:t>
            </w:r>
            <w:r w:rsidRPr="00B660D8">
              <w:rPr>
                <w:rFonts w:ascii="Arial" w:hAnsi="Arial" w:cs="Arial"/>
                <w:color w:val="000000"/>
              </w:rPr>
              <w:t>of the Licensing Act 2003</w:t>
            </w:r>
          </w:p>
        </w:tc>
      </w:tr>
      <w:tr w:rsidR="00FC419D" w:rsidRPr="00B660D8" w:rsidTr="0076531B">
        <w:tc>
          <w:tcPr>
            <w:tcW w:w="2660" w:type="dxa"/>
          </w:tcPr>
          <w:p w:rsidR="00FC419D" w:rsidRPr="00B660D8" w:rsidRDefault="00FC419D" w:rsidP="0076531B">
            <w:pPr>
              <w:jc w:val="both"/>
              <w:rPr>
                <w:rFonts w:ascii="Arial" w:hAnsi="Arial" w:cs="Arial"/>
                <w:sz w:val="24"/>
                <w:szCs w:val="24"/>
              </w:rPr>
            </w:pPr>
            <w:r>
              <w:rPr>
                <w:rFonts w:ascii="Arial" w:hAnsi="Arial" w:cs="Arial"/>
                <w:sz w:val="24"/>
                <w:szCs w:val="24"/>
              </w:rPr>
              <w:t xml:space="preserve">THE </w:t>
            </w:r>
            <w:r w:rsidR="00DD09F3">
              <w:rPr>
                <w:rFonts w:ascii="Arial" w:hAnsi="Arial" w:cs="Arial"/>
                <w:sz w:val="24"/>
                <w:szCs w:val="24"/>
              </w:rPr>
              <w:t xml:space="preserve">NOTTINGHAM </w:t>
            </w:r>
            <w:r>
              <w:rPr>
                <w:rFonts w:ascii="Arial" w:hAnsi="Arial" w:cs="Arial"/>
                <w:sz w:val="24"/>
                <w:szCs w:val="24"/>
              </w:rPr>
              <w:t>DPPOs</w:t>
            </w:r>
          </w:p>
        </w:tc>
        <w:tc>
          <w:tcPr>
            <w:tcW w:w="5612" w:type="dxa"/>
          </w:tcPr>
          <w:p w:rsidR="00FC419D" w:rsidRDefault="00FC419D" w:rsidP="0076531B">
            <w:pPr>
              <w:pStyle w:val="ListParagraph"/>
              <w:numPr>
                <w:ilvl w:val="0"/>
                <w:numId w:val="2"/>
              </w:numPr>
              <w:ind w:left="459" w:hanging="284"/>
              <w:jc w:val="both"/>
              <w:rPr>
                <w:rFonts w:ascii="Arial" w:hAnsi="Arial" w:cs="Arial"/>
              </w:rPr>
            </w:pPr>
            <w:r>
              <w:rPr>
                <w:rFonts w:ascii="Arial" w:hAnsi="Arial" w:cs="Arial"/>
              </w:rPr>
              <w:t>the Nottingham City Council (Alcohol Consumption in Public Places) Designation Order 2005</w:t>
            </w:r>
          </w:p>
          <w:p w:rsidR="00FC419D" w:rsidRDefault="00FC419D" w:rsidP="0076531B">
            <w:pPr>
              <w:pStyle w:val="ListParagraph"/>
              <w:numPr>
                <w:ilvl w:val="0"/>
                <w:numId w:val="2"/>
              </w:numPr>
              <w:ind w:left="459" w:hanging="284"/>
              <w:jc w:val="both"/>
              <w:rPr>
                <w:rFonts w:ascii="Arial" w:hAnsi="Arial" w:cs="Arial"/>
              </w:rPr>
            </w:pPr>
            <w:r>
              <w:rPr>
                <w:rFonts w:ascii="Arial" w:hAnsi="Arial" w:cs="Arial"/>
              </w:rPr>
              <w:t>the Nottingham City Council (Hyson Green) (Alcohol Consumption in Public Places) Designation Order 2006</w:t>
            </w:r>
          </w:p>
          <w:p w:rsidR="00FC419D" w:rsidRDefault="00FC419D" w:rsidP="0076531B">
            <w:pPr>
              <w:pStyle w:val="ListParagraph"/>
              <w:numPr>
                <w:ilvl w:val="0"/>
                <w:numId w:val="2"/>
              </w:numPr>
              <w:ind w:left="459" w:hanging="284"/>
              <w:jc w:val="both"/>
              <w:rPr>
                <w:rFonts w:ascii="Arial" w:hAnsi="Arial" w:cs="Arial"/>
              </w:rPr>
            </w:pPr>
            <w:r>
              <w:rPr>
                <w:rFonts w:ascii="Arial" w:hAnsi="Arial" w:cs="Arial"/>
              </w:rPr>
              <w:t>the Nottingham City Council (</w:t>
            </w:r>
            <w:proofErr w:type="spellStart"/>
            <w:r>
              <w:rPr>
                <w:rFonts w:ascii="Arial" w:hAnsi="Arial" w:cs="Arial"/>
              </w:rPr>
              <w:t>Sneinton</w:t>
            </w:r>
            <w:proofErr w:type="spellEnd"/>
            <w:r>
              <w:rPr>
                <w:rFonts w:ascii="Arial" w:hAnsi="Arial" w:cs="Arial"/>
              </w:rPr>
              <w:t xml:space="preserve">, Forest and </w:t>
            </w:r>
            <w:proofErr w:type="spellStart"/>
            <w:r>
              <w:rPr>
                <w:rFonts w:ascii="Arial" w:hAnsi="Arial" w:cs="Arial"/>
              </w:rPr>
              <w:t>Mapperley</w:t>
            </w:r>
            <w:proofErr w:type="spellEnd"/>
            <w:r>
              <w:rPr>
                <w:rFonts w:ascii="Arial" w:hAnsi="Arial" w:cs="Arial"/>
              </w:rPr>
              <w:t>) Alcohol Consumption in Designated Public Places Order 2008</w:t>
            </w:r>
          </w:p>
          <w:p w:rsidR="00FC419D" w:rsidRDefault="00FC419D" w:rsidP="0076531B">
            <w:pPr>
              <w:pStyle w:val="ListParagraph"/>
              <w:numPr>
                <w:ilvl w:val="0"/>
                <w:numId w:val="2"/>
              </w:numPr>
              <w:ind w:left="459" w:hanging="284"/>
              <w:jc w:val="both"/>
              <w:rPr>
                <w:rFonts w:ascii="Arial" w:hAnsi="Arial" w:cs="Arial"/>
              </w:rPr>
            </w:pPr>
            <w:r>
              <w:rPr>
                <w:rFonts w:ascii="Arial" w:hAnsi="Arial" w:cs="Arial"/>
              </w:rPr>
              <w:t>t</w:t>
            </w:r>
            <w:r w:rsidRPr="001A28E7">
              <w:rPr>
                <w:rFonts w:ascii="Arial" w:hAnsi="Arial" w:cs="Arial"/>
              </w:rPr>
              <w:t>he Nottingham City Council Basford Designated Public Place Order 2011</w:t>
            </w:r>
          </w:p>
          <w:p w:rsidR="00FC419D" w:rsidRDefault="00FC419D" w:rsidP="0076531B">
            <w:pPr>
              <w:pStyle w:val="ListParagraph"/>
              <w:numPr>
                <w:ilvl w:val="0"/>
                <w:numId w:val="2"/>
              </w:numPr>
              <w:ind w:left="459" w:hanging="284"/>
              <w:jc w:val="both"/>
              <w:rPr>
                <w:rFonts w:ascii="Arial" w:hAnsi="Arial" w:cs="Arial"/>
              </w:rPr>
            </w:pPr>
            <w:r>
              <w:rPr>
                <w:rFonts w:ascii="Arial" w:hAnsi="Arial" w:cs="Arial"/>
              </w:rPr>
              <w:t xml:space="preserve">the Nottingham City Council St </w:t>
            </w:r>
            <w:proofErr w:type="spellStart"/>
            <w:r>
              <w:rPr>
                <w:rFonts w:ascii="Arial" w:hAnsi="Arial" w:cs="Arial"/>
              </w:rPr>
              <w:t>Anns</w:t>
            </w:r>
            <w:proofErr w:type="spellEnd"/>
            <w:r>
              <w:rPr>
                <w:rFonts w:ascii="Arial" w:hAnsi="Arial" w:cs="Arial"/>
              </w:rPr>
              <w:t xml:space="preserve"> Designated Public Place Order 2011</w:t>
            </w:r>
          </w:p>
          <w:p w:rsidR="00FC419D" w:rsidRDefault="00FC419D" w:rsidP="0076531B">
            <w:pPr>
              <w:pStyle w:val="ListParagraph"/>
              <w:numPr>
                <w:ilvl w:val="0"/>
                <w:numId w:val="2"/>
              </w:numPr>
              <w:ind w:left="459" w:hanging="284"/>
              <w:jc w:val="both"/>
              <w:rPr>
                <w:rFonts w:ascii="Arial" w:hAnsi="Arial" w:cs="Arial"/>
              </w:rPr>
            </w:pPr>
            <w:r>
              <w:rPr>
                <w:rFonts w:ascii="Arial" w:hAnsi="Arial" w:cs="Arial"/>
              </w:rPr>
              <w:t xml:space="preserve">the Nottingham City Council St </w:t>
            </w:r>
            <w:proofErr w:type="spellStart"/>
            <w:r>
              <w:rPr>
                <w:rFonts w:ascii="Arial" w:hAnsi="Arial" w:cs="Arial"/>
              </w:rPr>
              <w:t>Anns</w:t>
            </w:r>
            <w:proofErr w:type="spellEnd"/>
            <w:r>
              <w:rPr>
                <w:rFonts w:ascii="Arial" w:hAnsi="Arial" w:cs="Arial"/>
              </w:rPr>
              <w:t xml:space="preserve"> and </w:t>
            </w:r>
            <w:proofErr w:type="spellStart"/>
            <w:r>
              <w:rPr>
                <w:rFonts w:ascii="Arial" w:hAnsi="Arial" w:cs="Arial"/>
              </w:rPr>
              <w:t>Sneinton</w:t>
            </w:r>
            <w:proofErr w:type="spellEnd"/>
            <w:r>
              <w:rPr>
                <w:rFonts w:ascii="Arial" w:hAnsi="Arial" w:cs="Arial"/>
              </w:rPr>
              <w:t xml:space="preserve"> Designated Public Place Order 2011</w:t>
            </w:r>
          </w:p>
          <w:p w:rsidR="00FC419D" w:rsidRDefault="00FC419D" w:rsidP="0076531B">
            <w:pPr>
              <w:pStyle w:val="ListParagraph"/>
              <w:numPr>
                <w:ilvl w:val="0"/>
                <w:numId w:val="2"/>
              </w:numPr>
              <w:ind w:left="459" w:hanging="284"/>
              <w:jc w:val="both"/>
              <w:rPr>
                <w:rFonts w:ascii="Arial" w:hAnsi="Arial" w:cs="Arial"/>
              </w:rPr>
            </w:pPr>
            <w:r>
              <w:rPr>
                <w:rFonts w:ascii="Arial" w:hAnsi="Arial" w:cs="Arial"/>
              </w:rPr>
              <w:t>the Nottingham City Council (Arboretum and Radford &amp; Park) Alcohol Consumption in Designated Public Places Order 2013</w:t>
            </w:r>
          </w:p>
          <w:p w:rsidR="00FC419D" w:rsidRPr="001A28E7" w:rsidRDefault="00FC419D" w:rsidP="0076531B">
            <w:pPr>
              <w:pStyle w:val="ListParagraph"/>
              <w:numPr>
                <w:ilvl w:val="0"/>
                <w:numId w:val="2"/>
              </w:numPr>
              <w:ind w:left="459" w:hanging="284"/>
              <w:jc w:val="both"/>
              <w:rPr>
                <w:rFonts w:ascii="Arial" w:hAnsi="Arial" w:cs="Arial"/>
              </w:rPr>
            </w:pPr>
            <w:r>
              <w:rPr>
                <w:rFonts w:ascii="Arial" w:hAnsi="Arial" w:cs="Arial"/>
              </w:rPr>
              <w:t>the Nottingham City Council (City Wide Extension) Alcohol Consumption in Designated Public Places Order 2014</w:t>
            </w:r>
          </w:p>
          <w:p w:rsidR="00FC419D" w:rsidRDefault="00FC419D" w:rsidP="0076531B">
            <w:pPr>
              <w:ind w:left="34"/>
              <w:jc w:val="both"/>
              <w:rPr>
                <w:rFonts w:ascii="Arial" w:hAnsi="Arial" w:cs="Arial"/>
                <w:sz w:val="24"/>
                <w:szCs w:val="24"/>
              </w:rPr>
            </w:pPr>
            <w:r>
              <w:rPr>
                <w:rFonts w:ascii="Arial" w:hAnsi="Arial" w:cs="Arial"/>
                <w:sz w:val="24"/>
                <w:szCs w:val="24"/>
              </w:rPr>
              <w:t>and “relevant DPPO” shall be construed accordingly</w:t>
            </w:r>
          </w:p>
          <w:p w:rsidR="00FC419D" w:rsidRPr="00B660D8" w:rsidRDefault="00FC419D" w:rsidP="0076531B">
            <w:pPr>
              <w:ind w:left="34"/>
              <w:jc w:val="both"/>
              <w:rPr>
                <w:rFonts w:ascii="Arial" w:hAnsi="Arial" w:cs="Arial"/>
                <w:sz w:val="24"/>
                <w:szCs w:val="24"/>
              </w:rPr>
            </w:pPr>
          </w:p>
        </w:tc>
      </w:tr>
      <w:tr w:rsidR="00FC419D" w:rsidRPr="00B660D8" w:rsidTr="0076531B">
        <w:tc>
          <w:tcPr>
            <w:tcW w:w="2660" w:type="dxa"/>
          </w:tcPr>
          <w:p w:rsidR="00FC419D" w:rsidRPr="00B660D8" w:rsidRDefault="00FC419D" w:rsidP="0076531B">
            <w:pPr>
              <w:jc w:val="both"/>
              <w:rPr>
                <w:rFonts w:ascii="Arial" w:hAnsi="Arial" w:cs="Arial"/>
                <w:sz w:val="24"/>
                <w:szCs w:val="24"/>
              </w:rPr>
            </w:pPr>
            <w:r w:rsidRPr="00B660D8">
              <w:rPr>
                <w:rFonts w:ascii="Arial" w:hAnsi="Arial" w:cs="Arial"/>
                <w:sz w:val="24"/>
                <w:szCs w:val="24"/>
              </w:rPr>
              <w:t>Plan</w:t>
            </w:r>
          </w:p>
        </w:tc>
        <w:tc>
          <w:tcPr>
            <w:tcW w:w="5612" w:type="dxa"/>
          </w:tcPr>
          <w:p w:rsidR="00FC419D" w:rsidRDefault="00FC419D" w:rsidP="0076531B">
            <w:pPr>
              <w:jc w:val="both"/>
              <w:rPr>
                <w:rFonts w:ascii="Arial" w:hAnsi="Arial" w:cs="Arial"/>
                <w:sz w:val="24"/>
                <w:szCs w:val="24"/>
              </w:rPr>
            </w:pPr>
            <w:r>
              <w:rPr>
                <w:rFonts w:ascii="Arial" w:hAnsi="Arial" w:cs="Arial"/>
                <w:sz w:val="24"/>
                <w:szCs w:val="24"/>
              </w:rPr>
              <w:t>t</w:t>
            </w:r>
            <w:r w:rsidRPr="00B660D8">
              <w:rPr>
                <w:rFonts w:ascii="Arial" w:hAnsi="Arial" w:cs="Arial"/>
                <w:sz w:val="24"/>
                <w:szCs w:val="24"/>
              </w:rPr>
              <w:t>he plan attached to th</w:t>
            </w:r>
            <w:r>
              <w:rPr>
                <w:rFonts w:ascii="Arial" w:hAnsi="Arial" w:cs="Arial"/>
                <w:sz w:val="24"/>
                <w:szCs w:val="24"/>
              </w:rPr>
              <w:t>e relevant DPPO</w:t>
            </w:r>
          </w:p>
          <w:p w:rsidR="00FC419D" w:rsidRPr="00B660D8" w:rsidRDefault="00FC419D" w:rsidP="0076531B">
            <w:pPr>
              <w:jc w:val="both"/>
              <w:rPr>
                <w:rFonts w:ascii="Arial" w:hAnsi="Arial" w:cs="Arial"/>
                <w:sz w:val="24"/>
                <w:szCs w:val="24"/>
              </w:rPr>
            </w:pPr>
          </w:p>
        </w:tc>
      </w:tr>
      <w:tr w:rsidR="00FC419D" w:rsidRPr="00B660D8" w:rsidTr="0076531B">
        <w:tc>
          <w:tcPr>
            <w:tcW w:w="2660" w:type="dxa"/>
          </w:tcPr>
          <w:p w:rsidR="00FC419D" w:rsidRDefault="00FC419D" w:rsidP="0076531B">
            <w:pPr>
              <w:jc w:val="both"/>
              <w:rPr>
                <w:rFonts w:ascii="Arial" w:hAnsi="Arial" w:cs="Arial"/>
                <w:sz w:val="24"/>
                <w:szCs w:val="24"/>
              </w:rPr>
            </w:pPr>
            <w:r>
              <w:rPr>
                <w:rFonts w:ascii="Arial" w:hAnsi="Arial" w:cs="Arial"/>
                <w:sz w:val="24"/>
                <w:szCs w:val="24"/>
              </w:rPr>
              <w:t>Premises Licence</w:t>
            </w:r>
          </w:p>
          <w:p w:rsidR="00FC419D" w:rsidRPr="00B660D8" w:rsidRDefault="00FC419D" w:rsidP="0076531B">
            <w:pPr>
              <w:jc w:val="both"/>
              <w:rPr>
                <w:rFonts w:ascii="Arial" w:hAnsi="Arial" w:cs="Arial"/>
                <w:sz w:val="24"/>
                <w:szCs w:val="24"/>
              </w:rPr>
            </w:pPr>
          </w:p>
        </w:tc>
        <w:tc>
          <w:tcPr>
            <w:tcW w:w="5612" w:type="dxa"/>
          </w:tcPr>
          <w:p w:rsidR="00FC419D" w:rsidRDefault="00FC419D" w:rsidP="0076531B">
            <w:pPr>
              <w:jc w:val="both"/>
              <w:rPr>
                <w:rFonts w:ascii="Arial" w:hAnsi="Arial" w:cs="Arial"/>
                <w:color w:val="000000"/>
                <w:sz w:val="24"/>
                <w:szCs w:val="24"/>
              </w:rPr>
            </w:pPr>
            <w:r w:rsidRPr="00B85750">
              <w:rPr>
                <w:rFonts w:ascii="Arial" w:hAnsi="Arial" w:cs="Arial"/>
                <w:color w:val="000000"/>
                <w:sz w:val="24"/>
                <w:szCs w:val="24"/>
              </w:rPr>
              <w:t>has the meaning given by section 11 of th</w:t>
            </w:r>
            <w:r>
              <w:rPr>
                <w:rFonts w:ascii="Arial" w:hAnsi="Arial" w:cs="Arial"/>
                <w:color w:val="000000"/>
                <w:sz w:val="24"/>
                <w:szCs w:val="24"/>
              </w:rPr>
              <w:t>e Licensing Act 2003</w:t>
            </w:r>
          </w:p>
          <w:p w:rsidR="00FC419D" w:rsidRPr="00B85750" w:rsidRDefault="00FC419D" w:rsidP="0076531B">
            <w:pPr>
              <w:jc w:val="both"/>
              <w:rPr>
                <w:rFonts w:ascii="Arial" w:hAnsi="Arial" w:cs="Arial"/>
                <w:sz w:val="24"/>
                <w:szCs w:val="24"/>
              </w:rPr>
            </w:pPr>
          </w:p>
        </w:tc>
      </w:tr>
      <w:tr w:rsidR="00FC419D" w:rsidRPr="00B660D8" w:rsidTr="0076531B">
        <w:tc>
          <w:tcPr>
            <w:tcW w:w="2660" w:type="dxa"/>
          </w:tcPr>
          <w:p w:rsidR="00FC419D" w:rsidRDefault="00FC419D" w:rsidP="0076531B">
            <w:pPr>
              <w:jc w:val="both"/>
              <w:rPr>
                <w:rFonts w:ascii="Arial" w:hAnsi="Arial" w:cs="Arial"/>
                <w:sz w:val="24"/>
                <w:szCs w:val="24"/>
              </w:rPr>
            </w:pPr>
            <w:r>
              <w:rPr>
                <w:rFonts w:ascii="Arial" w:hAnsi="Arial" w:cs="Arial"/>
                <w:sz w:val="24"/>
                <w:szCs w:val="24"/>
              </w:rPr>
              <w:t>PSPO</w:t>
            </w:r>
          </w:p>
        </w:tc>
        <w:tc>
          <w:tcPr>
            <w:tcW w:w="5612" w:type="dxa"/>
          </w:tcPr>
          <w:p w:rsidR="00FC419D" w:rsidRPr="00B85750" w:rsidRDefault="00FC419D" w:rsidP="0076531B">
            <w:pPr>
              <w:jc w:val="both"/>
              <w:rPr>
                <w:rFonts w:ascii="Arial" w:hAnsi="Arial" w:cs="Arial"/>
                <w:color w:val="000000"/>
                <w:sz w:val="24"/>
                <w:szCs w:val="24"/>
              </w:rPr>
            </w:pPr>
            <w:r>
              <w:rPr>
                <w:rFonts w:ascii="Arial" w:hAnsi="Arial" w:cs="Arial"/>
                <w:sz w:val="24"/>
                <w:szCs w:val="24"/>
              </w:rPr>
              <w:t>Public Spaces Protection Order under the 2014 Act.</w:t>
            </w:r>
          </w:p>
        </w:tc>
      </w:tr>
      <w:tr w:rsidR="00FC419D" w:rsidRPr="00B660D8" w:rsidTr="0076531B">
        <w:tc>
          <w:tcPr>
            <w:tcW w:w="2660" w:type="dxa"/>
          </w:tcPr>
          <w:p w:rsidR="00FC419D" w:rsidRPr="00B660D8" w:rsidRDefault="00FC419D" w:rsidP="0076531B">
            <w:pPr>
              <w:jc w:val="both"/>
              <w:rPr>
                <w:rFonts w:ascii="Arial" w:hAnsi="Arial" w:cs="Arial"/>
                <w:sz w:val="24"/>
                <w:szCs w:val="24"/>
              </w:rPr>
            </w:pPr>
            <w:r w:rsidRPr="00B660D8">
              <w:rPr>
                <w:rFonts w:ascii="Arial" w:hAnsi="Arial" w:cs="Arial"/>
                <w:sz w:val="24"/>
                <w:szCs w:val="24"/>
              </w:rPr>
              <w:t>Restricted Area</w:t>
            </w:r>
          </w:p>
        </w:tc>
        <w:tc>
          <w:tcPr>
            <w:tcW w:w="5612" w:type="dxa"/>
          </w:tcPr>
          <w:p w:rsidR="00FC419D" w:rsidRDefault="00FC419D" w:rsidP="0076531B">
            <w:pPr>
              <w:jc w:val="both"/>
              <w:rPr>
                <w:rFonts w:ascii="Arial" w:hAnsi="Arial" w:cs="Arial"/>
                <w:sz w:val="24"/>
                <w:szCs w:val="24"/>
              </w:rPr>
            </w:pPr>
            <w:r w:rsidRPr="00B660D8">
              <w:rPr>
                <w:rFonts w:ascii="Arial" w:hAnsi="Arial" w:cs="Arial"/>
                <w:sz w:val="24"/>
                <w:szCs w:val="24"/>
              </w:rPr>
              <w:t>means the land designated in the Schedule to th</w:t>
            </w:r>
            <w:r>
              <w:rPr>
                <w:rFonts w:ascii="Arial" w:hAnsi="Arial" w:cs="Arial"/>
                <w:sz w:val="24"/>
                <w:szCs w:val="24"/>
              </w:rPr>
              <w:t>e relevant DPPO</w:t>
            </w:r>
            <w:r w:rsidRPr="00B660D8">
              <w:rPr>
                <w:rFonts w:ascii="Arial" w:hAnsi="Arial" w:cs="Arial"/>
                <w:sz w:val="24"/>
                <w:szCs w:val="24"/>
              </w:rPr>
              <w:t xml:space="preserve"> </w:t>
            </w:r>
          </w:p>
          <w:p w:rsidR="00FC419D" w:rsidRPr="00B660D8" w:rsidRDefault="00FC419D" w:rsidP="0076531B">
            <w:pPr>
              <w:jc w:val="both"/>
              <w:rPr>
                <w:rFonts w:ascii="Arial" w:hAnsi="Arial" w:cs="Arial"/>
                <w:sz w:val="24"/>
                <w:szCs w:val="24"/>
              </w:rPr>
            </w:pPr>
          </w:p>
        </w:tc>
      </w:tr>
      <w:tr w:rsidR="00FC419D" w:rsidRPr="00B660D8" w:rsidTr="0076531B">
        <w:tc>
          <w:tcPr>
            <w:tcW w:w="2660" w:type="dxa"/>
          </w:tcPr>
          <w:p w:rsidR="00FC419D" w:rsidRPr="00B660D8" w:rsidRDefault="00FC419D" w:rsidP="0076531B">
            <w:pPr>
              <w:jc w:val="both"/>
              <w:rPr>
                <w:rFonts w:ascii="Arial" w:hAnsi="Arial" w:cs="Arial"/>
                <w:sz w:val="24"/>
                <w:szCs w:val="24"/>
              </w:rPr>
            </w:pPr>
            <w:r>
              <w:rPr>
                <w:rFonts w:ascii="Arial" w:hAnsi="Arial" w:cs="Arial"/>
                <w:sz w:val="24"/>
                <w:szCs w:val="24"/>
              </w:rPr>
              <w:t>Supply Of Alcohol</w:t>
            </w:r>
          </w:p>
        </w:tc>
        <w:tc>
          <w:tcPr>
            <w:tcW w:w="5612" w:type="dxa"/>
          </w:tcPr>
          <w:p w:rsidR="00FC419D" w:rsidRPr="00B660D8" w:rsidRDefault="00FC419D" w:rsidP="0076531B">
            <w:pPr>
              <w:pStyle w:val="NormalWeb"/>
              <w:shd w:val="clear" w:color="auto" w:fill="FFFFFF"/>
              <w:spacing w:line="384" w:lineRule="atLeast"/>
              <w:ind w:firstLine="34"/>
              <w:rPr>
                <w:rFonts w:ascii="Arial" w:hAnsi="Arial" w:cs="Arial"/>
                <w:color w:val="000000"/>
              </w:rPr>
            </w:pPr>
            <w:proofErr w:type="gramStart"/>
            <w:r w:rsidRPr="00B660D8">
              <w:rPr>
                <w:rFonts w:ascii="Arial" w:hAnsi="Arial" w:cs="Arial"/>
                <w:color w:val="000000"/>
              </w:rPr>
              <w:t>has</w:t>
            </w:r>
            <w:proofErr w:type="gramEnd"/>
            <w:r w:rsidRPr="00B660D8">
              <w:rPr>
                <w:rFonts w:ascii="Arial" w:hAnsi="Arial" w:cs="Arial"/>
                <w:color w:val="000000"/>
              </w:rPr>
              <w:t xml:space="preserve"> the meaning given by section 14 of th</w:t>
            </w:r>
            <w:r>
              <w:rPr>
                <w:rFonts w:ascii="Arial" w:hAnsi="Arial" w:cs="Arial"/>
                <w:color w:val="000000"/>
              </w:rPr>
              <w:t>e Licensing Act 2003</w:t>
            </w:r>
            <w:r w:rsidRPr="00B660D8">
              <w:rPr>
                <w:rFonts w:ascii="Arial" w:hAnsi="Arial" w:cs="Arial"/>
                <w:color w:val="000000"/>
              </w:rPr>
              <w:t>.</w:t>
            </w:r>
          </w:p>
          <w:p w:rsidR="00FC419D" w:rsidRPr="00B660D8" w:rsidRDefault="00FC419D" w:rsidP="0076531B">
            <w:pPr>
              <w:jc w:val="both"/>
              <w:rPr>
                <w:rFonts w:ascii="Arial" w:hAnsi="Arial" w:cs="Arial"/>
                <w:sz w:val="24"/>
                <w:szCs w:val="24"/>
              </w:rPr>
            </w:pPr>
          </w:p>
        </w:tc>
      </w:tr>
      <w:tr w:rsidR="00FC419D" w:rsidRPr="00B660D8" w:rsidTr="0076531B">
        <w:tc>
          <w:tcPr>
            <w:tcW w:w="2660" w:type="dxa"/>
          </w:tcPr>
          <w:p w:rsidR="00FC419D" w:rsidRPr="00B660D8" w:rsidRDefault="00FC419D" w:rsidP="0076531B">
            <w:pPr>
              <w:jc w:val="both"/>
              <w:rPr>
                <w:rFonts w:ascii="Arial" w:hAnsi="Arial" w:cs="Arial"/>
                <w:sz w:val="24"/>
                <w:szCs w:val="24"/>
              </w:rPr>
            </w:pPr>
            <w:r>
              <w:rPr>
                <w:rFonts w:ascii="Arial" w:hAnsi="Arial" w:cs="Arial"/>
                <w:sz w:val="24"/>
                <w:szCs w:val="24"/>
              </w:rPr>
              <w:t>the 2014 Act</w:t>
            </w:r>
          </w:p>
        </w:tc>
        <w:tc>
          <w:tcPr>
            <w:tcW w:w="5612" w:type="dxa"/>
          </w:tcPr>
          <w:p w:rsidR="00FC419D" w:rsidRDefault="00FC419D" w:rsidP="0076531B">
            <w:pPr>
              <w:jc w:val="both"/>
              <w:rPr>
                <w:rFonts w:ascii="Arial" w:hAnsi="Arial" w:cs="Arial"/>
                <w:sz w:val="24"/>
                <w:szCs w:val="24"/>
              </w:rPr>
            </w:pPr>
            <w:r>
              <w:rPr>
                <w:rFonts w:ascii="Arial" w:hAnsi="Arial" w:cs="Arial"/>
                <w:sz w:val="24"/>
                <w:szCs w:val="24"/>
              </w:rPr>
              <w:t>Anti-social Behaviour, Crime and Policing Act 2014</w:t>
            </w:r>
          </w:p>
          <w:p w:rsidR="00FC419D" w:rsidRPr="00B660D8" w:rsidRDefault="00FC419D" w:rsidP="0076531B">
            <w:pPr>
              <w:jc w:val="both"/>
              <w:rPr>
                <w:rFonts w:ascii="Arial" w:hAnsi="Arial" w:cs="Arial"/>
                <w:sz w:val="24"/>
                <w:szCs w:val="24"/>
              </w:rPr>
            </w:pPr>
          </w:p>
        </w:tc>
      </w:tr>
    </w:tbl>
    <w:p w:rsidR="00FC419D" w:rsidRPr="00B660D8" w:rsidRDefault="00FC419D" w:rsidP="00FC419D">
      <w:pPr>
        <w:jc w:val="both"/>
        <w:rPr>
          <w:rFonts w:ascii="Arial" w:hAnsi="Arial" w:cs="Arial"/>
          <w:color w:val="00B0F0"/>
          <w:sz w:val="24"/>
          <w:szCs w:val="24"/>
        </w:rPr>
      </w:pPr>
    </w:p>
    <w:p w:rsidR="00DD09F3" w:rsidRDefault="00FC419D" w:rsidP="00FF095C">
      <w:pPr>
        <w:ind w:left="709"/>
        <w:jc w:val="both"/>
        <w:rPr>
          <w:rFonts w:ascii="Arial" w:hAnsi="Arial" w:cs="Arial"/>
        </w:rPr>
      </w:pPr>
      <w:r w:rsidRPr="00B660D8">
        <w:rPr>
          <w:rFonts w:ascii="Arial" w:hAnsi="Arial" w:cs="Arial"/>
          <w:color w:val="00B0F0"/>
          <w:sz w:val="24"/>
          <w:szCs w:val="24"/>
        </w:rPr>
        <w:tab/>
      </w:r>
      <w:r w:rsidRPr="00B660D8">
        <w:rPr>
          <w:rFonts w:ascii="Arial" w:hAnsi="Arial" w:cs="Arial"/>
          <w:color w:val="00B0F0"/>
          <w:sz w:val="24"/>
          <w:szCs w:val="24"/>
        </w:rPr>
        <w:tab/>
      </w:r>
      <w:r w:rsidRPr="00B660D8">
        <w:rPr>
          <w:rFonts w:ascii="Arial" w:hAnsi="Arial" w:cs="Arial"/>
          <w:color w:val="00B0F0"/>
          <w:sz w:val="24"/>
          <w:szCs w:val="24"/>
        </w:rPr>
        <w:tab/>
      </w:r>
    </w:p>
    <w:p w:rsidR="00FC419D" w:rsidRPr="00B660D8" w:rsidRDefault="00FC419D" w:rsidP="00FC419D">
      <w:pPr>
        <w:pStyle w:val="ListParagraph"/>
        <w:ind w:left="0"/>
        <w:rPr>
          <w:rFonts w:ascii="Arial" w:hAnsi="Arial" w:cs="Arial"/>
        </w:rPr>
      </w:pPr>
      <w:r>
        <w:rPr>
          <w:rFonts w:ascii="Arial" w:hAnsi="Arial" w:cs="Arial"/>
        </w:rPr>
        <w:t xml:space="preserve">Under section 75(3) of the 2014 Act THE </w:t>
      </w:r>
      <w:r w:rsidR="00DD09F3">
        <w:rPr>
          <w:rFonts w:ascii="Arial" w:hAnsi="Arial" w:cs="Arial"/>
        </w:rPr>
        <w:t xml:space="preserve">NOTTINGHAM </w:t>
      </w:r>
      <w:r>
        <w:rPr>
          <w:rFonts w:ascii="Arial" w:hAnsi="Arial" w:cs="Arial"/>
        </w:rPr>
        <w:t>DPPOs remain in force as PSPOs with any necessary modifications from 20 October 2017</w:t>
      </w:r>
      <w:r w:rsidRPr="00B660D8">
        <w:rPr>
          <w:rFonts w:ascii="Arial" w:hAnsi="Arial" w:cs="Arial"/>
        </w:rPr>
        <w:t xml:space="preserve"> and </w:t>
      </w:r>
      <w:r>
        <w:rPr>
          <w:rFonts w:ascii="Arial" w:hAnsi="Arial" w:cs="Arial"/>
        </w:rPr>
        <w:t xml:space="preserve">under section 60 of the 2014 Act thereafter </w:t>
      </w:r>
      <w:r w:rsidRPr="00B660D8">
        <w:rPr>
          <w:rFonts w:ascii="Arial" w:hAnsi="Arial" w:cs="Arial"/>
        </w:rPr>
        <w:t>remain in effect for three years from</w:t>
      </w:r>
      <w:r>
        <w:rPr>
          <w:rFonts w:ascii="Arial" w:hAnsi="Arial" w:cs="Arial"/>
        </w:rPr>
        <w:t xml:space="preserve"> 20 October 2017</w:t>
      </w:r>
      <w:r w:rsidRPr="00B660D8">
        <w:rPr>
          <w:rFonts w:ascii="Arial" w:hAnsi="Arial" w:cs="Arial"/>
        </w:rPr>
        <w:t>.</w:t>
      </w:r>
    </w:p>
    <w:p w:rsidR="00FC419D" w:rsidRPr="00B660D8" w:rsidRDefault="00FC419D" w:rsidP="00FC419D">
      <w:pPr>
        <w:pStyle w:val="ListParagraph"/>
        <w:ind w:left="0"/>
        <w:rPr>
          <w:rFonts w:ascii="Arial" w:hAnsi="Arial" w:cs="Arial"/>
          <w:b/>
        </w:rPr>
      </w:pPr>
    </w:p>
    <w:p w:rsidR="00FC419D" w:rsidRPr="00B660D8" w:rsidRDefault="00FC419D" w:rsidP="00FC419D">
      <w:pPr>
        <w:pStyle w:val="ListParagraph"/>
        <w:ind w:left="0"/>
        <w:rPr>
          <w:rFonts w:ascii="Arial" w:hAnsi="Arial" w:cs="Arial"/>
          <w:b/>
        </w:rPr>
      </w:pPr>
      <w:r w:rsidRPr="00B660D8">
        <w:rPr>
          <w:rFonts w:ascii="Arial" w:hAnsi="Arial" w:cs="Arial"/>
          <w:b/>
        </w:rPr>
        <w:t>Prohibition</w:t>
      </w:r>
      <w:r>
        <w:rPr>
          <w:rFonts w:ascii="Arial" w:hAnsi="Arial" w:cs="Arial"/>
          <w:b/>
        </w:rPr>
        <w:t xml:space="preserve"> on consuming Alcohol</w:t>
      </w:r>
      <w:r w:rsidRPr="00B660D8">
        <w:rPr>
          <w:rFonts w:ascii="Arial" w:hAnsi="Arial" w:cs="Arial"/>
          <w:b/>
        </w:rPr>
        <w:t>:</w:t>
      </w:r>
    </w:p>
    <w:p w:rsidR="00FC419D" w:rsidRPr="00B660D8" w:rsidRDefault="00FC419D" w:rsidP="00FC419D">
      <w:pPr>
        <w:pStyle w:val="ListParagraph"/>
        <w:ind w:left="0"/>
        <w:rPr>
          <w:rFonts w:ascii="Arial" w:hAnsi="Arial" w:cs="Arial"/>
          <w:b/>
        </w:rPr>
      </w:pPr>
    </w:p>
    <w:p w:rsidR="00FC419D" w:rsidRPr="00B660D8" w:rsidRDefault="00FC419D" w:rsidP="00FC419D">
      <w:pPr>
        <w:pStyle w:val="ListParagraph"/>
        <w:ind w:left="0"/>
        <w:rPr>
          <w:rFonts w:ascii="Arial" w:hAnsi="Arial" w:cs="Arial"/>
        </w:rPr>
      </w:pPr>
      <w:r w:rsidRPr="00654140">
        <w:rPr>
          <w:rFonts w:ascii="Arial" w:hAnsi="Arial" w:cs="Arial"/>
        </w:rPr>
        <w:t xml:space="preserve">By virtue of sections 62 and 63 of the 2014 Act the consumption of Alcohol is </w:t>
      </w:r>
      <w:r w:rsidRPr="00654140">
        <w:rPr>
          <w:rFonts w:ascii="Arial" w:hAnsi="Arial" w:cs="Arial"/>
          <w:b/>
        </w:rPr>
        <w:t>prohibited</w:t>
      </w:r>
      <w:r w:rsidRPr="00654140">
        <w:rPr>
          <w:rFonts w:ascii="Arial" w:hAnsi="Arial" w:cs="Arial"/>
        </w:rPr>
        <w:t xml:space="preserve"> in the Restricted Area (“the Prohibition”).</w:t>
      </w:r>
    </w:p>
    <w:p w:rsidR="00FC419D" w:rsidRPr="00B660D8" w:rsidRDefault="00FC419D" w:rsidP="00FC419D">
      <w:pPr>
        <w:pStyle w:val="ListParagraph"/>
        <w:ind w:left="0"/>
        <w:rPr>
          <w:rFonts w:ascii="Arial" w:hAnsi="Arial" w:cs="Arial"/>
        </w:rPr>
      </w:pPr>
    </w:p>
    <w:p w:rsidR="00FC419D" w:rsidRPr="00B660D8" w:rsidRDefault="00FC419D" w:rsidP="00FC419D">
      <w:pPr>
        <w:jc w:val="both"/>
        <w:rPr>
          <w:rFonts w:ascii="Arial" w:hAnsi="Arial" w:cs="Arial"/>
          <w:sz w:val="24"/>
          <w:szCs w:val="24"/>
        </w:rPr>
      </w:pPr>
      <w:r>
        <w:rPr>
          <w:rFonts w:ascii="Arial" w:hAnsi="Arial" w:cs="Arial"/>
          <w:sz w:val="24"/>
          <w:szCs w:val="24"/>
        </w:rPr>
        <w:t>Under section 62 (1) of the 2014 Act t</w:t>
      </w:r>
      <w:r w:rsidRPr="00B660D8">
        <w:rPr>
          <w:rFonts w:ascii="Arial" w:hAnsi="Arial" w:cs="Arial"/>
          <w:sz w:val="24"/>
          <w:szCs w:val="24"/>
        </w:rPr>
        <w:t xml:space="preserve">he </w:t>
      </w:r>
      <w:r>
        <w:rPr>
          <w:rFonts w:ascii="Arial" w:hAnsi="Arial" w:cs="Arial"/>
          <w:sz w:val="24"/>
          <w:szCs w:val="24"/>
        </w:rPr>
        <w:t>P</w:t>
      </w:r>
      <w:r w:rsidRPr="00B660D8">
        <w:rPr>
          <w:rFonts w:ascii="Arial" w:hAnsi="Arial" w:cs="Arial"/>
          <w:sz w:val="24"/>
          <w:szCs w:val="24"/>
        </w:rPr>
        <w:t>rohibition does not apply to:-</w:t>
      </w:r>
    </w:p>
    <w:p w:rsidR="00FC419D" w:rsidRPr="00B660D8" w:rsidRDefault="00FC419D" w:rsidP="00FC419D">
      <w:pPr>
        <w:pStyle w:val="NormalWeb"/>
        <w:shd w:val="clear" w:color="auto" w:fill="FFFFFF"/>
        <w:spacing w:line="384" w:lineRule="atLeast"/>
        <w:ind w:left="426"/>
        <w:rPr>
          <w:rFonts w:ascii="Arial" w:hAnsi="Arial" w:cs="Arial"/>
          <w:color w:val="000000"/>
        </w:rPr>
      </w:pPr>
      <w:r>
        <w:rPr>
          <w:rFonts w:ascii="Arial" w:hAnsi="Arial" w:cs="Arial"/>
          <w:color w:val="000000"/>
        </w:rPr>
        <w:t xml:space="preserve">(a) </w:t>
      </w:r>
      <w:proofErr w:type="gramStart"/>
      <w:r>
        <w:rPr>
          <w:rFonts w:ascii="Arial" w:hAnsi="Arial" w:cs="Arial"/>
          <w:color w:val="000000"/>
        </w:rPr>
        <w:t>premises</w:t>
      </w:r>
      <w:proofErr w:type="gramEnd"/>
      <w:r>
        <w:rPr>
          <w:rFonts w:ascii="Arial" w:hAnsi="Arial" w:cs="Arial"/>
          <w:color w:val="000000"/>
        </w:rPr>
        <w:t xml:space="preserve"> (other than C</w:t>
      </w:r>
      <w:r w:rsidRPr="00B660D8">
        <w:rPr>
          <w:rFonts w:ascii="Arial" w:hAnsi="Arial" w:cs="Arial"/>
          <w:color w:val="000000"/>
        </w:rPr>
        <w:t xml:space="preserve">ouncil-operated </w:t>
      </w:r>
      <w:r>
        <w:rPr>
          <w:rFonts w:ascii="Arial" w:hAnsi="Arial" w:cs="Arial"/>
          <w:color w:val="000000"/>
        </w:rPr>
        <w:t>Licensed P</w:t>
      </w:r>
      <w:r w:rsidRPr="00B660D8">
        <w:rPr>
          <w:rFonts w:ascii="Arial" w:hAnsi="Arial" w:cs="Arial"/>
          <w:color w:val="000000"/>
        </w:rPr>
        <w:t xml:space="preserve">remises) authorised by a </w:t>
      </w:r>
      <w:r>
        <w:rPr>
          <w:rFonts w:ascii="Arial" w:hAnsi="Arial" w:cs="Arial"/>
          <w:color w:val="000000"/>
        </w:rPr>
        <w:t>P</w:t>
      </w:r>
      <w:r w:rsidRPr="00B660D8">
        <w:rPr>
          <w:rFonts w:ascii="Arial" w:hAnsi="Arial" w:cs="Arial"/>
          <w:color w:val="000000"/>
        </w:rPr>
        <w:t xml:space="preserve">remises </w:t>
      </w:r>
      <w:r>
        <w:rPr>
          <w:rFonts w:ascii="Arial" w:hAnsi="Arial" w:cs="Arial"/>
          <w:color w:val="000000"/>
        </w:rPr>
        <w:t>L</w:t>
      </w:r>
      <w:r w:rsidRPr="00B660D8">
        <w:rPr>
          <w:rFonts w:ascii="Arial" w:hAnsi="Arial" w:cs="Arial"/>
          <w:color w:val="000000"/>
        </w:rPr>
        <w:t xml:space="preserve">icence to be used for the </w:t>
      </w:r>
      <w:r>
        <w:rPr>
          <w:rFonts w:ascii="Arial" w:hAnsi="Arial" w:cs="Arial"/>
          <w:color w:val="000000"/>
        </w:rPr>
        <w:t>Supply O</w:t>
      </w:r>
      <w:r w:rsidRPr="00B660D8">
        <w:rPr>
          <w:rFonts w:ascii="Arial" w:hAnsi="Arial" w:cs="Arial"/>
          <w:color w:val="000000"/>
        </w:rPr>
        <w:t xml:space="preserve">f </w:t>
      </w:r>
      <w:r>
        <w:rPr>
          <w:rFonts w:ascii="Arial" w:hAnsi="Arial" w:cs="Arial"/>
          <w:color w:val="000000"/>
        </w:rPr>
        <w:t>A</w:t>
      </w:r>
      <w:r w:rsidRPr="00B660D8">
        <w:rPr>
          <w:rFonts w:ascii="Arial" w:hAnsi="Arial" w:cs="Arial"/>
          <w:color w:val="000000"/>
        </w:rPr>
        <w:t>lcohol;</w:t>
      </w:r>
    </w:p>
    <w:p w:rsidR="00FC419D" w:rsidRPr="00B660D8" w:rsidRDefault="00FC419D" w:rsidP="00FC419D">
      <w:pPr>
        <w:pStyle w:val="NormalWeb"/>
        <w:shd w:val="clear" w:color="auto" w:fill="FFFFFF"/>
        <w:spacing w:line="384" w:lineRule="atLeast"/>
        <w:ind w:left="426"/>
        <w:rPr>
          <w:rFonts w:ascii="Arial" w:hAnsi="Arial" w:cs="Arial"/>
          <w:color w:val="000000"/>
        </w:rPr>
      </w:pPr>
      <w:r>
        <w:rPr>
          <w:rFonts w:ascii="Arial" w:hAnsi="Arial" w:cs="Arial"/>
          <w:color w:val="000000"/>
        </w:rPr>
        <w:t xml:space="preserve">(b) </w:t>
      </w:r>
      <w:proofErr w:type="gramStart"/>
      <w:r>
        <w:rPr>
          <w:rFonts w:ascii="Arial" w:hAnsi="Arial" w:cs="Arial"/>
          <w:color w:val="000000"/>
        </w:rPr>
        <w:t>premises</w:t>
      </w:r>
      <w:proofErr w:type="gramEnd"/>
      <w:r>
        <w:rPr>
          <w:rFonts w:ascii="Arial" w:hAnsi="Arial" w:cs="Arial"/>
          <w:color w:val="000000"/>
        </w:rPr>
        <w:t xml:space="preserve"> authorised by a C</w:t>
      </w:r>
      <w:r w:rsidRPr="00B660D8">
        <w:rPr>
          <w:rFonts w:ascii="Arial" w:hAnsi="Arial" w:cs="Arial"/>
          <w:color w:val="000000"/>
        </w:rPr>
        <w:t xml:space="preserve">lub </w:t>
      </w:r>
      <w:r>
        <w:rPr>
          <w:rFonts w:ascii="Arial" w:hAnsi="Arial" w:cs="Arial"/>
          <w:color w:val="000000"/>
        </w:rPr>
        <w:t>P</w:t>
      </w:r>
      <w:r w:rsidRPr="00B660D8">
        <w:rPr>
          <w:rFonts w:ascii="Arial" w:hAnsi="Arial" w:cs="Arial"/>
          <w:color w:val="000000"/>
        </w:rPr>
        <w:t xml:space="preserve">remises </w:t>
      </w:r>
      <w:r>
        <w:rPr>
          <w:rFonts w:ascii="Arial" w:hAnsi="Arial" w:cs="Arial"/>
          <w:color w:val="000000"/>
        </w:rPr>
        <w:t>C</w:t>
      </w:r>
      <w:r w:rsidRPr="00B660D8">
        <w:rPr>
          <w:rFonts w:ascii="Arial" w:hAnsi="Arial" w:cs="Arial"/>
          <w:color w:val="000000"/>
        </w:rPr>
        <w:t xml:space="preserve">ertificate to be used by the club for the </w:t>
      </w:r>
      <w:r>
        <w:rPr>
          <w:rFonts w:ascii="Arial" w:hAnsi="Arial" w:cs="Arial"/>
          <w:color w:val="000000"/>
        </w:rPr>
        <w:t>Supply O</w:t>
      </w:r>
      <w:r w:rsidRPr="00B660D8">
        <w:rPr>
          <w:rFonts w:ascii="Arial" w:hAnsi="Arial" w:cs="Arial"/>
          <w:color w:val="000000"/>
        </w:rPr>
        <w:t xml:space="preserve">f </w:t>
      </w:r>
      <w:r>
        <w:rPr>
          <w:rFonts w:ascii="Arial" w:hAnsi="Arial" w:cs="Arial"/>
          <w:color w:val="000000"/>
        </w:rPr>
        <w:t>A</w:t>
      </w:r>
      <w:r w:rsidRPr="00B660D8">
        <w:rPr>
          <w:rFonts w:ascii="Arial" w:hAnsi="Arial" w:cs="Arial"/>
          <w:color w:val="000000"/>
        </w:rPr>
        <w:t>lcohol;</w:t>
      </w:r>
    </w:p>
    <w:p w:rsidR="00FC419D" w:rsidRPr="00B660D8" w:rsidRDefault="00FC419D" w:rsidP="00FC419D">
      <w:pPr>
        <w:pStyle w:val="NormalWeb"/>
        <w:shd w:val="clear" w:color="auto" w:fill="FFFFFF"/>
        <w:spacing w:line="384" w:lineRule="atLeast"/>
        <w:ind w:left="426"/>
        <w:rPr>
          <w:rFonts w:ascii="Arial" w:hAnsi="Arial" w:cs="Arial"/>
          <w:color w:val="000000"/>
        </w:rPr>
      </w:pPr>
      <w:r w:rsidRPr="00B660D8">
        <w:rPr>
          <w:rFonts w:ascii="Arial" w:hAnsi="Arial" w:cs="Arial"/>
          <w:color w:val="000000"/>
        </w:rPr>
        <w:t xml:space="preserve">(c) </w:t>
      </w:r>
      <w:proofErr w:type="gramStart"/>
      <w:r w:rsidRPr="00B660D8">
        <w:rPr>
          <w:rFonts w:ascii="Arial" w:hAnsi="Arial" w:cs="Arial"/>
          <w:color w:val="000000"/>
        </w:rPr>
        <w:t>a</w:t>
      </w:r>
      <w:proofErr w:type="gramEnd"/>
      <w:r w:rsidRPr="00B660D8">
        <w:rPr>
          <w:rFonts w:ascii="Arial" w:hAnsi="Arial" w:cs="Arial"/>
          <w:color w:val="000000"/>
        </w:rPr>
        <w:t xml:space="preserve"> place within the curtilage of premises within</w:t>
      </w:r>
      <w:r>
        <w:rPr>
          <w:rFonts w:ascii="Arial" w:hAnsi="Arial" w:cs="Arial"/>
          <w:color w:val="000000"/>
        </w:rPr>
        <w:t xml:space="preserve"> </w:t>
      </w:r>
      <w:r w:rsidRPr="00B660D8">
        <w:rPr>
          <w:rFonts w:ascii="Arial" w:hAnsi="Arial" w:cs="Arial"/>
          <w:color w:val="000000"/>
        </w:rPr>
        <w:t>(a) or</w:t>
      </w:r>
      <w:r>
        <w:rPr>
          <w:rFonts w:ascii="Arial" w:hAnsi="Arial" w:cs="Arial"/>
          <w:color w:val="000000"/>
        </w:rPr>
        <w:t xml:space="preserve"> </w:t>
      </w:r>
      <w:r w:rsidRPr="00B660D8">
        <w:rPr>
          <w:rFonts w:ascii="Arial" w:hAnsi="Arial" w:cs="Arial"/>
          <w:color w:val="000000"/>
        </w:rPr>
        <w:t>(b)</w:t>
      </w:r>
      <w:r>
        <w:rPr>
          <w:rFonts w:ascii="Arial" w:hAnsi="Arial" w:cs="Arial"/>
          <w:color w:val="000000"/>
        </w:rPr>
        <w:t xml:space="preserve"> above</w:t>
      </w:r>
      <w:r w:rsidRPr="00B660D8">
        <w:rPr>
          <w:rFonts w:ascii="Arial" w:hAnsi="Arial" w:cs="Arial"/>
          <w:color w:val="000000"/>
        </w:rPr>
        <w:t>;</w:t>
      </w:r>
    </w:p>
    <w:p w:rsidR="00FC419D" w:rsidRPr="00B660D8" w:rsidRDefault="00FC419D" w:rsidP="00FC419D">
      <w:pPr>
        <w:pStyle w:val="NormalWeb"/>
        <w:shd w:val="clear" w:color="auto" w:fill="FFFFFF"/>
        <w:spacing w:line="384" w:lineRule="atLeast"/>
        <w:ind w:left="426"/>
        <w:rPr>
          <w:rFonts w:ascii="Arial" w:hAnsi="Arial" w:cs="Arial"/>
          <w:color w:val="000000"/>
        </w:rPr>
      </w:pPr>
      <w:r w:rsidRPr="00B660D8">
        <w:rPr>
          <w:rFonts w:ascii="Arial" w:hAnsi="Arial" w:cs="Arial"/>
          <w:color w:val="000000"/>
        </w:rPr>
        <w:t xml:space="preserve">(d) premises which by virtue of </w:t>
      </w:r>
      <w:hyperlink r:id="rId11" w:tgtFrame="_parent" w:history="1">
        <w:r w:rsidRPr="005F32C6">
          <w:rPr>
            <w:rStyle w:val="Hyperlink"/>
            <w:rFonts w:ascii="Arial" w:hAnsi="Arial" w:cs="Arial"/>
            <w:color w:val="auto"/>
          </w:rPr>
          <w:t>Part 5</w:t>
        </w:r>
      </w:hyperlink>
      <w:r w:rsidRPr="00B660D8">
        <w:rPr>
          <w:rFonts w:ascii="Arial" w:hAnsi="Arial" w:cs="Arial"/>
        </w:rPr>
        <w:t xml:space="preserve"> </w:t>
      </w:r>
      <w:r w:rsidRPr="00B660D8">
        <w:rPr>
          <w:rFonts w:ascii="Arial" w:hAnsi="Arial" w:cs="Arial"/>
          <w:color w:val="000000"/>
        </w:rPr>
        <w:t>of the Licensing Act 2003 may at the</w:t>
      </w:r>
      <w:r>
        <w:rPr>
          <w:rFonts w:ascii="Arial" w:hAnsi="Arial" w:cs="Arial"/>
          <w:color w:val="000000"/>
        </w:rPr>
        <w:t xml:space="preserve"> relevant time be used for the Supply O</w:t>
      </w:r>
      <w:r w:rsidRPr="00B660D8">
        <w:rPr>
          <w:rFonts w:ascii="Arial" w:hAnsi="Arial" w:cs="Arial"/>
          <w:color w:val="000000"/>
        </w:rPr>
        <w:t xml:space="preserve">f </w:t>
      </w:r>
      <w:r>
        <w:rPr>
          <w:rFonts w:ascii="Arial" w:hAnsi="Arial" w:cs="Arial"/>
          <w:color w:val="000000"/>
        </w:rPr>
        <w:t>A</w:t>
      </w:r>
      <w:r w:rsidRPr="00B660D8">
        <w:rPr>
          <w:rFonts w:ascii="Arial" w:hAnsi="Arial" w:cs="Arial"/>
          <w:color w:val="000000"/>
        </w:rPr>
        <w:t>lcohol or which, by virtue of that Part, could have been so used within the 30 minutes before that time;</w:t>
      </w:r>
    </w:p>
    <w:p w:rsidR="00FC419D" w:rsidRDefault="00FC419D" w:rsidP="00FC419D">
      <w:pPr>
        <w:pStyle w:val="NormalWeb"/>
        <w:shd w:val="clear" w:color="auto" w:fill="FFFFFF"/>
        <w:spacing w:line="384" w:lineRule="atLeast"/>
        <w:ind w:left="426"/>
        <w:rPr>
          <w:rFonts w:ascii="Arial" w:hAnsi="Arial" w:cs="Arial"/>
          <w:color w:val="000000"/>
        </w:rPr>
      </w:pPr>
      <w:r w:rsidRPr="00B660D8">
        <w:rPr>
          <w:rFonts w:ascii="Arial" w:hAnsi="Arial" w:cs="Arial"/>
          <w:color w:val="000000"/>
        </w:rPr>
        <w:t xml:space="preserve">(e) a place where facilities or activities relating to the sale or consumption of </w:t>
      </w:r>
      <w:r>
        <w:rPr>
          <w:rFonts w:ascii="Arial" w:hAnsi="Arial" w:cs="Arial"/>
          <w:color w:val="000000"/>
        </w:rPr>
        <w:t>A</w:t>
      </w:r>
      <w:r w:rsidRPr="00B660D8">
        <w:rPr>
          <w:rFonts w:ascii="Arial" w:hAnsi="Arial" w:cs="Arial"/>
          <w:color w:val="000000"/>
        </w:rPr>
        <w:t xml:space="preserve">lcohol are at the relevant time permitted by virtue of a permission granted under </w:t>
      </w:r>
      <w:hyperlink r:id="rId12" w:tgtFrame="_parent" w:history="1">
        <w:r w:rsidRPr="005F32C6">
          <w:rPr>
            <w:rStyle w:val="Hyperlink"/>
            <w:rFonts w:ascii="Arial" w:hAnsi="Arial" w:cs="Arial"/>
            <w:color w:val="auto"/>
          </w:rPr>
          <w:t>section 115E</w:t>
        </w:r>
      </w:hyperlink>
      <w:r w:rsidRPr="00B660D8">
        <w:rPr>
          <w:rFonts w:ascii="Arial" w:hAnsi="Arial" w:cs="Arial"/>
        </w:rPr>
        <w:t xml:space="preserve"> </w:t>
      </w:r>
      <w:r w:rsidRPr="00B660D8">
        <w:rPr>
          <w:rFonts w:ascii="Arial" w:hAnsi="Arial" w:cs="Arial"/>
          <w:color w:val="000000"/>
        </w:rPr>
        <w:t>of the Highways Act 1980 (highway-related uses).</w:t>
      </w:r>
    </w:p>
    <w:p w:rsidR="00FC419D" w:rsidRPr="00B660D8" w:rsidRDefault="00FC419D" w:rsidP="00FC419D">
      <w:pPr>
        <w:pStyle w:val="NormalWeb"/>
        <w:shd w:val="clear" w:color="auto" w:fill="FFFFFF"/>
        <w:spacing w:line="384" w:lineRule="atLeast"/>
        <w:rPr>
          <w:rFonts w:ascii="Arial" w:hAnsi="Arial" w:cs="Arial"/>
          <w:color w:val="000000"/>
        </w:rPr>
      </w:pPr>
      <w:r>
        <w:rPr>
          <w:rFonts w:ascii="Arial" w:hAnsi="Arial" w:cs="Arial"/>
          <w:color w:val="000000"/>
        </w:rPr>
        <w:t>Under section 62 (2) of the 2014 Act the Prohibition does not apply to Council-operated Licensed Premises:</w:t>
      </w:r>
    </w:p>
    <w:p w:rsidR="00FC419D" w:rsidRPr="00B660D8" w:rsidRDefault="00FC419D" w:rsidP="00FC419D">
      <w:pPr>
        <w:pStyle w:val="NormalWeb"/>
        <w:shd w:val="clear" w:color="auto" w:fill="FFFFFF"/>
        <w:spacing w:line="384" w:lineRule="atLeast"/>
        <w:ind w:firstLine="426"/>
        <w:rPr>
          <w:rFonts w:ascii="Arial" w:hAnsi="Arial" w:cs="Arial"/>
          <w:color w:val="000000"/>
        </w:rPr>
      </w:pPr>
      <w:r w:rsidRPr="00B660D8">
        <w:rPr>
          <w:rFonts w:ascii="Arial" w:hAnsi="Arial" w:cs="Arial"/>
          <w:color w:val="000000"/>
        </w:rPr>
        <w:t xml:space="preserve">(a) </w:t>
      </w:r>
      <w:proofErr w:type="gramStart"/>
      <w:r w:rsidRPr="00B660D8">
        <w:rPr>
          <w:rFonts w:ascii="Arial" w:hAnsi="Arial" w:cs="Arial"/>
          <w:color w:val="000000"/>
        </w:rPr>
        <w:t>when</w:t>
      </w:r>
      <w:proofErr w:type="gramEnd"/>
      <w:r w:rsidRPr="00B660D8">
        <w:rPr>
          <w:rFonts w:ascii="Arial" w:hAnsi="Arial" w:cs="Arial"/>
          <w:color w:val="000000"/>
        </w:rPr>
        <w:t xml:space="preserve"> the p</w:t>
      </w:r>
      <w:r>
        <w:rPr>
          <w:rFonts w:ascii="Arial" w:hAnsi="Arial" w:cs="Arial"/>
          <w:color w:val="000000"/>
        </w:rPr>
        <w:t>remises are being used for the S</w:t>
      </w:r>
      <w:r w:rsidRPr="00B660D8">
        <w:rPr>
          <w:rFonts w:ascii="Arial" w:hAnsi="Arial" w:cs="Arial"/>
          <w:color w:val="000000"/>
        </w:rPr>
        <w:t xml:space="preserve">upply </w:t>
      </w:r>
      <w:r>
        <w:rPr>
          <w:rFonts w:ascii="Arial" w:hAnsi="Arial" w:cs="Arial"/>
          <w:color w:val="000000"/>
        </w:rPr>
        <w:t>Of A</w:t>
      </w:r>
      <w:r w:rsidRPr="00B660D8">
        <w:rPr>
          <w:rFonts w:ascii="Arial" w:hAnsi="Arial" w:cs="Arial"/>
          <w:color w:val="000000"/>
        </w:rPr>
        <w:t>lcohol, or</w:t>
      </w:r>
    </w:p>
    <w:p w:rsidR="00FC419D" w:rsidRPr="00B660D8" w:rsidRDefault="00FC419D" w:rsidP="00FC419D">
      <w:pPr>
        <w:pStyle w:val="NormalWeb"/>
        <w:shd w:val="clear" w:color="auto" w:fill="FFFFFF"/>
        <w:spacing w:line="384" w:lineRule="atLeast"/>
        <w:ind w:left="426"/>
        <w:rPr>
          <w:rFonts w:ascii="Arial" w:hAnsi="Arial" w:cs="Arial"/>
          <w:color w:val="000000"/>
        </w:rPr>
      </w:pPr>
      <w:r w:rsidRPr="00B660D8">
        <w:rPr>
          <w:rFonts w:ascii="Arial" w:hAnsi="Arial" w:cs="Arial"/>
          <w:color w:val="000000"/>
        </w:rPr>
        <w:t xml:space="preserve">(b) </w:t>
      </w:r>
      <w:proofErr w:type="gramStart"/>
      <w:r w:rsidRPr="00B660D8">
        <w:rPr>
          <w:rFonts w:ascii="Arial" w:hAnsi="Arial" w:cs="Arial"/>
          <w:color w:val="000000"/>
        </w:rPr>
        <w:t>within</w:t>
      </w:r>
      <w:proofErr w:type="gramEnd"/>
      <w:r w:rsidRPr="00B660D8">
        <w:rPr>
          <w:rFonts w:ascii="Arial" w:hAnsi="Arial" w:cs="Arial"/>
          <w:color w:val="000000"/>
        </w:rPr>
        <w:t xml:space="preserve"> 30 minutes after the end of a period during which the premises have been used for the supply of alcohol</w:t>
      </w:r>
      <w:r>
        <w:rPr>
          <w:rFonts w:ascii="Arial" w:hAnsi="Arial" w:cs="Arial"/>
          <w:color w:val="000000"/>
        </w:rPr>
        <w:t>.</w:t>
      </w:r>
      <w:r w:rsidRPr="00B660D8">
        <w:rPr>
          <w:rFonts w:ascii="Arial" w:hAnsi="Arial" w:cs="Arial"/>
          <w:color w:val="000000"/>
        </w:rPr>
        <w:tab/>
      </w:r>
    </w:p>
    <w:p w:rsidR="00FC419D" w:rsidRPr="00B660D8" w:rsidRDefault="00FC419D" w:rsidP="00FC419D">
      <w:pPr>
        <w:jc w:val="both"/>
        <w:rPr>
          <w:rFonts w:ascii="Arial" w:hAnsi="Arial" w:cs="Arial"/>
          <w:b/>
          <w:sz w:val="24"/>
          <w:szCs w:val="24"/>
        </w:rPr>
      </w:pPr>
      <w:r>
        <w:rPr>
          <w:rFonts w:ascii="Arial" w:hAnsi="Arial" w:cs="Arial"/>
          <w:b/>
          <w:sz w:val="24"/>
          <w:szCs w:val="24"/>
        </w:rPr>
        <w:t>Consumption of alcohol in breach of the Prohibition</w:t>
      </w:r>
      <w:r w:rsidRPr="00B660D8">
        <w:rPr>
          <w:rFonts w:ascii="Arial" w:hAnsi="Arial" w:cs="Arial"/>
          <w:b/>
          <w:sz w:val="24"/>
          <w:szCs w:val="24"/>
        </w:rPr>
        <w:t>:</w:t>
      </w:r>
    </w:p>
    <w:p w:rsidR="00FC419D" w:rsidRPr="00B660D8" w:rsidRDefault="00FC419D" w:rsidP="00FC419D">
      <w:pPr>
        <w:jc w:val="both"/>
        <w:rPr>
          <w:rFonts w:ascii="Arial" w:hAnsi="Arial" w:cs="Arial"/>
          <w:sz w:val="24"/>
          <w:szCs w:val="24"/>
        </w:rPr>
      </w:pPr>
      <w:r>
        <w:rPr>
          <w:rFonts w:ascii="Arial" w:hAnsi="Arial" w:cs="Arial"/>
          <w:sz w:val="24"/>
          <w:szCs w:val="24"/>
        </w:rPr>
        <w:t>Under section 63 (1) of the 2014 Act w</w:t>
      </w:r>
      <w:r w:rsidRPr="00B660D8">
        <w:rPr>
          <w:rFonts w:ascii="Arial" w:hAnsi="Arial" w:cs="Arial"/>
          <w:sz w:val="24"/>
          <w:szCs w:val="24"/>
        </w:rPr>
        <w:t xml:space="preserve">here an Authorised Person reasonably believes that a person (“P”) is, or has been, consuming Alcohol in the Restricted Area or intends to do so, the Authorised Person may </w:t>
      </w:r>
      <w:r>
        <w:rPr>
          <w:rFonts w:ascii="Arial" w:hAnsi="Arial" w:cs="Arial"/>
          <w:sz w:val="24"/>
          <w:szCs w:val="24"/>
        </w:rPr>
        <w:t xml:space="preserve">under section 63 (2) of the 2014 Act </w:t>
      </w:r>
      <w:r w:rsidRPr="00B660D8">
        <w:rPr>
          <w:rFonts w:ascii="Arial" w:hAnsi="Arial" w:cs="Arial"/>
          <w:sz w:val="24"/>
          <w:szCs w:val="24"/>
        </w:rPr>
        <w:t>require the person concerned:</w:t>
      </w:r>
    </w:p>
    <w:p w:rsidR="00FC419D" w:rsidRPr="00B660D8" w:rsidRDefault="00FC419D" w:rsidP="00FC419D">
      <w:pPr>
        <w:pStyle w:val="ListParagraph"/>
        <w:numPr>
          <w:ilvl w:val="0"/>
          <w:numId w:val="1"/>
        </w:numPr>
        <w:jc w:val="both"/>
        <w:rPr>
          <w:rFonts w:ascii="Arial" w:hAnsi="Arial" w:cs="Arial"/>
        </w:rPr>
      </w:pPr>
      <w:r w:rsidRPr="00B660D8">
        <w:rPr>
          <w:rFonts w:ascii="Arial" w:hAnsi="Arial" w:cs="Arial"/>
        </w:rPr>
        <w:t>not to consume in the Restricted Area anything which is, or which the Authorised Person reasonably believes to be Alcohol;</w:t>
      </w:r>
    </w:p>
    <w:p w:rsidR="00FC419D" w:rsidRPr="00B660D8" w:rsidRDefault="00FC419D" w:rsidP="00FC419D">
      <w:pPr>
        <w:numPr>
          <w:ilvl w:val="0"/>
          <w:numId w:val="1"/>
        </w:numPr>
        <w:spacing w:after="0" w:line="240" w:lineRule="auto"/>
        <w:jc w:val="both"/>
        <w:rPr>
          <w:rFonts w:ascii="Arial" w:hAnsi="Arial" w:cs="Arial"/>
          <w:sz w:val="24"/>
          <w:szCs w:val="24"/>
        </w:rPr>
      </w:pPr>
      <w:proofErr w:type="gramStart"/>
      <w:r w:rsidRPr="00B660D8">
        <w:rPr>
          <w:rFonts w:ascii="Arial" w:hAnsi="Arial" w:cs="Arial"/>
          <w:sz w:val="24"/>
          <w:szCs w:val="24"/>
        </w:rPr>
        <w:t>to</w:t>
      </w:r>
      <w:proofErr w:type="gramEnd"/>
      <w:r>
        <w:rPr>
          <w:rFonts w:ascii="Arial" w:hAnsi="Arial" w:cs="Arial"/>
          <w:sz w:val="24"/>
          <w:szCs w:val="24"/>
        </w:rPr>
        <w:t xml:space="preserve"> </w:t>
      </w:r>
      <w:r w:rsidRPr="00B660D8">
        <w:rPr>
          <w:rFonts w:ascii="Arial" w:hAnsi="Arial" w:cs="Arial"/>
          <w:sz w:val="24"/>
          <w:szCs w:val="24"/>
        </w:rPr>
        <w:t>immediately surrender anything in his possession which contains, or which the Authorised Person reasonably believes to contain Alcohol and from which P would (whether that thing be open at the time or not) be able to drink  and where the Authorised Person has reasonable cause to believe that P will do so.</w:t>
      </w:r>
    </w:p>
    <w:p w:rsidR="00FC419D" w:rsidRPr="00B660D8" w:rsidRDefault="00FC419D" w:rsidP="00FC419D">
      <w:pPr>
        <w:ind w:left="1288"/>
        <w:jc w:val="both"/>
        <w:rPr>
          <w:rFonts w:ascii="Arial" w:hAnsi="Arial" w:cs="Arial"/>
          <w:sz w:val="24"/>
          <w:szCs w:val="24"/>
        </w:rPr>
      </w:pPr>
    </w:p>
    <w:p w:rsidR="00FC419D" w:rsidRPr="00B660D8" w:rsidRDefault="00FC419D" w:rsidP="00FC419D">
      <w:pPr>
        <w:jc w:val="both"/>
        <w:rPr>
          <w:rFonts w:ascii="Arial" w:hAnsi="Arial" w:cs="Arial"/>
          <w:sz w:val="24"/>
          <w:szCs w:val="24"/>
        </w:rPr>
      </w:pPr>
      <w:r>
        <w:rPr>
          <w:rFonts w:ascii="Arial" w:hAnsi="Arial" w:cs="Arial"/>
          <w:sz w:val="24"/>
          <w:szCs w:val="24"/>
        </w:rPr>
        <w:t>Under section 63 (3) of the 2014 Act t</w:t>
      </w:r>
      <w:r w:rsidRPr="00B660D8">
        <w:rPr>
          <w:rFonts w:ascii="Arial" w:hAnsi="Arial" w:cs="Arial"/>
          <w:sz w:val="24"/>
          <w:szCs w:val="24"/>
        </w:rPr>
        <w:t xml:space="preserve">he Authorised Person </w:t>
      </w:r>
      <w:r>
        <w:rPr>
          <w:rFonts w:ascii="Arial" w:hAnsi="Arial" w:cs="Arial"/>
          <w:sz w:val="24"/>
          <w:szCs w:val="24"/>
        </w:rPr>
        <w:t>who imposes the above requirement on P</w:t>
      </w:r>
      <w:r w:rsidRPr="00B660D8">
        <w:rPr>
          <w:rFonts w:ascii="Arial" w:hAnsi="Arial" w:cs="Arial"/>
          <w:sz w:val="24"/>
          <w:szCs w:val="24"/>
        </w:rPr>
        <w:t xml:space="preserve"> must tell P that failing without reasonable excuse to comply with that requirement is an offence.</w:t>
      </w:r>
    </w:p>
    <w:p w:rsidR="00FC419D" w:rsidRPr="00B660D8" w:rsidRDefault="00FC419D" w:rsidP="00FC419D">
      <w:pPr>
        <w:jc w:val="both"/>
        <w:rPr>
          <w:rFonts w:ascii="Arial" w:hAnsi="Arial" w:cs="Arial"/>
          <w:sz w:val="24"/>
          <w:szCs w:val="24"/>
        </w:rPr>
      </w:pPr>
      <w:r>
        <w:rPr>
          <w:rFonts w:ascii="Arial" w:hAnsi="Arial" w:cs="Arial"/>
          <w:sz w:val="24"/>
          <w:szCs w:val="24"/>
        </w:rPr>
        <w:t>Under section 63 (4) of the 2014 Act the above</w:t>
      </w:r>
      <w:r w:rsidRPr="00B660D8">
        <w:rPr>
          <w:rFonts w:ascii="Arial" w:hAnsi="Arial" w:cs="Arial"/>
          <w:sz w:val="24"/>
          <w:szCs w:val="24"/>
        </w:rPr>
        <w:t xml:space="preserve"> requirement imposed by an Authorised Officer of the Council is not valid if the person:</w:t>
      </w:r>
    </w:p>
    <w:p w:rsidR="00FC419D" w:rsidRPr="00B660D8" w:rsidRDefault="00FC419D" w:rsidP="00FC419D">
      <w:pPr>
        <w:ind w:left="1440" w:hanging="447"/>
        <w:jc w:val="both"/>
        <w:rPr>
          <w:rFonts w:ascii="Arial" w:hAnsi="Arial" w:cs="Arial"/>
          <w:sz w:val="24"/>
          <w:szCs w:val="24"/>
        </w:rPr>
      </w:pPr>
      <w:r w:rsidRPr="00B660D8">
        <w:rPr>
          <w:rFonts w:ascii="Arial" w:hAnsi="Arial" w:cs="Arial"/>
          <w:sz w:val="24"/>
          <w:szCs w:val="24"/>
        </w:rPr>
        <w:t xml:space="preserve">(a) </w:t>
      </w:r>
      <w:proofErr w:type="gramStart"/>
      <w:r w:rsidRPr="00B660D8">
        <w:rPr>
          <w:rFonts w:ascii="Arial" w:hAnsi="Arial" w:cs="Arial"/>
          <w:sz w:val="24"/>
          <w:szCs w:val="24"/>
        </w:rPr>
        <w:t>is</w:t>
      </w:r>
      <w:proofErr w:type="gramEnd"/>
      <w:r w:rsidRPr="00B660D8">
        <w:rPr>
          <w:rFonts w:ascii="Arial" w:hAnsi="Arial" w:cs="Arial"/>
          <w:sz w:val="24"/>
          <w:szCs w:val="24"/>
        </w:rPr>
        <w:t xml:space="preserve"> asked by P to show evidence of his or her authorisation, and</w:t>
      </w:r>
    </w:p>
    <w:p w:rsidR="00FC419D" w:rsidRPr="00B660D8" w:rsidRDefault="00FC419D" w:rsidP="00FC419D">
      <w:pPr>
        <w:ind w:left="720" w:firstLine="273"/>
        <w:jc w:val="both"/>
        <w:rPr>
          <w:rFonts w:ascii="Arial" w:hAnsi="Arial" w:cs="Arial"/>
          <w:sz w:val="24"/>
          <w:szCs w:val="24"/>
        </w:rPr>
      </w:pPr>
      <w:r w:rsidRPr="00B660D8">
        <w:rPr>
          <w:rFonts w:ascii="Arial" w:hAnsi="Arial" w:cs="Arial"/>
          <w:sz w:val="24"/>
          <w:szCs w:val="24"/>
        </w:rPr>
        <w:t xml:space="preserve">(b) </w:t>
      </w:r>
      <w:proofErr w:type="gramStart"/>
      <w:r w:rsidRPr="00B660D8">
        <w:rPr>
          <w:rFonts w:ascii="Arial" w:hAnsi="Arial" w:cs="Arial"/>
          <w:sz w:val="24"/>
          <w:szCs w:val="24"/>
        </w:rPr>
        <w:t>fails</w:t>
      </w:r>
      <w:proofErr w:type="gramEnd"/>
      <w:r w:rsidRPr="00B660D8">
        <w:rPr>
          <w:rFonts w:ascii="Arial" w:hAnsi="Arial" w:cs="Arial"/>
          <w:sz w:val="24"/>
          <w:szCs w:val="24"/>
        </w:rPr>
        <w:t xml:space="preserve"> to do so</w:t>
      </w:r>
      <w:r>
        <w:rPr>
          <w:rFonts w:ascii="Arial" w:hAnsi="Arial" w:cs="Arial"/>
          <w:sz w:val="24"/>
          <w:szCs w:val="24"/>
        </w:rPr>
        <w:t>.</w:t>
      </w:r>
    </w:p>
    <w:p w:rsidR="00FC419D" w:rsidRPr="00B660D8" w:rsidRDefault="00FC419D" w:rsidP="00FC419D">
      <w:pPr>
        <w:jc w:val="both"/>
        <w:rPr>
          <w:rFonts w:ascii="Arial" w:hAnsi="Arial" w:cs="Arial"/>
          <w:sz w:val="24"/>
          <w:szCs w:val="24"/>
        </w:rPr>
      </w:pPr>
      <w:r>
        <w:rPr>
          <w:rFonts w:ascii="Arial" w:hAnsi="Arial" w:cs="Arial"/>
          <w:sz w:val="24"/>
          <w:szCs w:val="24"/>
        </w:rPr>
        <w:t>Under section 63 (5) of the 2014 Act t</w:t>
      </w:r>
      <w:r w:rsidRPr="00B660D8">
        <w:rPr>
          <w:rFonts w:ascii="Arial" w:hAnsi="Arial" w:cs="Arial"/>
          <w:sz w:val="24"/>
          <w:szCs w:val="24"/>
        </w:rPr>
        <w:t xml:space="preserve">he Authorised Person may dispose of anything surrendered to him </w:t>
      </w:r>
      <w:r>
        <w:rPr>
          <w:rFonts w:ascii="Arial" w:hAnsi="Arial" w:cs="Arial"/>
          <w:sz w:val="24"/>
          <w:szCs w:val="24"/>
        </w:rPr>
        <w:t>in compliance with such a requirement</w:t>
      </w:r>
      <w:r w:rsidRPr="00B660D8">
        <w:rPr>
          <w:rFonts w:ascii="Arial" w:hAnsi="Arial" w:cs="Arial"/>
          <w:sz w:val="24"/>
          <w:szCs w:val="24"/>
        </w:rPr>
        <w:t xml:space="preserve"> in such manner as he considers appropriate.</w:t>
      </w:r>
    </w:p>
    <w:p w:rsidR="00FC419D" w:rsidRPr="00B660D8" w:rsidRDefault="00FC419D" w:rsidP="00FC419D">
      <w:pPr>
        <w:tabs>
          <w:tab w:val="left" w:pos="709"/>
        </w:tabs>
        <w:jc w:val="both"/>
        <w:rPr>
          <w:rFonts w:ascii="Arial" w:hAnsi="Arial" w:cs="Arial"/>
          <w:b/>
          <w:sz w:val="24"/>
          <w:szCs w:val="24"/>
        </w:rPr>
      </w:pPr>
      <w:r w:rsidRPr="00B660D8">
        <w:rPr>
          <w:rFonts w:ascii="Arial" w:hAnsi="Arial" w:cs="Arial"/>
          <w:b/>
          <w:sz w:val="24"/>
          <w:szCs w:val="24"/>
        </w:rPr>
        <w:t xml:space="preserve">Offence: </w:t>
      </w:r>
    </w:p>
    <w:p w:rsidR="00FC419D" w:rsidRDefault="00FC419D" w:rsidP="00FC419D">
      <w:pPr>
        <w:tabs>
          <w:tab w:val="left" w:pos="709"/>
        </w:tabs>
        <w:jc w:val="both"/>
      </w:pPr>
      <w:r>
        <w:rPr>
          <w:rFonts w:ascii="Arial" w:hAnsi="Arial" w:cs="Arial"/>
          <w:sz w:val="24"/>
          <w:szCs w:val="24"/>
        </w:rPr>
        <w:t>Under section 63(6) of the 2014 Act a</w:t>
      </w:r>
      <w:r w:rsidRPr="00B660D8">
        <w:rPr>
          <w:rFonts w:ascii="Arial" w:hAnsi="Arial" w:cs="Arial"/>
          <w:sz w:val="24"/>
          <w:szCs w:val="24"/>
        </w:rPr>
        <w:t xml:space="preserve"> person who fails without reasonable excuse to comply with a requirement imposed on him </w:t>
      </w:r>
      <w:r>
        <w:rPr>
          <w:rFonts w:ascii="Arial" w:hAnsi="Arial" w:cs="Arial"/>
          <w:sz w:val="24"/>
          <w:szCs w:val="24"/>
        </w:rPr>
        <w:t>under section 63(2) of the 2014 Act (above) in a Restricted Area commits an offence</w:t>
      </w:r>
      <w:r w:rsidRPr="00B660D8">
        <w:rPr>
          <w:rFonts w:ascii="Arial" w:hAnsi="Arial" w:cs="Arial"/>
          <w:sz w:val="24"/>
          <w:szCs w:val="24"/>
        </w:rPr>
        <w:t xml:space="preserve"> and is liable on summary conviction to a fine not exceeding level 2 on the standard scale.</w:t>
      </w:r>
    </w:p>
    <w:p w:rsidR="00350870" w:rsidRDefault="00350870"/>
    <w:sectPr w:rsidR="00350870" w:rsidSect="00B74B83">
      <w:headerReference w:type="even" r:id="rId13"/>
      <w:headerReference w:type="default" r:id="rId14"/>
      <w:footerReference w:type="even" r:id="rId15"/>
      <w:footerReference w:type="default" r:id="rId16"/>
      <w:headerReference w:type="first" r:id="rId17"/>
      <w:footerReference w:type="first" r:id="rId18"/>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626">
      <w:pPr>
        <w:spacing w:after="0" w:line="240" w:lineRule="auto"/>
      </w:pPr>
      <w:r>
        <w:separator/>
      </w:r>
    </w:p>
  </w:endnote>
  <w:endnote w:type="continuationSeparator" w:id="0">
    <w:p w:rsidR="00000000" w:rsidRDefault="00166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1666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1666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1666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626">
      <w:pPr>
        <w:spacing w:after="0" w:line="240" w:lineRule="auto"/>
      </w:pPr>
      <w:r>
        <w:separator/>
      </w:r>
    </w:p>
  </w:footnote>
  <w:footnote w:type="continuationSeparator" w:id="0">
    <w:p w:rsidR="00000000" w:rsidRDefault="00166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1666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1666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E3" w:rsidRDefault="001666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D4783"/>
    <w:multiLevelType w:val="hybridMultilevel"/>
    <w:tmpl w:val="3ACAC19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
    <w:nsid w:val="2C322E12"/>
    <w:multiLevelType w:val="hybridMultilevel"/>
    <w:tmpl w:val="18F0F11A"/>
    <w:lvl w:ilvl="0" w:tplc="E7AA2B94">
      <w:start w:val="1"/>
      <w:numFmt w:val="lowerLetter"/>
      <w:lvlText w:val="(%1)"/>
      <w:lvlJc w:val="left"/>
      <w:pPr>
        <w:ind w:left="1288" w:hanging="360"/>
      </w:pPr>
      <w:rPr>
        <w:rFonts w:hint="default"/>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9D"/>
    <w:rsid w:val="000A6C3E"/>
    <w:rsid w:val="001051B6"/>
    <w:rsid w:val="00166626"/>
    <w:rsid w:val="00197AAB"/>
    <w:rsid w:val="001E4476"/>
    <w:rsid w:val="001F5537"/>
    <w:rsid w:val="002F22BF"/>
    <w:rsid w:val="00350870"/>
    <w:rsid w:val="003B0BCD"/>
    <w:rsid w:val="00843C01"/>
    <w:rsid w:val="00A84AE4"/>
    <w:rsid w:val="00C26D45"/>
    <w:rsid w:val="00CF552B"/>
    <w:rsid w:val="00DD09F3"/>
    <w:rsid w:val="00FC419D"/>
    <w:rsid w:val="00FF09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D"/>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19D"/>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rsid w:val="00FC419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419D"/>
    <w:rPr>
      <w:strike w:val="0"/>
      <w:dstrike w:val="0"/>
      <w:color w:val="004B91"/>
      <w:u w:val="none"/>
      <w:effect w:val="none"/>
    </w:rPr>
  </w:style>
  <w:style w:type="paragraph" w:styleId="NormalWeb">
    <w:name w:val="Normal (Web)"/>
    <w:basedOn w:val="Normal"/>
    <w:uiPriority w:val="99"/>
    <w:unhideWhenUsed/>
    <w:rsid w:val="00FC41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C4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19D"/>
  </w:style>
  <w:style w:type="paragraph" w:styleId="Footer">
    <w:name w:val="footer"/>
    <w:basedOn w:val="Normal"/>
    <w:link w:val="FooterChar"/>
    <w:uiPriority w:val="99"/>
    <w:unhideWhenUsed/>
    <w:rsid w:val="00FC4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19D"/>
  </w:style>
  <w:style w:type="paragraph" w:styleId="BalloonText">
    <w:name w:val="Balloon Text"/>
    <w:basedOn w:val="Normal"/>
    <w:link w:val="BalloonTextChar"/>
    <w:uiPriority w:val="99"/>
    <w:semiHidden/>
    <w:unhideWhenUsed/>
    <w:rsid w:val="00FC4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D"/>
    <w:pPr>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19D"/>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rsid w:val="00FC419D"/>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C419D"/>
    <w:rPr>
      <w:strike w:val="0"/>
      <w:dstrike w:val="0"/>
      <w:color w:val="004B91"/>
      <w:u w:val="none"/>
      <w:effect w:val="none"/>
    </w:rPr>
  </w:style>
  <w:style w:type="paragraph" w:styleId="NormalWeb">
    <w:name w:val="Normal (Web)"/>
    <w:basedOn w:val="Normal"/>
    <w:uiPriority w:val="99"/>
    <w:unhideWhenUsed/>
    <w:rsid w:val="00FC41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C4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419D"/>
  </w:style>
  <w:style w:type="paragraph" w:styleId="Footer">
    <w:name w:val="footer"/>
    <w:basedOn w:val="Normal"/>
    <w:link w:val="FooterChar"/>
    <w:uiPriority w:val="99"/>
    <w:unhideWhenUsed/>
    <w:rsid w:val="00FC4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419D"/>
  </w:style>
  <w:style w:type="paragraph" w:styleId="BalloonText">
    <w:name w:val="Balloon Text"/>
    <w:basedOn w:val="Normal"/>
    <w:link w:val="BalloonTextChar"/>
    <w:uiPriority w:val="99"/>
    <w:semiHidden/>
    <w:unhideWhenUsed/>
    <w:rsid w:val="00FC4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1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xisnexis.com:80/uk/legal/search/enhRunRemoteLink.do?A=0.10940335583235494&amp;service=citation&amp;langcountry=GB&amp;backKey=20_T22467878205&amp;linkInfo=F%23GB%23UK_ACTS%23num%251980_66a%25sect%25115E%25section%25115E%25&amp;ersKey=23_T22467873019"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xisnexis.com:80/uk/legal/search/enhRunRemoteLink.do?A=0.3078151275714496&amp;service=citation&amp;langcountry=GB&amp;backKey=20_T22467878205&amp;linkInfo=F%23GB%23UK_ACTS%23num%252003_17a%25part%255%25&amp;ersKey=23_T22467873019"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exisnexis.com:80/uk/legal/search/enhRunRemoteLink.do?A=0.8403914166902733&amp;service=citation&amp;langcountry=GB&amp;backKey=20_T22467878205&amp;linkInfo=F%23GB%23UK_ACTS%23num%252003_17a%25sect%2560%25section%2560%25&amp;ersKey=23_T224678730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ttinghamcity.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A6BD5B2</Template>
  <TotalTime>1</TotalTime>
  <Pages>5</Pages>
  <Words>1454</Words>
  <Characters>8294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9729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Tamazin Wilson</dc:creator>
  <cp:lastModifiedBy>Stott, Stephen</cp:lastModifiedBy>
  <cp:revision>2</cp:revision>
  <cp:lastPrinted>2017-05-11T10:43:00Z</cp:lastPrinted>
  <dcterms:created xsi:type="dcterms:W3CDTF">2017-10-11T08:22:00Z</dcterms:created>
  <dcterms:modified xsi:type="dcterms:W3CDTF">2017-10-11T08:22:00Z</dcterms:modified>
</cp:coreProperties>
</file>