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63" w:rsidRDefault="006E4368">
      <w:pPr>
        <w:pStyle w:val="BodyA"/>
        <w:jc w:val="center"/>
        <w:rPr>
          <w:rFonts w:ascii="Arial" w:hAnsi="Arial"/>
          <w:b/>
          <w:bCs/>
          <w:color w:val="717075"/>
          <w:sz w:val="36"/>
          <w:szCs w:val="36"/>
          <w:u w:color="717075"/>
        </w:rPr>
      </w:pPr>
      <w:bookmarkStart w:id="0" w:name="_GoBack"/>
      <w:bookmarkEnd w:id="0"/>
      <w:r>
        <w:rPr>
          <w:noProof/>
          <w:lang w:val="en-GB"/>
        </w:rPr>
        <w:drawing>
          <wp:anchor distT="0" distB="0" distL="0" distR="0" simplePos="0" relativeHeight="251659264" behindDoc="0" locked="0" layoutInCell="1" allowOverlap="1">
            <wp:simplePos x="0" y="0"/>
            <wp:positionH relativeFrom="column">
              <wp:posOffset>8214582</wp:posOffset>
            </wp:positionH>
            <wp:positionV relativeFrom="line">
              <wp:posOffset>-251674</wp:posOffset>
            </wp:positionV>
            <wp:extent cx="1533525" cy="513080"/>
            <wp:effectExtent l="0" t="0" r="0" b="0"/>
            <wp:wrapNone/>
            <wp:docPr id="1073741826" name="officeArt object" descr="Logo-colour"/>
            <wp:cNvGraphicFramePr/>
            <a:graphic xmlns:a="http://schemas.openxmlformats.org/drawingml/2006/main">
              <a:graphicData uri="http://schemas.openxmlformats.org/drawingml/2006/picture">
                <pic:pic xmlns:pic="http://schemas.openxmlformats.org/drawingml/2006/picture">
                  <pic:nvPicPr>
                    <pic:cNvPr id="1073741826" name="Logo-colour" descr="Logo-colour"/>
                    <pic:cNvPicPr>
                      <a:picLocks noChangeAspect="1"/>
                    </pic:cNvPicPr>
                  </pic:nvPicPr>
                  <pic:blipFill>
                    <a:blip r:embed="rId8">
                      <a:extLst/>
                    </a:blip>
                    <a:stretch>
                      <a:fillRect/>
                    </a:stretch>
                  </pic:blipFill>
                  <pic:spPr>
                    <a:xfrm>
                      <a:off x="0" y="0"/>
                      <a:ext cx="1533525" cy="513080"/>
                    </a:xfrm>
                    <a:prstGeom prst="rect">
                      <a:avLst/>
                    </a:prstGeom>
                    <a:ln w="12700" cap="flat">
                      <a:noFill/>
                      <a:miter lim="400000"/>
                    </a:ln>
                    <a:effectLst/>
                  </pic:spPr>
                </pic:pic>
              </a:graphicData>
            </a:graphic>
          </wp:anchor>
        </w:drawing>
      </w:r>
      <w:r w:rsidR="00031BC4">
        <w:rPr>
          <w:noProof/>
          <w:lang w:val="en-GB"/>
        </w:rPr>
        <mc:AlternateContent>
          <mc:Choice Requires="wps">
            <w:drawing>
              <wp:anchor distT="0" distB="0" distL="0" distR="0" simplePos="0" relativeHeight="251657216" behindDoc="1" locked="0" layoutInCell="1" allowOverlap="1">
                <wp:simplePos x="0" y="0"/>
                <wp:positionH relativeFrom="column">
                  <wp:posOffset>-112816</wp:posOffset>
                </wp:positionH>
                <wp:positionV relativeFrom="line">
                  <wp:posOffset>267195</wp:posOffset>
                </wp:positionV>
                <wp:extent cx="9856520" cy="762000"/>
                <wp:effectExtent l="0" t="0" r="0" b="0"/>
                <wp:wrapNone/>
                <wp:docPr id="1073741825" name="officeArt object" descr="Rectangle 1073741826"/>
                <wp:cNvGraphicFramePr/>
                <a:graphic xmlns:a="http://schemas.openxmlformats.org/drawingml/2006/main">
                  <a:graphicData uri="http://schemas.microsoft.com/office/word/2010/wordprocessingShape">
                    <wps:wsp>
                      <wps:cNvSpPr/>
                      <wps:spPr>
                        <a:xfrm>
                          <a:off x="0" y="0"/>
                          <a:ext cx="9856520" cy="762000"/>
                        </a:xfrm>
                        <a:prstGeom prst="rect">
                          <a:avLst/>
                        </a:prstGeom>
                        <a:solidFill>
                          <a:srgbClr val="C1D72D"/>
                        </a:solidFill>
                        <a:ln w="12700" cap="flat">
                          <a:noFill/>
                          <a:miter lim="400000"/>
                        </a:ln>
                        <a:effectLst/>
                      </wps:spPr>
                      <wps:txbx>
                        <w:txbxContent>
                          <w:p w:rsidR="00F23516" w:rsidRDefault="00F23516" w:rsidP="00F23516">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alt="Rectangle 1073741826" style="position:absolute;left:0;text-align:left;margin-left:-8.9pt;margin-top:21.05pt;width:776.1pt;height:60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" fillcolor="#c1d72d" stroked="f" strokeweight="1pt">
                <v:stroke miterlimit="4"/>
                <v:textbox>
                  <w:txbxContent>
                    <w:p w:rsidR="00F23516" w:rsidRDefault="00F23516" w:rsidP="00F23516">
                      <w:pPr>
                        <w:jc w:val="center"/>
                      </w:pPr>
                    </w:p>
                  </w:txbxContent>
                </v:textbox>
                <w10:wrap anchory="line"/>
              </v:rect>
            </w:pict>
          </mc:Fallback>
        </mc:AlternateContent>
      </w:r>
      <w:r w:rsidR="007B2284">
        <w:rPr>
          <w:rFonts w:ascii="Arial" w:hAnsi="Arial"/>
          <w:b/>
          <w:bCs/>
          <w:color w:val="717075"/>
          <w:sz w:val="36"/>
          <w:szCs w:val="36"/>
          <w:u w:color="717075"/>
        </w:rPr>
        <w:t xml:space="preserve"> </w:t>
      </w:r>
    </w:p>
    <w:p w:rsidR="000C5763" w:rsidRDefault="00F23516">
      <w:pPr>
        <w:pStyle w:val="BodyA"/>
        <w:jc w:val="center"/>
      </w:pPr>
      <w:r>
        <w:rPr>
          <w:rFonts w:ascii="Arial" w:hAnsi="Arial"/>
          <w:b/>
          <w:bCs/>
          <w:color w:val="717075"/>
          <w:sz w:val="36"/>
          <w:szCs w:val="36"/>
          <w:u w:color="717075"/>
        </w:rPr>
        <w:t>Nottingham City Council</w:t>
      </w:r>
    </w:p>
    <w:p w:rsidR="000C5763" w:rsidRDefault="000C5763">
      <w:pPr>
        <w:pStyle w:val="BodyA"/>
        <w:jc w:val="center"/>
        <w:rPr>
          <w:rFonts w:ascii="Arial" w:eastAsia="Arial" w:hAnsi="Arial" w:cs="Arial"/>
          <w:b/>
          <w:bCs/>
          <w:color w:val="FFFFFF"/>
          <w:spacing w:val="-20"/>
          <w:sz w:val="28"/>
          <w:szCs w:val="28"/>
          <w:u w:color="FFFFFF"/>
        </w:rPr>
      </w:pPr>
    </w:p>
    <w:p w:rsidR="000C5763" w:rsidRDefault="0060364A">
      <w:pPr>
        <w:pStyle w:val="BodyA"/>
        <w:jc w:val="center"/>
      </w:pPr>
      <w:r>
        <w:rPr>
          <w:rFonts w:ascii="Arial" w:hAnsi="Arial"/>
          <w:b/>
          <w:bCs/>
          <w:color w:val="FFFFFF"/>
          <w:spacing w:val="-20"/>
          <w:sz w:val="36"/>
          <w:szCs w:val="36"/>
          <w:u w:color="FFFFFF"/>
        </w:rPr>
        <w:t>IICSA Action Plan</w:t>
      </w:r>
    </w:p>
    <w:p w:rsidR="00F23516" w:rsidRDefault="00F23516" w:rsidP="00F23516">
      <w:pPr>
        <w:pStyle w:val="Body"/>
        <w:rPr>
          <w:rFonts w:ascii="Arial" w:hAnsi="Arial" w:cs="Arial"/>
          <w:b/>
          <w:sz w:val="28"/>
          <w:szCs w:val="28"/>
        </w:rPr>
      </w:pPr>
    </w:p>
    <w:p w:rsidR="0060364A" w:rsidRDefault="0060364A" w:rsidP="0060364A">
      <w:pPr>
        <w:pStyle w:val="CommentText"/>
        <w:rPr>
          <w:rFonts w:ascii="Arial" w:eastAsia="Arial" w:hAnsi="Arial" w:cs="Arial"/>
          <w:sz w:val="24"/>
          <w:szCs w:val="24"/>
        </w:rPr>
      </w:pPr>
      <w:r>
        <w:rPr>
          <w:rFonts w:ascii="Arial" w:hAnsi="Arial"/>
          <w:sz w:val="24"/>
          <w:szCs w:val="24"/>
        </w:rPr>
        <w:t>On 31</w:t>
      </w:r>
      <w:r>
        <w:rPr>
          <w:rFonts w:ascii="Arial" w:hAnsi="Arial"/>
          <w:sz w:val="24"/>
          <w:szCs w:val="24"/>
          <w:vertAlign w:val="superscript"/>
        </w:rPr>
        <w:t>st</w:t>
      </w:r>
      <w:r>
        <w:rPr>
          <w:rFonts w:ascii="Arial" w:hAnsi="Arial"/>
          <w:sz w:val="24"/>
          <w:szCs w:val="24"/>
        </w:rPr>
        <w:t xml:space="preserve"> July 2019, IICSA published its findings into the extent of any institutional failures to protect children in the care of Nottingham City and Nottinghamshire County councils from sexual abuse.</w:t>
      </w:r>
    </w:p>
    <w:p w:rsidR="0060364A" w:rsidRDefault="0060364A" w:rsidP="0060364A">
      <w:pPr>
        <w:pStyle w:val="CommentText"/>
        <w:rPr>
          <w:rFonts w:ascii="Arial" w:eastAsia="Arial" w:hAnsi="Arial" w:cs="Arial"/>
          <w:sz w:val="24"/>
          <w:szCs w:val="24"/>
        </w:rPr>
      </w:pPr>
    </w:p>
    <w:p w:rsidR="0060364A" w:rsidRDefault="0060364A" w:rsidP="0060364A">
      <w:pPr>
        <w:pStyle w:val="CommentText"/>
        <w:rPr>
          <w:rFonts w:ascii="Arial" w:eastAsia="Arial" w:hAnsi="Arial" w:cs="Arial"/>
          <w:sz w:val="24"/>
          <w:szCs w:val="24"/>
        </w:rPr>
      </w:pPr>
      <w:r>
        <w:rPr>
          <w:rFonts w:ascii="Arial" w:hAnsi="Arial"/>
          <w:sz w:val="24"/>
          <w:szCs w:val="24"/>
        </w:rPr>
        <w:t>There were two key recommendations for Nottingham City Council, for which we will need to publish our response within six months of the publication of th</w:t>
      </w:r>
      <w:r w:rsidR="001764E6">
        <w:rPr>
          <w:rFonts w:ascii="Arial" w:hAnsi="Arial"/>
          <w:sz w:val="24"/>
          <w:szCs w:val="24"/>
        </w:rPr>
        <w:t>e</w:t>
      </w:r>
      <w:r>
        <w:rPr>
          <w:rFonts w:ascii="Arial" w:hAnsi="Arial"/>
          <w:sz w:val="24"/>
          <w:szCs w:val="24"/>
        </w:rPr>
        <w:t xml:space="preserve"> report:</w:t>
      </w:r>
    </w:p>
    <w:p w:rsidR="0060364A" w:rsidRDefault="0060364A" w:rsidP="0060364A">
      <w:pPr>
        <w:pStyle w:val="CommentText"/>
        <w:rPr>
          <w:rFonts w:ascii="Arial" w:eastAsia="Arial" w:hAnsi="Arial" w:cs="Arial"/>
          <w:sz w:val="24"/>
          <w:szCs w:val="24"/>
        </w:rPr>
      </w:pPr>
    </w:p>
    <w:p w:rsidR="0060364A" w:rsidRDefault="0060364A" w:rsidP="0060364A">
      <w:pPr>
        <w:pStyle w:val="ListParagraph"/>
        <w:numPr>
          <w:ilvl w:val="0"/>
          <w:numId w:val="13"/>
        </w:numPr>
        <w:spacing w:after="160" w:line="259" w:lineRule="auto"/>
        <w:rPr>
          <w:rFonts w:ascii="Arial" w:hAnsi="Arial"/>
          <w:sz w:val="24"/>
          <w:szCs w:val="24"/>
        </w:rPr>
      </w:pPr>
      <w:r>
        <w:rPr>
          <w:rFonts w:ascii="Arial" w:hAnsi="Arial"/>
          <w:sz w:val="24"/>
          <w:szCs w:val="24"/>
        </w:rPr>
        <w:t>Nottingham City Council should assess the potential risk posted by current and former foster carers directly provided by the council in relation to the sexual abuse of children. They should also ensure that current and former foster carers provided by external agencies are assessed by those agencies. Any concerns which arise should be referred to the appropriate body or process, including the Disclosure and Bar</w:t>
      </w:r>
      <w:r w:rsidR="001764E6">
        <w:rPr>
          <w:rFonts w:ascii="Arial" w:hAnsi="Arial"/>
          <w:sz w:val="24"/>
          <w:szCs w:val="24"/>
        </w:rPr>
        <w:t>r</w:t>
      </w:r>
      <w:r>
        <w:rPr>
          <w:rFonts w:ascii="Arial" w:hAnsi="Arial"/>
          <w:sz w:val="24"/>
          <w:szCs w:val="24"/>
        </w:rPr>
        <w:t xml:space="preserve">ing Service, the local authority designated officer (LADO) or equivalent, the fostering panel and the police. </w:t>
      </w:r>
    </w:p>
    <w:p w:rsidR="0060364A" w:rsidRDefault="0060364A" w:rsidP="0060364A">
      <w:pPr>
        <w:pStyle w:val="ListParagraph"/>
        <w:numPr>
          <w:ilvl w:val="0"/>
          <w:numId w:val="13"/>
        </w:numPr>
        <w:spacing w:after="160" w:line="259" w:lineRule="auto"/>
        <w:rPr>
          <w:rFonts w:ascii="Arial" w:hAnsi="Arial"/>
          <w:sz w:val="24"/>
          <w:szCs w:val="24"/>
        </w:rPr>
      </w:pPr>
      <w:r>
        <w:rPr>
          <w:rFonts w:ascii="Arial" w:hAnsi="Arial"/>
          <w:sz w:val="24"/>
          <w:szCs w:val="24"/>
        </w:rPr>
        <w:t xml:space="preserve">Nottingham City Council and its child protection partners should commission an independent, external evaluation of their practice concerning harmful sexual behaviour, including responses, prevention, assessment intervention and workforce development. An action plan should be set up to ensure that any recommendations are responded to in a timely manner and progress should be reported to City’s Safeguarding Children Partnership. </w:t>
      </w:r>
    </w:p>
    <w:p w:rsidR="0060364A" w:rsidRDefault="0060364A" w:rsidP="0060364A">
      <w:pPr>
        <w:pStyle w:val="Body"/>
        <w:spacing w:after="160" w:line="259" w:lineRule="auto"/>
        <w:rPr>
          <w:rFonts w:ascii="Arial" w:eastAsia="Arial" w:hAnsi="Arial" w:cs="Arial"/>
          <w:sz w:val="4"/>
          <w:szCs w:val="4"/>
        </w:rPr>
      </w:pPr>
    </w:p>
    <w:p w:rsidR="0060364A" w:rsidRDefault="0060364A" w:rsidP="0060364A">
      <w:pPr>
        <w:pStyle w:val="Body"/>
        <w:rPr>
          <w:rFonts w:ascii="Arial" w:eastAsia="Arial" w:hAnsi="Arial" w:cs="Arial"/>
        </w:rPr>
      </w:pPr>
      <w:r>
        <w:rPr>
          <w:rFonts w:ascii="Arial" w:hAnsi="Arial"/>
        </w:rPr>
        <w:t>As part of the wider cross-cutting learning from the 14 strands of the Inquiry, they will return to a number of issues that have emerged during this investigation, including but not limited to:</w:t>
      </w:r>
    </w:p>
    <w:p w:rsidR="0060364A" w:rsidRDefault="0060364A" w:rsidP="0060364A">
      <w:pPr>
        <w:pStyle w:val="ListParagraph"/>
        <w:numPr>
          <w:ilvl w:val="0"/>
          <w:numId w:val="15"/>
        </w:numPr>
        <w:spacing w:after="160" w:line="259" w:lineRule="auto"/>
        <w:rPr>
          <w:rFonts w:ascii="Arial" w:hAnsi="Arial"/>
          <w:sz w:val="24"/>
          <w:szCs w:val="24"/>
        </w:rPr>
      </w:pPr>
      <w:r>
        <w:rPr>
          <w:rFonts w:ascii="Arial" w:hAnsi="Arial"/>
          <w:sz w:val="24"/>
          <w:szCs w:val="24"/>
        </w:rPr>
        <w:t>Harmful sexual behaviour.</w:t>
      </w:r>
    </w:p>
    <w:p w:rsidR="0060364A" w:rsidRDefault="0060364A" w:rsidP="0060364A">
      <w:pPr>
        <w:pStyle w:val="ListParagraph"/>
        <w:numPr>
          <w:ilvl w:val="0"/>
          <w:numId w:val="15"/>
        </w:numPr>
        <w:spacing w:after="160" w:line="259" w:lineRule="auto"/>
        <w:rPr>
          <w:rFonts w:ascii="Arial" w:hAnsi="Arial"/>
          <w:sz w:val="24"/>
          <w:szCs w:val="24"/>
        </w:rPr>
      </w:pPr>
      <w:r>
        <w:rPr>
          <w:rFonts w:ascii="Arial" w:hAnsi="Arial"/>
          <w:sz w:val="24"/>
          <w:szCs w:val="24"/>
        </w:rPr>
        <w:t xml:space="preserve">The barriers to disclosure of sexual abuse by children, including those in care, and proactive steps to reduce those barriers. </w:t>
      </w:r>
    </w:p>
    <w:p w:rsidR="0060364A" w:rsidRDefault="0060364A" w:rsidP="0060364A">
      <w:pPr>
        <w:pStyle w:val="ListParagraph"/>
        <w:numPr>
          <w:ilvl w:val="0"/>
          <w:numId w:val="15"/>
        </w:numPr>
        <w:spacing w:after="160" w:line="259" w:lineRule="auto"/>
        <w:rPr>
          <w:rFonts w:ascii="Arial" w:hAnsi="Arial"/>
          <w:sz w:val="24"/>
          <w:szCs w:val="24"/>
        </w:rPr>
      </w:pPr>
      <w:r>
        <w:rPr>
          <w:rFonts w:ascii="Arial" w:hAnsi="Arial"/>
          <w:sz w:val="24"/>
          <w:szCs w:val="24"/>
        </w:rPr>
        <w:t xml:space="preserve">The approach to civil litigation, including the role of insurers. </w:t>
      </w:r>
    </w:p>
    <w:p w:rsidR="00300634" w:rsidRDefault="00300634" w:rsidP="00300634">
      <w:pPr>
        <w:pStyle w:val="CommentText"/>
        <w:rPr>
          <w:rFonts w:ascii="Arial" w:hAnsi="Arial"/>
          <w:sz w:val="24"/>
          <w:szCs w:val="24"/>
        </w:rPr>
      </w:pPr>
    </w:p>
    <w:p w:rsidR="00300634" w:rsidRDefault="00300634" w:rsidP="00300634">
      <w:pPr>
        <w:pStyle w:val="CommentText"/>
        <w:rPr>
          <w:rFonts w:ascii="Arial" w:eastAsia="Arial" w:hAnsi="Arial" w:cs="Arial"/>
          <w:sz w:val="24"/>
          <w:szCs w:val="24"/>
        </w:rPr>
      </w:pPr>
      <w:r>
        <w:rPr>
          <w:rFonts w:ascii="Arial" w:hAnsi="Arial"/>
          <w:sz w:val="24"/>
          <w:szCs w:val="24"/>
        </w:rPr>
        <w:t xml:space="preserve">The full report can be found </w:t>
      </w:r>
      <w:hyperlink r:id="rId9" w:history="1">
        <w:r>
          <w:rPr>
            <w:rStyle w:val="Hyperlink0"/>
          </w:rPr>
          <w:t>here</w:t>
        </w:r>
      </w:hyperlink>
      <w:r>
        <w:rPr>
          <w:rFonts w:ascii="Arial" w:hAnsi="Arial"/>
          <w:sz w:val="24"/>
          <w:szCs w:val="24"/>
        </w:rPr>
        <w:t>.</w:t>
      </w:r>
    </w:p>
    <w:p w:rsidR="00300634" w:rsidRDefault="00300634" w:rsidP="00F23516">
      <w:pPr>
        <w:pStyle w:val="Body"/>
        <w:rPr>
          <w:rFonts w:ascii="Arial" w:hAnsi="Arial" w:cs="Arial"/>
        </w:rPr>
      </w:pPr>
    </w:p>
    <w:p w:rsidR="0060364A" w:rsidRPr="0060364A" w:rsidRDefault="0060364A" w:rsidP="00F23516">
      <w:pPr>
        <w:pStyle w:val="Body"/>
        <w:rPr>
          <w:rFonts w:ascii="Arial" w:hAnsi="Arial" w:cs="Arial"/>
        </w:rPr>
      </w:pPr>
      <w:r w:rsidRPr="0060364A">
        <w:rPr>
          <w:rFonts w:ascii="Arial" w:hAnsi="Arial" w:cs="Arial"/>
        </w:rPr>
        <w:t>This action plan has</w:t>
      </w:r>
      <w:r>
        <w:rPr>
          <w:rFonts w:ascii="Arial" w:hAnsi="Arial" w:cs="Arial"/>
        </w:rPr>
        <w:t xml:space="preserve"> been developed in response to the findings of the report.</w:t>
      </w:r>
    </w:p>
    <w:p w:rsidR="0060364A" w:rsidRDefault="0060364A" w:rsidP="00F23516">
      <w:pPr>
        <w:pStyle w:val="Body"/>
        <w:rPr>
          <w:rFonts w:ascii="Arial" w:hAnsi="Arial" w:cs="Arial"/>
          <w:b/>
          <w:sz w:val="28"/>
          <w:szCs w:val="28"/>
        </w:rPr>
      </w:pPr>
    </w:p>
    <w:tbl>
      <w:tblPr>
        <w:tblStyle w:val="TableGrid"/>
        <w:tblW w:w="15163" w:type="dxa"/>
        <w:tblLook w:val="04A0" w:firstRow="1" w:lastRow="0" w:firstColumn="1" w:lastColumn="0" w:noHBand="0" w:noVBand="1"/>
      </w:tblPr>
      <w:tblGrid>
        <w:gridCol w:w="562"/>
        <w:gridCol w:w="4536"/>
        <w:gridCol w:w="6521"/>
        <w:gridCol w:w="1418"/>
        <w:gridCol w:w="2126"/>
      </w:tblGrid>
      <w:tr w:rsidR="006E4368" w:rsidTr="0060364A">
        <w:trPr>
          <w:tblHeader/>
        </w:trPr>
        <w:tc>
          <w:tcPr>
            <w:tcW w:w="562" w:type="dxa"/>
            <w:shd w:val="clear" w:color="auto" w:fill="D9D9D9" w:themeFill="background1" w:themeFillShade="D9"/>
          </w:tcPr>
          <w:p w:rsidR="006E4368" w:rsidRDefault="006E4368"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p>
        </w:tc>
        <w:tc>
          <w:tcPr>
            <w:tcW w:w="4536" w:type="dxa"/>
            <w:shd w:val="clear" w:color="auto" w:fill="D9D9D9" w:themeFill="background1" w:themeFillShade="D9"/>
          </w:tcPr>
          <w:p w:rsidR="006E4368" w:rsidRDefault="0060364A"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b/>
                <w:sz w:val="28"/>
                <w:szCs w:val="28"/>
              </w:rPr>
              <w:t>Recommendation Addressed</w:t>
            </w:r>
          </w:p>
        </w:tc>
        <w:tc>
          <w:tcPr>
            <w:tcW w:w="6521" w:type="dxa"/>
            <w:shd w:val="clear" w:color="auto" w:fill="D9D9D9" w:themeFill="background1" w:themeFillShade="D9"/>
          </w:tcPr>
          <w:p w:rsidR="006E4368" w:rsidRDefault="006E4368"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b/>
                <w:sz w:val="28"/>
                <w:szCs w:val="28"/>
              </w:rPr>
              <w:t>Action</w:t>
            </w:r>
          </w:p>
        </w:tc>
        <w:tc>
          <w:tcPr>
            <w:tcW w:w="1418" w:type="dxa"/>
            <w:shd w:val="clear" w:color="auto" w:fill="D9D9D9" w:themeFill="background1" w:themeFillShade="D9"/>
          </w:tcPr>
          <w:p w:rsidR="006E4368" w:rsidRDefault="006E4368"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b/>
                <w:sz w:val="28"/>
                <w:szCs w:val="28"/>
              </w:rPr>
              <w:t>Lead</w:t>
            </w:r>
          </w:p>
        </w:tc>
        <w:tc>
          <w:tcPr>
            <w:tcW w:w="2126" w:type="dxa"/>
            <w:shd w:val="clear" w:color="auto" w:fill="D9D9D9" w:themeFill="background1" w:themeFillShade="D9"/>
          </w:tcPr>
          <w:p w:rsidR="006E4368" w:rsidRDefault="006E4368"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b/>
                <w:sz w:val="28"/>
                <w:szCs w:val="28"/>
              </w:rPr>
              <w:t>Timescale</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30710">
              <w:rPr>
                <w:rFonts w:ascii="Arial" w:hAnsi="Arial" w:cs="Arial"/>
              </w:rPr>
              <w:t>1.</w:t>
            </w:r>
          </w:p>
        </w:tc>
        <w:tc>
          <w:tcPr>
            <w:tcW w:w="4536" w:type="dxa"/>
            <w:vAlign w:val="center"/>
          </w:tcPr>
          <w:p w:rsidR="00723A4A" w:rsidRPr="00FC7172" w:rsidRDefault="00FC7172" w:rsidP="0060364A">
            <w:pPr>
              <w:pStyle w:val="Body"/>
              <w:rPr>
                <w:rFonts w:ascii="Arial" w:hAnsi="Arial" w:cs="Arial"/>
              </w:rPr>
            </w:pPr>
            <w:r w:rsidRPr="00FC7172">
              <w:rPr>
                <w:rFonts w:ascii="Arial" w:hAnsi="Arial" w:cs="Arial"/>
              </w:rPr>
              <w:t>Highlighted as significant in evidence from survivors</w:t>
            </w:r>
          </w:p>
        </w:tc>
        <w:tc>
          <w:tcPr>
            <w:tcW w:w="6521" w:type="dxa"/>
            <w:vAlign w:val="center"/>
          </w:tcPr>
          <w:p w:rsidR="006E4368" w:rsidRDefault="006E4368" w:rsidP="0060364A">
            <w:pPr>
              <w:pStyle w:val="Body"/>
              <w:rPr>
                <w:rFonts w:ascii="Arial" w:hAnsi="Arial" w:cs="Arial"/>
              </w:rPr>
            </w:pPr>
            <w:r>
              <w:rPr>
                <w:rFonts w:ascii="Arial" w:hAnsi="Arial" w:cs="Arial"/>
              </w:rPr>
              <w:t xml:space="preserve">To continue to work with victims and survivors to ensure that they have access to the right support both to services provided by the Council and to those not provided by the Council. </w:t>
            </w:r>
          </w:p>
          <w:p w:rsidR="006E4368" w:rsidRDefault="006E4368" w:rsidP="0060364A">
            <w:pPr>
              <w:pStyle w:val="Body"/>
              <w:rPr>
                <w:rFonts w:ascii="Arial" w:hAnsi="Arial" w:cs="Arial"/>
              </w:rPr>
            </w:pPr>
          </w:p>
          <w:p w:rsidR="006E4368" w:rsidRPr="00930710" w:rsidRDefault="006E4368" w:rsidP="0060364A">
            <w:pPr>
              <w:pStyle w:val="Body"/>
              <w:rPr>
                <w:rFonts w:ascii="Arial" w:hAnsi="Arial" w:cs="Arial"/>
              </w:rPr>
            </w:pPr>
            <w:r>
              <w:rPr>
                <w:rFonts w:ascii="Arial" w:hAnsi="Arial" w:cs="Arial"/>
              </w:rPr>
              <w:t>Feedback from victims and survivors will be the key criteria around how we judge the impact of this.</w:t>
            </w:r>
          </w:p>
        </w:tc>
        <w:tc>
          <w:tcPr>
            <w:tcW w:w="1418" w:type="dxa"/>
            <w:vAlign w:val="center"/>
          </w:tcPr>
          <w:p w:rsidR="006E4368" w:rsidRPr="001927D8"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Pr="001927D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1927D8">
              <w:rPr>
                <w:rFonts w:ascii="Arial" w:hAnsi="Arial" w:cs="Arial"/>
              </w:rPr>
              <w:t>Ongoing</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2.</w:t>
            </w:r>
          </w:p>
        </w:tc>
        <w:tc>
          <w:tcPr>
            <w:tcW w:w="4536" w:type="dxa"/>
            <w:vAlign w:val="center"/>
          </w:tcPr>
          <w:p w:rsidR="006E4368" w:rsidRDefault="00723A4A" w:rsidP="0060364A">
            <w:pPr>
              <w:pStyle w:val="Body"/>
              <w:rPr>
                <w:rFonts w:ascii="Arial" w:hAnsi="Arial" w:cs="Arial"/>
              </w:rPr>
            </w:pPr>
            <w:r>
              <w:rPr>
                <w:rFonts w:ascii="Arial" w:hAnsi="Arial" w:cs="Arial"/>
              </w:rPr>
              <w:t>Access to records for those formerly in care has not been well handled.</w:t>
            </w:r>
          </w:p>
        </w:tc>
        <w:tc>
          <w:tcPr>
            <w:tcW w:w="6521" w:type="dxa"/>
            <w:vAlign w:val="center"/>
          </w:tcPr>
          <w:p w:rsidR="006E4368" w:rsidRDefault="006E4368" w:rsidP="0060364A">
            <w:pPr>
              <w:pStyle w:val="Body"/>
              <w:rPr>
                <w:rFonts w:ascii="Arial" w:hAnsi="Arial" w:cs="Arial"/>
              </w:rPr>
            </w:pPr>
            <w:r>
              <w:rPr>
                <w:rFonts w:ascii="Arial" w:hAnsi="Arial" w:cs="Arial"/>
              </w:rPr>
              <w:t xml:space="preserve">To continue to provide assistance to citizens wishing to access their social care records. </w:t>
            </w:r>
          </w:p>
        </w:tc>
        <w:tc>
          <w:tcPr>
            <w:tcW w:w="1418" w:type="dxa"/>
            <w:vAlign w:val="center"/>
          </w:tcPr>
          <w:p w:rsidR="006E4368"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In October 2018, Nottingham City Council established and recruited to a specialist post who deals wholly with the provision of social care records</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3.</w:t>
            </w:r>
          </w:p>
        </w:tc>
        <w:tc>
          <w:tcPr>
            <w:tcW w:w="4536" w:type="dxa"/>
            <w:vAlign w:val="center"/>
          </w:tcPr>
          <w:p w:rsidR="006E4368" w:rsidRDefault="00723A4A" w:rsidP="0060364A">
            <w:pPr>
              <w:pStyle w:val="Body"/>
              <w:rPr>
                <w:rFonts w:ascii="Arial" w:hAnsi="Arial" w:cs="Arial"/>
              </w:rPr>
            </w:pPr>
            <w:r>
              <w:rPr>
                <w:rFonts w:ascii="Arial" w:hAnsi="Arial" w:cs="Arial"/>
              </w:rPr>
              <w:t>T</w:t>
            </w:r>
            <w:r w:rsidRPr="001E70D4">
              <w:rPr>
                <w:rFonts w:ascii="Arial" w:hAnsi="Arial" w:cs="Arial"/>
              </w:rPr>
              <w:t>he City have been guarded and slow to appreciate the level of distress felt by complainants. Their approach has caused understandable upset and anger, which could have been avoided</w:t>
            </w:r>
          </w:p>
        </w:tc>
        <w:tc>
          <w:tcPr>
            <w:tcW w:w="6521" w:type="dxa"/>
            <w:vAlign w:val="center"/>
          </w:tcPr>
          <w:p w:rsidR="006E4368" w:rsidRDefault="006E4368" w:rsidP="0060364A">
            <w:pPr>
              <w:pStyle w:val="Body"/>
              <w:rPr>
                <w:rFonts w:ascii="Arial" w:hAnsi="Arial" w:cs="Arial"/>
              </w:rPr>
            </w:pPr>
            <w:r>
              <w:rPr>
                <w:rFonts w:ascii="Arial" w:hAnsi="Arial" w:cs="Arial"/>
              </w:rPr>
              <w:t>To complement our wider strategic work with survivors and their representatives, we will continue to offer to meet with individual victims and survivors (accompanied by their representatives if required) to offer an apology in person and in writing.</w:t>
            </w:r>
          </w:p>
        </w:tc>
        <w:tc>
          <w:tcPr>
            <w:tcW w:w="1418" w:type="dxa"/>
            <w:vAlign w:val="center"/>
          </w:tcPr>
          <w:p w:rsidR="006E4368" w:rsidRDefault="00723A4A"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Ongoing</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4.</w:t>
            </w:r>
          </w:p>
        </w:tc>
        <w:tc>
          <w:tcPr>
            <w:tcW w:w="4536" w:type="dxa"/>
            <w:vAlign w:val="center"/>
          </w:tcPr>
          <w:p w:rsidR="006E4368" w:rsidRDefault="00FC7172" w:rsidP="0060364A">
            <w:pPr>
              <w:pStyle w:val="Body"/>
              <w:rPr>
                <w:rFonts w:ascii="Arial" w:hAnsi="Arial" w:cs="Arial"/>
              </w:rPr>
            </w:pPr>
            <w:r w:rsidRPr="00FC7172">
              <w:rPr>
                <w:rFonts w:ascii="Arial" w:hAnsi="Arial" w:cs="Arial"/>
              </w:rPr>
              <w:t>Highlighted as significant in evidence from survivors</w:t>
            </w:r>
          </w:p>
        </w:tc>
        <w:tc>
          <w:tcPr>
            <w:tcW w:w="6521" w:type="dxa"/>
            <w:vAlign w:val="center"/>
          </w:tcPr>
          <w:p w:rsidR="006E4368" w:rsidRDefault="006E4368" w:rsidP="0060364A">
            <w:pPr>
              <w:pStyle w:val="Body"/>
              <w:rPr>
                <w:rFonts w:ascii="Arial" w:hAnsi="Arial" w:cs="Arial"/>
              </w:rPr>
            </w:pPr>
            <w:r>
              <w:rPr>
                <w:rFonts w:ascii="Arial" w:hAnsi="Arial" w:cs="Arial"/>
              </w:rPr>
              <w:t>To consider with safeguarding partners</w:t>
            </w:r>
            <w:r w:rsidR="00300634">
              <w:rPr>
                <w:rStyle w:val="FootnoteReference"/>
                <w:rFonts w:ascii="Arial" w:hAnsi="Arial" w:cs="Arial"/>
              </w:rPr>
              <w:footnoteReference w:id="1"/>
            </w:r>
            <w:r w:rsidR="00300634">
              <w:rPr>
                <w:rFonts w:ascii="Arial" w:hAnsi="Arial" w:cs="Arial"/>
              </w:rPr>
              <w:t xml:space="preserve"> </w:t>
            </w:r>
            <w:r>
              <w:rPr>
                <w:rFonts w:ascii="Arial" w:hAnsi="Arial" w:cs="Arial"/>
              </w:rPr>
              <w:t>the outcome of the needs assessment being undertaken by Lime Culture</w:t>
            </w:r>
            <w:r w:rsidR="00300634">
              <w:rPr>
                <w:rStyle w:val="FootnoteReference"/>
                <w:rFonts w:ascii="Arial" w:hAnsi="Arial" w:cs="Arial"/>
              </w:rPr>
              <w:footnoteReference w:id="2"/>
            </w:r>
            <w:r>
              <w:rPr>
                <w:rFonts w:ascii="Arial" w:hAnsi="Arial" w:cs="Arial"/>
              </w:rPr>
              <w:t xml:space="preserve"> and use their conclusions to inform future commissioning of services to support victims of violence and sexual abuse.</w:t>
            </w:r>
          </w:p>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Pr>
                <w:rFonts w:ascii="Arial" w:hAnsi="Arial" w:cs="Arial"/>
              </w:rPr>
              <w:t xml:space="preserve">Consultation with victims and survivors will continue to be integral to this. </w:t>
            </w:r>
          </w:p>
        </w:tc>
        <w:tc>
          <w:tcPr>
            <w:tcW w:w="1418" w:type="dxa"/>
            <w:vAlign w:val="center"/>
          </w:tcPr>
          <w:p w:rsidR="006E4368"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Services are due to be recommissioned in 2020 for 2021</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lastRenderedPageBreak/>
              <w:t>5.</w:t>
            </w:r>
          </w:p>
        </w:tc>
        <w:tc>
          <w:tcPr>
            <w:tcW w:w="4536" w:type="dxa"/>
            <w:vAlign w:val="center"/>
          </w:tcPr>
          <w:p w:rsidR="006E4368" w:rsidRDefault="00FC7172" w:rsidP="0060364A">
            <w:pPr>
              <w:pStyle w:val="Body"/>
              <w:rPr>
                <w:rFonts w:ascii="Arial" w:hAnsi="Arial" w:cs="Arial"/>
              </w:rPr>
            </w:pPr>
            <w:r w:rsidRPr="00FC7172">
              <w:rPr>
                <w:rFonts w:ascii="Arial" w:hAnsi="Arial" w:cs="Arial"/>
              </w:rPr>
              <w:t>Highlighted as significant in evidence from survivors</w:t>
            </w:r>
          </w:p>
        </w:tc>
        <w:tc>
          <w:tcPr>
            <w:tcW w:w="6521" w:type="dxa"/>
            <w:vAlign w:val="center"/>
          </w:tcPr>
          <w:p w:rsidR="006E4368" w:rsidRPr="00930710" w:rsidRDefault="006E4368" w:rsidP="0060364A">
            <w:pPr>
              <w:pStyle w:val="Body"/>
              <w:rPr>
                <w:rFonts w:ascii="Arial" w:hAnsi="Arial" w:cs="Arial"/>
              </w:rPr>
            </w:pPr>
            <w:r>
              <w:rPr>
                <w:rFonts w:ascii="Arial" w:hAnsi="Arial" w:cs="Arial"/>
              </w:rPr>
              <w:t>In partnership with Police and Crime Commissioners Office and Nottinghamshire County Council colleagues, Nottingham City Council will implement the outcome of the evaluation of the jointly funded support for Survivors Service.</w:t>
            </w:r>
          </w:p>
        </w:tc>
        <w:tc>
          <w:tcPr>
            <w:tcW w:w="1418" w:type="dxa"/>
            <w:vAlign w:val="center"/>
          </w:tcPr>
          <w:p w:rsidR="006E4368"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The evaluation is due end of October 2019</w:t>
            </w:r>
          </w:p>
        </w:tc>
      </w:tr>
      <w:tr w:rsidR="006E4368" w:rsidTr="0060364A">
        <w:tc>
          <w:tcPr>
            <w:tcW w:w="562"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6.</w:t>
            </w:r>
          </w:p>
        </w:tc>
        <w:tc>
          <w:tcPr>
            <w:tcW w:w="4536" w:type="dxa"/>
            <w:vAlign w:val="center"/>
          </w:tcPr>
          <w:p w:rsidR="006E4368" w:rsidRDefault="00723A4A" w:rsidP="0060364A">
            <w:pPr>
              <w:pStyle w:val="Body"/>
              <w:rPr>
                <w:rFonts w:ascii="Arial" w:hAnsi="Arial" w:cs="Arial"/>
              </w:rPr>
            </w:pPr>
            <w:r w:rsidRPr="00E61923">
              <w:rPr>
                <w:rFonts w:ascii="Arial" w:hAnsi="Arial" w:cs="Arial"/>
                <w:b/>
              </w:rPr>
              <w:t>Recommendation 1</w:t>
            </w:r>
            <w:r w:rsidRPr="004F2B27">
              <w:rPr>
                <w:rFonts w:ascii="Arial" w:hAnsi="Arial" w:cs="Arial"/>
              </w:rPr>
              <w:t xml:space="preserve"> - Nottingham City Council shoul</w:t>
            </w:r>
            <w:r w:rsidR="001764E6">
              <w:rPr>
                <w:rFonts w:ascii="Arial" w:hAnsi="Arial" w:cs="Arial"/>
              </w:rPr>
              <w:t>d assess the potential risk pos</w:t>
            </w:r>
            <w:r w:rsidRPr="004F2B27">
              <w:rPr>
                <w:rFonts w:ascii="Arial" w:hAnsi="Arial" w:cs="Arial"/>
              </w:rPr>
              <w:t>ed by current and former foster carers directly provided by the council in relation to the sexual abuse of children. They should also ensure that current and former foster carers provided by external agencies are assessed by those agencies. Any concerns which arise should be referred to the appropriate body or process, including the Disclosure and Ba</w:t>
            </w:r>
            <w:r w:rsidR="001764E6">
              <w:rPr>
                <w:rFonts w:ascii="Arial" w:hAnsi="Arial" w:cs="Arial"/>
              </w:rPr>
              <w:t>r</w:t>
            </w:r>
            <w:r w:rsidRPr="004F2B27">
              <w:rPr>
                <w:rFonts w:ascii="Arial" w:hAnsi="Arial" w:cs="Arial"/>
              </w:rPr>
              <w:t>ring Service, the local authority designated officer (LADO) or equivalent, the fostering panel and the police.</w:t>
            </w:r>
          </w:p>
        </w:tc>
        <w:tc>
          <w:tcPr>
            <w:tcW w:w="6521" w:type="dxa"/>
            <w:vAlign w:val="center"/>
          </w:tcPr>
          <w:p w:rsidR="006E4368" w:rsidRDefault="006E4368" w:rsidP="0060364A">
            <w:pPr>
              <w:pStyle w:val="Body"/>
              <w:rPr>
                <w:rFonts w:ascii="Arial" w:hAnsi="Arial" w:cs="Arial"/>
              </w:rPr>
            </w:pPr>
            <w:r w:rsidRPr="00D77154">
              <w:rPr>
                <w:rFonts w:ascii="Arial" w:hAnsi="Arial" w:cs="Arial"/>
              </w:rPr>
              <w:t>Using the risk-based methodology developed to review the HR cases, NCC will assess the risks posed by current and former foster carers, including those from independent fostering agencies.</w:t>
            </w:r>
          </w:p>
        </w:tc>
        <w:tc>
          <w:tcPr>
            <w:tcW w:w="1418" w:type="dxa"/>
            <w:vAlign w:val="center"/>
          </w:tcPr>
          <w:p w:rsidR="006E4368" w:rsidRPr="00D77154"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Head of Children in Care</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D77154">
              <w:rPr>
                <w:rFonts w:ascii="Arial" w:hAnsi="Arial" w:cs="Arial"/>
              </w:rPr>
              <w:t xml:space="preserve">To </w:t>
            </w:r>
            <w:r>
              <w:rPr>
                <w:rFonts w:ascii="Arial" w:hAnsi="Arial" w:cs="Arial"/>
              </w:rPr>
              <w:t>commence October 2019 (to be completed this financial year)</w:t>
            </w:r>
            <w:r w:rsidRPr="00D77154">
              <w:rPr>
                <w:rFonts w:ascii="Arial" w:hAnsi="Arial" w:cs="Arial"/>
              </w:rPr>
              <w:t>.</w:t>
            </w:r>
          </w:p>
        </w:tc>
      </w:tr>
      <w:tr w:rsidR="00FC7172" w:rsidTr="0060364A">
        <w:tc>
          <w:tcPr>
            <w:tcW w:w="562" w:type="dxa"/>
            <w:vAlign w:val="center"/>
          </w:tcPr>
          <w:p w:rsidR="00FC7172" w:rsidRPr="00930710"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7a.</w:t>
            </w:r>
          </w:p>
        </w:tc>
        <w:tc>
          <w:tcPr>
            <w:tcW w:w="4536" w:type="dxa"/>
            <w:vMerge w:val="restart"/>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61923">
              <w:rPr>
                <w:rFonts w:ascii="Arial" w:hAnsi="Arial" w:cs="Arial"/>
                <w:b/>
              </w:rPr>
              <w:t>Recommendation 2</w:t>
            </w:r>
            <w:r w:rsidRPr="004F2B27">
              <w:rPr>
                <w:rFonts w:ascii="Arial" w:hAnsi="Arial" w:cs="Arial"/>
              </w:rPr>
              <w:t xml:space="preserve"> - Nottingham City Council and its child protection partners should commission an independent, external evaluation of their practice concerning harmful sexual behaviour, including responses, prevention, assessment intervention and workforce </w:t>
            </w:r>
            <w:r w:rsidRPr="004F2B27">
              <w:rPr>
                <w:rFonts w:ascii="Arial" w:hAnsi="Arial" w:cs="Arial"/>
              </w:rPr>
              <w:lastRenderedPageBreak/>
              <w:t>development. An action plan should be set up to ensure that any recommendations are responded to in a timely manner and progress should be reported to City’s Safeguarding Children Partnership.</w:t>
            </w:r>
          </w:p>
        </w:tc>
        <w:tc>
          <w:tcPr>
            <w:tcW w:w="6521"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77154">
              <w:rPr>
                <w:rFonts w:ascii="Arial" w:hAnsi="Arial" w:cs="Arial"/>
              </w:rPr>
              <w:lastRenderedPageBreak/>
              <w:t>N</w:t>
            </w:r>
            <w:r>
              <w:rPr>
                <w:rFonts w:ascii="Arial" w:hAnsi="Arial" w:cs="Arial"/>
              </w:rPr>
              <w:t>ottingham City Council a</w:t>
            </w:r>
            <w:r w:rsidRPr="00D77154">
              <w:rPr>
                <w:rFonts w:ascii="Arial" w:hAnsi="Arial" w:cs="Arial"/>
              </w:rPr>
              <w:t xml:space="preserve">nd our </w:t>
            </w:r>
            <w:r>
              <w:rPr>
                <w:rFonts w:ascii="Arial" w:hAnsi="Arial" w:cs="Arial"/>
              </w:rPr>
              <w:t>S</w:t>
            </w:r>
            <w:r w:rsidRPr="00D77154">
              <w:rPr>
                <w:rFonts w:ascii="Arial" w:hAnsi="Arial" w:cs="Arial"/>
              </w:rPr>
              <w:t xml:space="preserve">afeguarding </w:t>
            </w:r>
            <w:r>
              <w:rPr>
                <w:rFonts w:ascii="Arial" w:hAnsi="Arial" w:cs="Arial"/>
              </w:rPr>
              <w:t>P</w:t>
            </w:r>
            <w:r w:rsidRPr="00D77154">
              <w:rPr>
                <w:rFonts w:ascii="Arial" w:hAnsi="Arial" w:cs="Arial"/>
              </w:rPr>
              <w:t>artners</w:t>
            </w:r>
            <w:r>
              <w:rPr>
                <w:rFonts w:ascii="Arial" w:hAnsi="Arial" w:cs="Arial"/>
              </w:rPr>
              <w:t>hip will commission an</w:t>
            </w:r>
            <w:r w:rsidRPr="00D77154">
              <w:rPr>
                <w:rFonts w:ascii="Arial" w:hAnsi="Arial" w:cs="Arial"/>
              </w:rPr>
              <w:t xml:space="preserve"> independent external evaluation of our practice using the Harmful Sexual Behaviour Framework</w:t>
            </w:r>
            <w:r w:rsidR="0097356A">
              <w:rPr>
                <w:rStyle w:val="FootnoteReference"/>
                <w:rFonts w:ascii="Arial" w:hAnsi="Arial" w:cs="Arial"/>
              </w:rPr>
              <w:footnoteReference w:id="3"/>
            </w:r>
            <w:r w:rsidRPr="00D77154">
              <w:rPr>
                <w:rFonts w:ascii="Arial" w:hAnsi="Arial" w:cs="Arial"/>
              </w:rPr>
              <w:t xml:space="preserve"> developed by NSPCC, Research in Practice and Professor Simon Hackett - the expert witness relied upon by IICSA.</w:t>
            </w:r>
          </w:p>
        </w:tc>
        <w:tc>
          <w:tcPr>
            <w:tcW w:w="1418" w:type="dxa"/>
            <w:vMerge w:val="restart"/>
            <w:vAlign w:val="center"/>
          </w:tcPr>
          <w:p w:rsidR="00FC7172" w:rsidRPr="00D77154"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77154">
              <w:rPr>
                <w:rFonts w:ascii="Arial" w:hAnsi="Arial" w:cs="Arial"/>
              </w:rPr>
              <w:t>The review will commence in October 2019</w:t>
            </w:r>
          </w:p>
        </w:tc>
      </w:tr>
      <w:tr w:rsidR="00FC7172" w:rsidTr="0060364A">
        <w:tc>
          <w:tcPr>
            <w:tcW w:w="562" w:type="dxa"/>
            <w:vAlign w:val="center"/>
          </w:tcPr>
          <w:p w:rsidR="00FC7172" w:rsidRPr="00930710"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7b.</w:t>
            </w:r>
          </w:p>
        </w:tc>
        <w:tc>
          <w:tcPr>
            <w:tcW w:w="4536" w:type="dxa"/>
            <w:vMerge/>
            <w:vAlign w:val="center"/>
          </w:tcPr>
          <w:p w:rsidR="00FC7172" w:rsidRPr="00D77154" w:rsidRDefault="00FC7172" w:rsidP="0060364A">
            <w:pPr>
              <w:pStyle w:val="Body"/>
              <w:rPr>
                <w:rFonts w:ascii="Arial" w:hAnsi="Arial" w:cs="Arial"/>
              </w:rPr>
            </w:pPr>
          </w:p>
        </w:tc>
        <w:tc>
          <w:tcPr>
            <w:tcW w:w="6521" w:type="dxa"/>
            <w:vAlign w:val="center"/>
          </w:tcPr>
          <w:p w:rsidR="00FC7172" w:rsidRPr="00930710" w:rsidRDefault="00FC7172" w:rsidP="0060364A">
            <w:pPr>
              <w:pStyle w:val="Body"/>
              <w:rPr>
                <w:rFonts w:ascii="Arial" w:hAnsi="Arial" w:cs="Arial"/>
              </w:rPr>
            </w:pPr>
            <w:r w:rsidRPr="00D77154">
              <w:rPr>
                <w:rFonts w:ascii="Arial" w:hAnsi="Arial" w:cs="Arial"/>
              </w:rPr>
              <w:t xml:space="preserve">NCC and our </w:t>
            </w:r>
            <w:r>
              <w:rPr>
                <w:rFonts w:ascii="Arial" w:hAnsi="Arial" w:cs="Arial"/>
              </w:rPr>
              <w:t>S</w:t>
            </w:r>
            <w:r w:rsidRPr="00D77154">
              <w:rPr>
                <w:rFonts w:ascii="Arial" w:hAnsi="Arial" w:cs="Arial"/>
              </w:rPr>
              <w:t xml:space="preserve">afeguarding </w:t>
            </w:r>
            <w:r>
              <w:rPr>
                <w:rFonts w:ascii="Arial" w:hAnsi="Arial" w:cs="Arial"/>
              </w:rPr>
              <w:t>Partnership</w:t>
            </w:r>
            <w:r w:rsidRPr="00D77154">
              <w:rPr>
                <w:rFonts w:ascii="Arial" w:hAnsi="Arial" w:cs="Arial"/>
              </w:rPr>
              <w:t xml:space="preserve"> will</w:t>
            </w:r>
            <w:r>
              <w:rPr>
                <w:rFonts w:ascii="Arial" w:hAnsi="Arial" w:cs="Arial"/>
              </w:rPr>
              <w:t xml:space="preserve"> consider the recommendations </w:t>
            </w:r>
            <w:r w:rsidRPr="00D77154">
              <w:rPr>
                <w:rFonts w:ascii="Arial" w:hAnsi="Arial" w:cs="Arial"/>
              </w:rPr>
              <w:t>and practice impro</w:t>
            </w:r>
            <w:r>
              <w:rPr>
                <w:rFonts w:ascii="Arial" w:hAnsi="Arial" w:cs="Arial"/>
              </w:rPr>
              <w:t xml:space="preserve">vements required </w:t>
            </w:r>
            <w:r>
              <w:rPr>
                <w:rFonts w:ascii="Arial" w:hAnsi="Arial" w:cs="Arial"/>
              </w:rPr>
              <w:lastRenderedPageBreak/>
              <w:t>from the evaluation of practice against the Harmful Sexual Behaviour Framework.</w:t>
            </w:r>
          </w:p>
        </w:tc>
        <w:tc>
          <w:tcPr>
            <w:tcW w:w="1418" w:type="dxa"/>
            <w:vMerge/>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 xml:space="preserve">Consider at Safeguarding </w:t>
            </w:r>
            <w:r>
              <w:rPr>
                <w:rFonts w:ascii="Arial" w:hAnsi="Arial" w:cs="Arial"/>
              </w:rPr>
              <w:lastRenderedPageBreak/>
              <w:t>Partnership on 04/02/20</w:t>
            </w:r>
          </w:p>
        </w:tc>
      </w:tr>
      <w:tr w:rsidR="00FC7172" w:rsidTr="0060364A">
        <w:tc>
          <w:tcPr>
            <w:tcW w:w="562"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lastRenderedPageBreak/>
              <w:t>7c.</w:t>
            </w:r>
          </w:p>
        </w:tc>
        <w:tc>
          <w:tcPr>
            <w:tcW w:w="4536" w:type="dxa"/>
            <w:vMerge/>
            <w:vAlign w:val="center"/>
          </w:tcPr>
          <w:p w:rsidR="00FC7172" w:rsidRDefault="00FC7172" w:rsidP="0060364A">
            <w:pPr>
              <w:pStyle w:val="Body"/>
              <w:rPr>
                <w:rFonts w:ascii="Arial" w:hAnsi="Arial" w:cs="Arial"/>
              </w:rPr>
            </w:pPr>
          </w:p>
        </w:tc>
        <w:tc>
          <w:tcPr>
            <w:tcW w:w="6521" w:type="dxa"/>
            <w:vAlign w:val="center"/>
          </w:tcPr>
          <w:p w:rsidR="00FC7172" w:rsidRPr="00D77154" w:rsidRDefault="00FC7172" w:rsidP="0060364A">
            <w:pPr>
              <w:pStyle w:val="Body"/>
              <w:rPr>
                <w:rFonts w:ascii="Arial" w:hAnsi="Arial" w:cs="Arial"/>
              </w:rPr>
            </w:pPr>
            <w:r>
              <w:rPr>
                <w:rFonts w:ascii="Arial" w:hAnsi="Arial" w:cs="Arial"/>
              </w:rPr>
              <w:t>Commence implementation of the recommendations of the above review and report back to the Safeguarding Partnership</w:t>
            </w:r>
          </w:p>
        </w:tc>
        <w:tc>
          <w:tcPr>
            <w:tcW w:w="1418" w:type="dxa"/>
            <w:vMerge/>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Following Safeguarding Partnership (Feb 20)</w:t>
            </w:r>
          </w:p>
        </w:tc>
      </w:tr>
      <w:tr w:rsidR="00FC7172" w:rsidTr="0060364A">
        <w:tc>
          <w:tcPr>
            <w:tcW w:w="562" w:type="dxa"/>
            <w:vAlign w:val="center"/>
          </w:tcPr>
          <w:p w:rsidR="00FC7172" w:rsidRPr="00930710"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8a.</w:t>
            </w:r>
          </w:p>
        </w:tc>
        <w:tc>
          <w:tcPr>
            <w:tcW w:w="4536" w:type="dxa"/>
            <w:vMerge w:val="restart"/>
            <w:vAlign w:val="center"/>
          </w:tcPr>
          <w:p w:rsidR="00FC7172" w:rsidRPr="00D77154" w:rsidRDefault="00FC7172" w:rsidP="0060364A">
            <w:pPr>
              <w:pStyle w:val="Body"/>
              <w:rPr>
                <w:rFonts w:ascii="Arial" w:hAnsi="Arial" w:cs="Arial"/>
              </w:rPr>
            </w:pPr>
            <w:r>
              <w:rPr>
                <w:rFonts w:ascii="Arial" w:hAnsi="Arial" w:cs="Arial"/>
              </w:rPr>
              <w:t>Continuing to the present day, neither the County nor the City has had a process by which there has been regular reporting of the number of allegations and the response to those allegation</w:t>
            </w:r>
            <w:r w:rsidR="001764E6">
              <w:rPr>
                <w:rFonts w:ascii="Arial" w:hAnsi="Arial" w:cs="Arial"/>
              </w:rPr>
              <w:t>s</w:t>
            </w:r>
            <w:r>
              <w:rPr>
                <w:rFonts w:ascii="Arial" w:hAnsi="Arial" w:cs="Arial"/>
              </w:rPr>
              <w:t>. This has meant that knowledge of the scale of allegations of sexual abuse of children in care and the response to those allegations has been limited and inconsistent.</w:t>
            </w:r>
          </w:p>
        </w:tc>
        <w:tc>
          <w:tcPr>
            <w:tcW w:w="6521" w:type="dxa"/>
            <w:vAlign w:val="center"/>
          </w:tcPr>
          <w:p w:rsidR="00FC7172" w:rsidRPr="00832963" w:rsidRDefault="00FC7172" w:rsidP="0060364A">
            <w:pPr>
              <w:pStyle w:val="Body"/>
              <w:rPr>
                <w:rFonts w:ascii="Arial" w:hAnsi="Arial" w:cs="Arial"/>
              </w:rPr>
            </w:pPr>
            <w:r w:rsidRPr="00D77154">
              <w:rPr>
                <w:rFonts w:ascii="Arial" w:hAnsi="Arial" w:cs="Arial"/>
              </w:rPr>
              <w:t>To ensure that the scale of sexual abuse of children in care</w:t>
            </w:r>
            <w:r>
              <w:rPr>
                <w:rFonts w:ascii="Arial" w:hAnsi="Arial" w:cs="Arial"/>
              </w:rPr>
              <w:t xml:space="preserve"> by individuals in a position of trust or any peer that they were placed with,</w:t>
            </w:r>
            <w:r w:rsidRPr="00D77154">
              <w:rPr>
                <w:rFonts w:ascii="Arial" w:hAnsi="Arial" w:cs="Arial"/>
              </w:rPr>
              <w:t xml:space="preserve"> is understood by senior managers and elected members, we will p</w:t>
            </w:r>
            <w:r>
              <w:rPr>
                <w:rFonts w:ascii="Arial" w:hAnsi="Arial" w:cs="Arial"/>
              </w:rPr>
              <w:t>rovide a quarterly update on any such</w:t>
            </w:r>
            <w:r w:rsidRPr="00D77154">
              <w:rPr>
                <w:rFonts w:ascii="Arial" w:hAnsi="Arial" w:cs="Arial"/>
              </w:rPr>
              <w:t xml:space="preserve"> allegations to the Safeguarding Partnership. </w:t>
            </w:r>
          </w:p>
        </w:tc>
        <w:tc>
          <w:tcPr>
            <w:tcW w:w="1418" w:type="dxa"/>
            <w:vMerge w:val="restart"/>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The first report to December 2019 Safeguarding Partnership Business Management Group</w:t>
            </w:r>
          </w:p>
        </w:tc>
      </w:tr>
      <w:tr w:rsidR="00FC7172" w:rsidTr="0060364A">
        <w:tc>
          <w:tcPr>
            <w:tcW w:w="562" w:type="dxa"/>
            <w:vAlign w:val="center"/>
          </w:tcPr>
          <w:p w:rsidR="00FC7172" w:rsidRPr="00930710"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8b.</w:t>
            </w:r>
          </w:p>
        </w:tc>
        <w:tc>
          <w:tcPr>
            <w:tcW w:w="4536" w:type="dxa"/>
            <w:vMerge/>
            <w:vAlign w:val="center"/>
          </w:tcPr>
          <w:p w:rsidR="00FC7172" w:rsidRPr="00D77154" w:rsidRDefault="00FC7172" w:rsidP="0060364A">
            <w:pPr>
              <w:pStyle w:val="Body"/>
              <w:rPr>
                <w:rFonts w:ascii="Arial" w:hAnsi="Arial" w:cs="Arial"/>
              </w:rPr>
            </w:pPr>
          </w:p>
        </w:tc>
        <w:tc>
          <w:tcPr>
            <w:tcW w:w="6521" w:type="dxa"/>
            <w:vAlign w:val="center"/>
          </w:tcPr>
          <w:p w:rsidR="00FC7172" w:rsidRPr="0080107D" w:rsidRDefault="00FC7172" w:rsidP="0060364A">
            <w:pPr>
              <w:pStyle w:val="Body"/>
              <w:rPr>
                <w:rFonts w:ascii="Arial" w:hAnsi="Arial" w:cs="Arial"/>
              </w:rPr>
            </w:pPr>
            <w:r w:rsidRPr="00D77154">
              <w:rPr>
                <w:rFonts w:ascii="Arial" w:hAnsi="Arial" w:cs="Arial"/>
              </w:rPr>
              <w:t>We will also introduce a sub section within the I</w:t>
            </w:r>
            <w:r>
              <w:rPr>
                <w:rFonts w:ascii="Arial" w:hAnsi="Arial" w:cs="Arial"/>
              </w:rPr>
              <w:t xml:space="preserve">ndependent </w:t>
            </w:r>
            <w:r w:rsidRPr="00D77154">
              <w:rPr>
                <w:rFonts w:ascii="Arial" w:hAnsi="Arial" w:cs="Arial"/>
              </w:rPr>
              <w:t>R</w:t>
            </w:r>
            <w:r>
              <w:rPr>
                <w:rFonts w:ascii="Arial" w:hAnsi="Arial" w:cs="Arial"/>
              </w:rPr>
              <w:t xml:space="preserve">eviewing </w:t>
            </w:r>
            <w:r w:rsidRPr="00D77154">
              <w:rPr>
                <w:rFonts w:ascii="Arial" w:hAnsi="Arial" w:cs="Arial"/>
              </w:rPr>
              <w:t>O</w:t>
            </w:r>
            <w:r>
              <w:rPr>
                <w:rFonts w:ascii="Arial" w:hAnsi="Arial" w:cs="Arial"/>
              </w:rPr>
              <w:t>fficers</w:t>
            </w:r>
            <w:r w:rsidRPr="00D77154">
              <w:rPr>
                <w:rFonts w:ascii="Arial" w:hAnsi="Arial" w:cs="Arial"/>
              </w:rPr>
              <w:t xml:space="preserve"> Annual Report that separately identifies allegations of sexual abuse of children in care</w:t>
            </w:r>
            <w:r>
              <w:rPr>
                <w:rFonts w:ascii="Arial" w:hAnsi="Arial" w:cs="Arial"/>
              </w:rPr>
              <w:t xml:space="preserve"> by individuals in a position of trust or any peer that they were placed with</w:t>
            </w:r>
            <w:r w:rsidRPr="00D77154">
              <w:rPr>
                <w:rFonts w:ascii="Arial" w:hAnsi="Arial" w:cs="Arial"/>
              </w:rPr>
              <w:t>.</w:t>
            </w:r>
          </w:p>
        </w:tc>
        <w:tc>
          <w:tcPr>
            <w:tcW w:w="1418" w:type="dxa"/>
            <w:vMerge/>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T</w:t>
            </w:r>
            <w:r w:rsidRPr="00D77154">
              <w:rPr>
                <w:rFonts w:ascii="Arial" w:hAnsi="Arial" w:cs="Arial"/>
              </w:rPr>
              <w:t xml:space="preserve">o be included in the </w:t>
            </w:r>
            <w:r>
              <w:rPr>
                <w:rFonts w:ascii="Arial" w:hAnsi="Arial" w:cs="Arial"/>
              </w:rPr>
              <w:t>20</w:t>
            </w:r>
            <w:r w:rsidRPr="00D77154">
              <w:rPr>
                <w:rFonts w:ascii="Arial" w:hAnsi="Arial" w:cs="Arial"/>
              </w:rPr>
              <w:t>19/20 annual report</w:t>
            </w:r>
          </w:p>
        </w:tc>
      </w:tr>
      <w:tr w:rsidR="006E4368" w:rsidTr="0060364A">
        <w:tc>
          <w:tcPr>
            <w:tcW w:w="562"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9</w:t>
            </w:r>
            <w:r w:rsidR="0060364A">
              <w:rPr>
                <w:rFonts w:ascii="Arial" w:hAnsi="Arial" w:cs="Arial"/>
              </w:rPr>
              <w:t>.</w:t>
            </w:r>
          </w:p>
        </w:tc>
        <w:tc>
          <w:tcPr>
            <w:tcW w:w="4536" w:type="dxa"/>
            <w:vAlign w:val="center"/>
          </w:tcPr>
          <w:p w:rsidR="006E4368" w:rsidRDefault="00FC7172" w:rsidP="0060364A">
            <w:pPr>
              <w:pStyle w:val="Body"/>
              <w:rPr>
                <w:rFonts w:ascii="Arial" w:hAnsi="Arial" w:cs="Arial"/>
              </w:rPr>
            </w:pPr>
            <w:r w:rsidRPr="00FC7172">
              <w:rPr>
                <w:rFonts w:ascii="Arial" w:hAnsi="Arial" w:cs="Arial"/>
              </w:rPr>
              <w:t>Highlighted as significant in evidence from survivors</w:t>
            </w:r>
          </w:p>
        </w:tc>
        <w:tc>
          <w:tcPr>
            <w:tcW w:w="6521" w:type="dxa"/>
            <w:vAlign w:val="center"/>
          </w:tcPr>
          <w:p w:rsidR="006E4368" w:rsidRDefault="006E4368" w:rsidP="0060364A">
            <w:pPr>
              <w:pStyle w:val="Body"/>
              <w:rPr>
                <w:rFonts w:ascii="Arial" w:hAnsi="Arial" w:cs="Arial"/>
              </w:rPr>
            </w:pPr>
            <w:r>
              <w:rPr>
                <w:rFonts w:ascii="Arial" w:hAnsi="Arial" w:cs="Arial"/>
              </w:rPr>
              <w:t xml:space="preserve">Ensure that learning from all relevant sources, including complaints, and regulatory and inspection activity is regularly reviewed to continually improve our services. </w:t>
            </w:r>
          </w:p>
          <w:p w:rsidR="006E4368" w:rsidRDefault="006E4368" w:rsidP="0060364A">
            <w:pPr>
              <w:pStyle w:val="Body"/>
              <w:rPr>
                <w:rFonts w:ascii="Arial" w:hAnsi="Arial" w:cs="Arial"/>
              </w:rPr>
            </w:pPr>
          </w:p>
          <w:p w:rsidR="006E4368" w:rsidRPr="00D77154" w:rsidRDefault="006E4368" w:rsidP="0060364A">
            <w:pPr>
              <w:pStyle w:val="Body"/>
              <w:rPr>
                <w:rFonts w:ascii="Arial" w:hAnsi="Arial" w:cs="Arial"/>
              </w:rPr>
            </w:pPr>
            <w:r>
              <w:rPr>
                <w:rFonts w:ascii="Arial" w:hAnsi="Arial" w:cs="Arial"/>
              </w:rPr>
              <w:t xml:space="preserve">Regular updates will be provided to the Safeguarding Partnership about the implementation and impact of this learning. </w:t>
            </w:r>
          </w:p>
        </w:tc>
        <w:tc>
          <w:tcPr>
            <w:tcW w:w="1418" w:type="dxa"/>
            <w:vAlign w:val="center"/>
          </w:tcPr>
          <w:p w:rsidR="006E4368" w:rsidRDefault="0097356A"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Ongoing</w:t>
            </w:r>
          </w:p>
        </w:tc>
      </w:tr>
    </w:tbl>
    <w:p w:rsidR="000C5763" w:rsidRDefault="000C5763" w:rsidP="00F23516">
      <w:pPr>
        <w:pStyle w:val="BodyA"/>
      </w:pPr>
    </w:p>
    <w:sectPr w:rsidR="000C5763" w:rsidSect="00EC504C">
      <w:pgSz w:w="16840" w:h="11900" w:orient="landscape"/>
      <w:pgMar w:top="720" w:right="720" w:bottom="1133"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EA" w:rsidRDefault="00A97DEA">
      <w:r>
        <w:separator/>
      </w:r>
    </w:p>
  </w:endnote>
  <w:endnote w:type="continuationSeparator" w:id="0">
    <w:p w:rsidR="00A97DEA" w:rsidRDefault="00A9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EA" w:rsidRDefault="00A97DEA">
      <w:r>
        <w:separator/>
      </w:r>
    </w:p>
  </w:footnote>
  <w:footnote w:type="continuationSeparator" w:id="0">
    <w:p w:rsidR="00A97DEA" w:rsidRDefault="00A97DEA">
      <w:r>
        <w:continuationSeparator/>
      </w:r>
    </w:p>
  </w:footnote>
  <w:footnote w:id="1">
    <w:p w:rsidR="00300634" w:rsidRPr="00300634" w:rsidRDefault="00300634" w:rsidP="00300634">
      <w:pPr>
        <w:pStyle w:val="Default"/>
        <w:rPr>
          <w:sz w:val="20"/>
          <w:szCs w:val="20"/>
        </w:rPr>
      </w:pPr>
      <w:r w:rsidRPr="00300634">
        <w:rPr>
          <w:rStyle w:val="FootnoteReference"/>
          <w:sz w:val="20"/>
          <w:szCs w:val="20"/>
        </w:rPr>
        <w:footnoteRef/>
      </w:r>
      <w:r w:rsidRPr="00300634">
        <w:rPr>
          <w:sz w:val="20"/>
          <w:szCs w:val="20"/>
        </w:rPr>
        <w:t xml:space="preserve"> A </w:t>
      </w:r>
      <w:r w:rsidRPr="00300634">
        <w:rPr>
          <w:i/>
          <w:iCs/>
          <w:sz w:val="20"/>
          <w:szCs w:val="20"/>
        </w:rPr>
        <w:t xml:space="preserve">safeguarding partner </w:t>
      </w:r>
      <w:r w:rsidRPr="00300634">
        <w:rPr>
          <w:sz w:val="20"/>
          <w:szCs w:val="20"/>
        </w:rPr>
        <w:t xml:space="preserve">in relation to a local authority area in England is defined under the Children Act 2004 (as amended by the Children and Social Work Act, 2017) as: </w:t>
      </w:r>
    </w:p>
    <w:p w:rsidR="00300634" w:rsidRPr="00300634" w:rsidRDefault="00300634" w:rsidP="00300634">
      <w:pPr>
        <w:pStyle w:val="Default"/>
        <w:rPr>
          <w:sz w:val="20"/>
          <w:szCs w:val="20"/>
        </w:rPr>
      </w:pPr>
      <w:r w:rsidRPr="00300634">
        <w:rPr>
          <w:sz w:val="20"/>
          <w:szCs w:val="20"/>
        </w:rPr>
        <w:t xml:space="preserve">(a) the local authority </w:t>
      </w:r>
    </w:p>
    <w:p w:rsidR="00300634" w:rsidRPr="00300634" w:rsidRDefault="00300634" w:rsidP="00300634">
      <w:pPr>
        <w:pStyle w:val="Default"/>
        <w:rPr>
          <w:sz w:val="20"/>
          <w:szCs w:val="20"/>
        </w:rPr>
      </w:pPr>
      <w:r w:rsidRPr="00300634">
        <w:rPr>
          <w:sz w:val="20"/>
          <w:szCs w:val="20"/>
        </w:rPr>
        <w:t xml:space="preserve">(b) a clinical commissioning group for an area any part of which falls within the local authority area </w:t>
      </w:r>
    </w:p>
    <w:p w:rsidR="00300634" w:rsidRPr="00300634" w:rsidRDefault="00300634" w:rsidP="00300634">
      <w:pPr>
        <w:pStyle w:val="Default"/>
        <w:rPr>
          <w:sz w:val="20"/>
          <w:szCs w:val="20"/>
        </w:rPr>
      </w:pPr>
      <w:r w:rsidRPr="00300634">
        <w:rPr>
          <w:sz w:val="20"/>
          <w:szCs w:val="20"/>
        </w:rPr>
        <w:t xml:space="preserve">(c) the chief officer of police for an area any part of which falls within the local authority area </w:t>
      </w:r>
    </w:p>
  </w:footnote>
  <w:footnote w:id="2">
    <w:p w:rsidR="00300634" w:rsidRPr="00300634" w:rsidRDefault="00300634">
      <w:pPr>
        <w:pStyle w:val="FootnoteText"/>
        <w:rPr>
          <w:lang w:val="en-GB"/>
        </w:rPr>
      </w:pPr>
      <w:r w:rsidRPr="00300634">
        <w:rPr>
          <w:rStyle w:val="FootnoteReference"/>
          <w:rFonts w:ascii="Arial" w:hAnsi="Arial" w:cs="Arial"/>
        </w:rPr>
        <w:footnoteRef/>
      </w:r>
      <w:r w:rsidRPr="00300634">
        <w:rPr>
          <w:rFonts w:ascii="Arial" w:hAnsi="Arial" w:cs="Arial"/>
        </w:rPr>
        <w:t xml:space="preserve"> </w:t>
      </w:r>
      <w:r w:rsidRPr="00300634">
        <w:rPr>
          <w:rFonts w:ascii="Arial" w:hAnsi="Arial" w:cs="Arial"/>
          <w:lang w:val="en-GB"/>
        </w:rPr>
        <w:t>Lime Culture are a sexual violence training and development organisation.</w:t>
      </w:r>
    </w:p>
  </w:footnote>
  <w:footnote w:id="3">
    <w:p w:rsidR="0097356A" w:rsidRPr="002269AA" w:rsidRDefault="0097356A" w:rsidP="0097356A">
      <w:pPr>
        <w:spacing w:after="160"/>
        <w:rPr>
          <w:rFonts w:ascii="Arial" w:eastAsia="Times New Roman" w:hAnsi="Arial" w:cs="Arial"/>
          <w:sz w:val="20"/>
          <w:szCs w:val="20"/>
          <w:lang w:eastAsia="en-GB"/>
        </w:rPr>
      </w:pPr>
      <w:r>
        <w:rPr>
          <w:rStyle w:val="FootnoteReference"/>
        </w:rPr>
        <w:footnoteRef/>
      </w:r>
      <w:r>
        <w:t xml:space="preserve"> </w:t>
      </w:r>
      <w:r w:rsidRPr="002269AA">
        <w:rPr>
          <w:rFonts w:ascii="Arial" w:hAnsi="Arial" w:cs="Arial"/>
          <w:sz w:val="20"/>
          <w:szCs w:val="20"/>
        </w:rPr>
        <w:t>An evidence-informed framework for children and young people displaying harmful sexual behaviours.</w:t>
      </w:r>
      <w:r>
        <w:rPr>
          <w:rFonts w:ascii="Arial" w:hAnsi="Arial" w:cs="Arial"/>
          <w:sz w:val="20"/>
          <w:szCs w:val="20"/>
        </w:rPr>
        <w:t xml:space="preserve"> </w:t>
      </w:r>
      <w:r w:rsidRPr="002269AA">
        <w:rPr>
          <w:rFonts w:ascii="Arial" w:eastAsia="Times New Roman" w:hAnsi="Arial" w:cs="Arial"/>
          <w:sz w:val="20"/>
          <w:szCs w:val="20"/>
          <w:lang w:eastAsia="en-GB"/>
        </w:rPr>
        <w:t xml:space="preserve">This framework helps local areas develop and improve multi-agency responses to children displaying </w:t>
      </w:r>
      <w:hyperlink r:id="rId1" w:tooltip="Harmful sexual behaviour" w:history="1">
        <w:r w:rsidRPr="002269AA">
          <w:rPr>
            <w:rFonts w:ascii="Arial" w:eastAsia="Times New Roman" w:hAnsi="Arial" w:cs="Arial"/>
            <w:sz w:val="20"/>
            <w:szCs w:val="20"/>
            <w:lang w:eastAsia="en-GB"/>
          </w:rPr>
          <w:t>harmful sexual behaviour (HSB)</w:t>
        </w:r>
      </w:hyperlink>
      <w:r w:rsidRPr="002269AA">
        <w:rPr>
          <w:rFonts w:ascii="Arial" w:eastAsia="Times New Roman" w:hAnsi="Arial" w:cs="Arial"/>
          <w:sz w:val="20"/>
          <w:szCs w:val="20"/>
          <w:lang w:eastAsia="en-GB"/>
        </w:rPr>
        <w:t>. It provides a coordinated, systematic and evidence-based approach to recognising and responding to the risks and needs of this vulnerable group.</w:t>
      </w:r>
    </w:p>
    <w:p w:rsidR="0097356A" w:rsidRPr="002269AA" w:rsidRDefault="0097356A" w:rsidP="0097356A">
      <w:pPr>
        <w:spacing w:after="300"/>
        <w:rPr>
          <w:rFonts w:ascii="Arial" w:eastAsia="Times New Roman" w:hAnsi="Arial" w:cs="Arial"/>
          <w:sz w:val="20"/>
          <w:szCs w:val="20"/>
          <w:lang w:eastAsia="en-GB"/>
        </w:rPr>
      </w:pPr>
      <w:r w:rsidRPr="002269AA">
        <w:rPr>
          <w:rFonts w:ascii="Arial" w:eastAsia="Times New Roman" w:hAnsi="Arial" w:cs="Arial"/>
          <w:sz w:val="20"/>
          <w:szCs w:val="20"/>
          <w:lang w:eastAsia="en-GB"/>
        </w:rPr>
        <w:t xml:space="preserve">The framework was developed by the NSPCC, </w:t>
      </w:r>
      <w:hyperlink r:id="rId2" w:tgtFrame="_blank" w:tooltip="Research in Practice" w:history="1">
        <w:r w:rsidRPr="002269AA">
          <w:rPr>
            <w:rFonts w:ascii="Arial" w:eastAsia="Times New Roman" w:hAnsi="Arial" w:cs="Arial"/>
            <w:sz w:val="20"/>
            <w:szCs w:val="20"/>
            <w:lang w:eastAsia="en-GB"/>
          </w:rPr>
          <w:t>Research in Practice</w:t>
        </w:r>
      </w:hyperlink>
      <w:r w:rsidRPr="002269AA">
        <w:rPr>
          <w:rFonts w:ascii="Arial" w:eastAsia="Times New Roman" w:hAnsi="Arial" w:cs="Arial"/>
          <w:sz w:val="20"/>
          <w:szCs w:val="20"/>
          <w:lang w:eastAsia="en-GB"/>
        </w:rPr>
        <w:t xml:space="preserve"> and Professor Simon Hackett with input from a number of national organisations, local authorities and subject experts.</w:t>
      </w:r>
    </w:p>
    <w:p w:rsidR="0097356A" w:rsidRPr="0097356A" w:rsidRDefault="0097356A" w:rsidP="0097356A">
      <w:pPr>
        <w:rPr>
          <w:rFonts w:ascii="Arial" w:eastAsia="Times New Roman" w:hAnsi="Arial" w:cs="Arial"/>
          <w:sz w:val="20"/>
          <w:szCs w:val="20"/>
          <w:lang w:eastAsia="en-GB"/>
        </w:rPr>
      </w:pPr>
      <w:r w:rsidRPr="002269AA">
        <w:rPr>
          <w:rFonts w:ascii="Arial" w:eastAsia="Times New Roman" w:hAnsi="Arial" w:cs="Arial"/>
          <w:sz w:val="20"/>
          <w:szCs w:val="20"/>
          <w:lang w:eastAsia="en-GB"/>
        </w:rPr>
        <w:t>This new version updates and replaces the previous framework published in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B63"/>
    <w:multiLevelType w:val="hybridMultilevel"/>
    <w:tmpl w:val="60A0588E"/>
    <w:numStyleLink w:val="ImportedStyle3"/>
  </w:abstractNum>
  <w:abstractNum w:abstractNumId="1" w15:restartNumberingAfterBreak="0">
    <w:nsid w:val="06C14372"/>
    <w:multiLevelType w:val="hybridMultilevel"/>
    <w:tmpl w:val="7A5A4E3E"/>
    <w:styleLink w:val="ImportedStyle5"/>
    <w:lvl w:ilvl="0" w:tplc="2EDAAE04">
      <w:start w:val="1"/>
      <w:numFmt w:val="bullet"/>
      <w:lvlText w:val="·"/>
      <w:lvlJc w:val="left"/>
      <w:pPr>
        <w:ind w:left="7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D22D1C">
      <w:start w:val="1"/>
      <w:numFmt w:val="bullet"/>
      <w:lvlText w:val="o"/>
      <w:lvlJc w:val="left"/>
      <w:pPr>
        <w:ind w:left="1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064760">
      <w:start w:val="1"/>
      <w:numFmt w:val="bullet"/>
      <w:lvlText w:val="▪"/>
      <w:lvlJc w:val="left"/>
      <w:pPr>
        <w:ind w:left="2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60C5D0">
      <w:start w:val="1"/>
      <w:numFmt w:val="bullet"/>
      <w:lvlText w:val="·"/>
      <w:lvlJc w:val="left"/>
      <w:pPr>
        <w:ind w:left="2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CCAE7C">
      <w:start w:val="1"/>
      <w:numFmt w:val="bullet"/>
      <w:lvlText w:val="o"/>
      <w:lvlJc w:val="left"/>
      <w:pPr>
        <w:ind w:left="36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3A163E">
      <w:start w:val="1"/>
      <w:numFmt w:val="bullet"/>
      <w:lvlText w:val="▪"/>
      <w:lvlJc w:val="left"/>
      <w:pPr>
        <w:ind w:left="4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421C6A">
      <w:start w:val="1"/>
      <w:numFmt w:val="bullet"/>
      <w:lvlText w:val="·"/>
      <w:lvlJc w:val="left"/>
      <w:pPr>
        <w:ind w:left="51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0651A8">
      <w:start w:val="1"/>
      <w:numFmt w:val="bullet"/>
      <w:lvlText w:val="o"/>
      <w:lvlJc w:val="left"/>
      <w:pPr>
        <w:ind w:left="58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72459E">
      <w:start w:val="1"/>
      <w:numFmt w:val="bullet"/>
      <w:lvlText w:val="▪"/>
      <w:lvlJc w:val="left"/>
      <w:pPr>
        <w:ind w:left="65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D057AE"/>
    <w:multiLevelType w:val="hybridMultilevel"/>
    <w:tmpl w:val="FA6A46AE"/>
    <w:styleLink w:val="ImportedStyle10"/>
    <w:lvl w:ilvl="0" w:tplc="0E123C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4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3EE2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02FE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0C31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74D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7A85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1436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E6E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EA4219"/>
    <w:multiLevelType w:val="hybridMultilevel"/>
    <w:tmpl w:val="7A5A4E3E"/>
    <w:numStyleLink w:val="ImportedStyle5"/>
  </w:abstractNum>
  <w:abstractNum w:abstractNumId="4" w15:restartNumberingAfterBreak="0">
    <w:nsid w:val="219F1383"/>
    <w:multiLevelType w:val="hybridMultilevel"/>
    <w:tmpl w:val="B09A9240"/>
    <w:numStyleLink w:val="ImportedStyle4"/>
  </w:abstractNum>
  <w:abstractNum w:abstractNumId="5" w15:restartNumberingAfterBreak="0">
    <w:nsid w:val="22CC16F4"/>
    <w:multiLevelType w:val="hybridMultilevel"/>
    <w:tmpl w:val="FA6A46AE"/>
    <w:numStyleLink w:val="ImportedStyle10"/>
  </w:abstractNum>
  <w:abstractNum w:abstractNumId="6" w15:restartNumberingAfterBreak="0">
    <w:nsid w:val="24E80399"/>
    <w:multiLevelType w:val="hybridMultilevel"/>
    <w:tmpl w:val="60A0588E"/>
    <w:styleLink w:val="ImportedStyle3"/>
    <w:lvl w:ilvl="0" w:tplc="D47C22D2">
      <w:start w:val="1"/>
      <w:numFmt w:val="bullet"/>
      <w:lvlText w:val="·"/>
      <w:lvlJc w:val="left"/>
      <w:pPr>
        <w:ind w:left="436"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02DF6A">
      <w:start w:val="1"/>
      <w:numFmt w:val="bullet"/>
      <w:lvlText w:val="o"/>
      <w:lvlJc w:val="left"/>
      <w:pPr>
        <w:ind w:left="436"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0F609E2">
      <w:start w:val="1"/>
      <w:numFmt w:val="bullet"/>
      <w:lvlText w:val="▪"/>
      <w:lvlJc w:val="left"/>
      <w:pPr>
        <w:ind w:left="100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83CAA4C">
      <w:start w:val="1"/>
      <w:numFmt w:val="bullet"/>
      <w:lvlText w:val="•"/>
      <w:lvlJc w:val="left"/>
      <w:pPr>
        <w:ind w:left="172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55A8D82">
      <w:start w:val="1"/>
      <w:numFmt w:val="bullet"/>
      <w:lvlText w:val="o"/>
      <w:lvlJc w:val="left"/>
      <w:pPr>
        <w:ind w:left="244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D9CBEC8">
      <w:start w:val="1"/>
      <w:numFmt w:val="bullet"/>
      <w:lvlText w:val="▪"/>
      <w:lvlJc w:val="left"/>
      <w:pPr>
        <w:ind w:left="316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32E121C">
      <w:start w:val="1"/>
      <w:numFmt w:val="bullet"/>
      <w:lvlText w:val="•"/>
      <w:lvlJc w:val="left"/>
      <w:pPr>
        <w:ind w:left="388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7E25682">
      <w:start w:val="1"/>
      <w:numFmt w:val="bullet"/>
      <w:lvlText w:val="o"/>
      <w:lvlJc w:val="left"/>
      <w:pPr>
        <w:ind w:left="460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6F4B9B4">
      <w:start w:val="1"/>
      <w:numFmt w:val="bullet"/>
      <w:lvlText w:val="▪"/>
      <w:lvlJc w:val="left"/>
      <w:pPr>
        <w:ind w:left="532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095AF2"/>
    <w:multiLevelType w:val="hybridMultilevel"/>
    <w:tmpl w:val="00E2311E"/>
    <w:numStyleLink w:val="ImportedStyle1"/>
  </w:abstractNum>
  <w:abstractNum w:abstractNumId="8" w15:restartNumberingAfterBreak="0">
    <w:nsid w:val="5E6A4719"/>
    <w:multiLevelType w:val="hybridMultilevel"/>
    <w:tmpl w:val="B09A9240"/>
    <w:numStyleLink w:val="ImportedStyle4"/>
  </w:abstractNum>
  <w:abstractNum w:abstractNumId="9" w15:restartNumberingAfterBreak="0">
    <w:nsid w:val="671B496B"/>
    <w:multiLevelType w:val="hybridMultilevel"/>
    <w:tmpl w:val="B09A9240"/>
    <w:styleLink w:val="ImportedStyle4"/>
    <w:lvl w:ilvl="0" w:tplc="301275C8">
      <w:start w:val="1"/>
      <w:numFmt w:val="bullet"/>
      <w:lvlText w:val="·"/>
      <w:lvlJc w:val="left"/>
      <w:pPr>
        <w:ind w:left="436"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CFC66">
      <w:start w:val="1"/>
      <w:numFmt w:val="bullet"/>
      <w:lvlText w:val="o"/>
      <w:lvlJc w:val="left"/>
      <w:pPr>
        <w:ind w:left="100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7AEBB4">
      <w:start w:val="1"/>
      <w:numFmt w:val="bullet"/>
      <w:lvlText w:val="▪"/>
      <w:lvlJc w:val="left"/>
      <w:pPr>
        <w:ind w:left="17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09E1C">
      <w:start w:val="1"/>
      <w:numFmt w:val="bullet"/>
      <w:lvlText w:val="·"/>
      <w:lvlJc w:val="left"/>
      <w:pPr>
        <w:ind w:left="244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646E8E">
      <w:start w:val="1"/>
      <w:numFmt w:val="bullet"/>
      <w:lvlText w:val="o"/>
      <w:lvlJc w:val="left"/>
      <w:pPr>
        <w:ind w:left="316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78ECBA">
      <w:start w:val="1"/>
      <w:numFmt w:val="bullet"/>
      <w:lvlText w:val="▪"/>
      <w:lvlJc w:val="left"/>
      <w:pPr>
        <w:ind w:left="388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544878">
      <w:start w:val="1"/>
      <w:numFmt w:val="bullet"/>
      <w:lvlText w:val="·"/>
      <w:lvlJc w:val="left"/>
      <w:pPr>
        <w:ind w:left="460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DE5542">
      <w:start w:val="1"/>
      <w:numFmt w:val="bullet"/>
      <w:lvlText w:val="o"/>
      <w:lvlJc w:val="left"/>
      <w:pPr>
        <w:ind w:left="53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760A0C">
      <w:start w:val="1"/>
      <w:numFmt w:val="bullet"/>
      <w:lvlText w:val="▪"/>
      <w:lvlJc w:val="left"/>
      <w:pPr>
        <w:ind w:left="604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72E23BB"/>
    <w:multiLevelType w:val="hybridMultilevel"/>
    <w:tmpl w:val="00E2311E"/>
    <w:styleLink w:val="ImportedStyle1"/>
    <w:lvl w:ilvl="0" w:tplc="CB2CF16E">
      <w:start w:val="1"/>
      <w:numFmt w:val="bullet"/>
      <w:lvlText w:val="·"/>
      <w:lvlJc w:val="left"/>
      <w:pPr>
        <w:ind w:left="436"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0E5254">
      <w:start w:val="1"/>
      <w:numFmt w:val="bullet"/>
      <w:lvlText w:val="o"/>
      <w:lvlJc w:val="left"/>
      <w:pPr>
        <w:tabs>
          <w:tab w:val="num" w:pos="1288"/>
        </w:tabs>
        <w:ind w:left="100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BE2C98">
      <w:start w:val="1"/>
      <w:numFmt w:val="bullet"/>
      <w:lvlText w:val="▪"/>
      <w:lvlJc w:val="left"/>
      <w:pPr>
        <w:tabs>
          <w:tab w:val="num" w:pos="2008"/>
        </w:tabs>
        <w:ind w:left="17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E4724">
      <w:start w:val="1"/>
      <w:numFmt w:val="bullet"/>
      <w:lvlText w:val="·"/>
      <w:lvlJc w:val="left"/>
      <w:pPr>
        <w:ind w:left="244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FCB47A">
      <w:start w:val="1"/>
      <w:numFmt w:val="bullet"/>
      <w:lvlText w:val="o"/>
      <w:lvlJc w:val="left"/>
      <w:pPr>
        <w:tabs>
          <w:tab w:val="num" w:pos="3448"/>
        </w:tabs>
        <w:ind w:left="316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E1A8A">
      <w:start w:val="1"/>
      <w:numFmt w:val="bullet"/>
      <w:lvlText w:val="▪"/>
      <w:lvlJc w:val="left"/>
      <w:pPr>
        <w:tabs>
          <w:tab w:val="num" w:pos="4168"/>
        </w:tabs>
        <w:ind w:left="388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DA2DE4">
      <w:start w:val="1"/>
      <w:numFmt w:val="bullet"/>
      <w:lvlText w:val="·"/>
      <w:lvlJc w:val="left"/>
      <w:pPr>
        <w:ind w:left="460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F2E01A">
      <w:start w:val="1"/>
      <w:numFmt w:val="bullet"/>
      <w:lvlText w:val="o"/>
      <w:lvlJc w:val="left"/>
      <w:pPr>
        <w:tabs>
          <w:tab w:val="num" w:pos="5608"/>
        </w:tabs>
        <w:ind w:left="53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BEE3DE">
      <w:start w:val="1"/>
      <w:numFmt w:val="bullet"/>
      <w:lvlText w:val="▪"/>
      <w:lvlJc w:val="left"/>
      <w:pPr>
        <w:tabs>
          <w:tab w:val="num" w:pos="6328"/>
        </w:tabs>
        <w:ind w:left="604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4E34D9"/>
    <w:multiLevelType w:val="hybridMultilevel"/>
    <w:tmpl w:val="4036A156"/>
    <w:numStyleLink w:val="ImportedStyle2"/>
  </w:abstractNum>
  <w:abstractNum w:abstractNumId="12" w15:restartNumberingAfterBreak="0">
    <w:nsid w:val="756D37AD"/>
    <w:multiLevelType w:val="hybridMultilevel"/>
    <w:tmpl w:val="4036A156"/>
    <w:styleLink w:val="ImportedStyle2"/>
    <w:lvl w:ilvl="0" w:tplc="DBBA274C">
      <w:start w:val="1"/>
      <w:numFmt w:val="bullet"/>
      <w:lvlText w:val="·"/>
      <w:lvlJc w:val="left"/>
      <w:pPr>
        <w:ind w:left="436"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AEB972">
      <w:start w:val="1"/>
      <w:numFmt w:val="bullet"/>
      <w:lvlText w:val="o"/>
      <w:lvlJc w:val="left"/>
      <w:pPr>
        <w:ind w:left="100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D471CE">
      <w:start w:val="1"/>
      <w:numFmt w:val="bullet"/>
      <w:lvlText w:val="▪"/>
      <w:lvlJc w:val="left"/>
      <w:pPr>
        <w:ind w:left="17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0A9660">
      <w:start w:val="1"/>
      <w:numFmt w:val="bullet"/>
      <w:lvlText w:val="·"/>
      <w:lvlJc w:val="left"/>
      <w:pPr>
        <w:ind w:left="244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8AA3F8">
      <w:start w:val="1"/>
      <w:numFmt w:val="bullet"/>
      <w:lvlText w:val="o"/>
      <w:lvlJc w:val="left"/>
      <w:pPr>
        <w:ind w:left="316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1A9142">
      <w:start w:val="1"/>
      <w:numFmt w:val="bullet"/>
      <w:lvlText w:val="▪"/>
      <w:lvlJc w:val="left"/>
      <w:pPr>
        <w:ind w:left="388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548B20">
      <w:start w:val="1"/>
      <w:numFmt w:val="bullet"/>
      <w:lvlText w:val="·"/>
      <w:lvlJc w:val="left"/>
      <w:pPr>
        <w:ind w:left="460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809972">
      <w:start w:val="1"/>
      <w:numFmt w:val="bullet"/>
      <w:lvlText w:val="o"/>
      <w:lvlJc w:val="left"/>
      <w:pPr>
        <w:ind w:left="53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F0F2B8">
      <w:start w:val="1"/>
      <w:numFmt w:val="bullet"/>
      <w:lvlText w:val="▪"/>
      <w:lvlJc w:val="left"/>
      <w:pPr>
        <w:ind w:left="604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7"/>
  </w:num>
  <w:num w:numId="3">
    <w:abstractNumId w:val="2"/>
  </w:num>
  <w:num w:numId="4">
    <w:abstractNumId w:val="5"/>
  </w:num>
  <w:num w:numId="5">
    <w:abstractNumId w:val="12"/>
  </w:num>
  <w:num w:numId="6">
    <w:abstractNumId w:val="11"/>
  </w:num>
  <w:num w:numId="7">
    <w:abstractNumId w:val="6"/>
  </w:num>
  <w:num w:numId="8">
    <w:abstractNumId w:val="0"/>
  </w:num>
  <w:num w:numId="9">
    <w:abstractNumId w:val="9"/>
  </w:num>
  <w:num w:numId="10">
    <w:abstractNumId w:val="8"/>
  </w:num>
  <w:num w:numId="11">
    <w:abstractNumId w:val="5"/>
  </w:num>
  <w:num w:numId="12">
    <w:abstractNumId w:val="5"/>
  </w:num>
  <w:num w:numId="13">
    <w:abstractNumId w:val="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63"/>
    <w:rsid w:val="00031BC4"/>
    <w:rsid w:val="000C5763"/>
    <w:rsid w:val="00173698"/>
    <w:rsid w:val="001764E6"/>
    <w:rsid w:val="001927D8"/>
    <w:rsid w:val="001A736F"/>
    <w:rsid w:val="00210345"/>
    <w:rsid w:val="00300634"/>
    <w:rsid w:val="004217F0"/>
    <w:rsid w:val="004468E5"/>
    <w:rsid w:val="004F3B0E"/>
    <w:rsid w:val="00502BFD"/>
    <w:rsid w:val="00503067"/>
    <w:rsid w:val="00547FF8"/>
    <w:rsid w:val="0060364A"/>
    <w:rsid w:val="006C6501"/>
    <w:rsid w:val="006E4368"/>
    <w:rsid w:val="00723A4A"/>
    <w:rsid w:val="00741D26"/>
    <w:rsid w:val="007B2284"/>
    <w:rsid w:val="00823A93"/>
    <w:rsid w:val="00840EAF"/>
    <w:rsid w:val="008A2A09"/>
    <w:rsid w:val="008C3978"/>
    <w:rsid w:val="009058C3"/>
    <w:rsid w:val="0097356A"/>
    <w:rsid w:val="00A97DEA"/>
    <w:rsid w:val="00B0210C"/>
    <w:rsid w:val="00B21620"/>
    <w:rsid w:val="00B83563"/>
    <w:rsid w:val="00BC62F2"/>
    <w:rsid w:val="00D20E35"/>
    <w:rsid w:val="00E261F3"/>
    <w:rsid w:val="00E82EC2"/>
    <w:rsid w:val="00EA4A0B"/>
    <w:rsid w:val="00EC504C"/>
    <w:rsid w:val="00EC6AAD"/>
    <w:rsid w:val="00F22DA3"/>
    <w:rsid w:val="00F23516"/>
    <w:rsid w:val="00F53901"/>
    <w:rsid w:val="00F66FD4"/>
    <w:rsid w:val="00FC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F23CE-9B34-4695-BE1F-D36BDAEC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rPr>
  </w:style>
  <w:style w:type="paragraph" w:styleId="ListParagraph">
    <w:name w:val="List Paragraph"/>
    <w:qFormat/>
    <w:pPr>
      <w:ind w:left="720"/>
    </w:pPr>
    <w:rPr>
      <w:rFonts w:ascii="Calibri" w:eastAsia="Calibri" w:hAnsi="Calibri" w:cs="Calibri"/>
      <w:color w:val="000000"/>
      <w:sz w:val="22"/>
      <w:szCs w:val="22"/>
      <w:u w:color="000000"/>
      <w:lang w:val="en-US"/>
    </w:rPr>
  </w:style>
  <w:style w:type="paragraph" w:customStyle="1" w:styleId="BodyB">
    <w:name w:val="Body B"/>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0">
    <w:name w:val="Imported Style 1.0"/>
    <w:pPr>
      <w:numPr>
        <w:numId w:val="3"/>
      </w:numPr>
    </w:pPr>
  </w:style>
  <w:style w:type="paragraph" w:customStyle="1" w:styleId="BodyC">
    <w:name w:val="Body C"/>
    <w:rPr>
      <w:rFonts w:cs="Arial Unicode MS"/>
      <w:color w:val="000000"/>
      <w:sz w:val="24"/>
      <w:szCs w:val="24"/>
      <w:u w:color="000000"/>
      <w:lang w:val="en-US"/>
    </w:r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table" w:styleId="TableGrid">
    <w:name w:val="Table Grid"/>
    <w:basedOn w:val="TableNormal"/>
    <w:uiPriority w:val="39"/>
    <w:rsid w:val="00F2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D4"/>
    <w:rPr>
      <w:rFonts w:ascii="Segoe UI" w:hAnsi="Segoe UI" w:cs="Segoe UI"/>
      <w:sz w:val="18"/>
      <w:szCs w:val="18"/>
      <w:lang w:val="en-US" w:eastAsia="en-US"/>
    </w:rPr>
  </w:style>
  <w:style w:type="paragraph" w:styleId="CommentText">
    <w:name w:val="annotation text"/>
    <w:link w:val="CommentTextChar"/>
    <w:rsid w:val="0060364A"/>
    <w:rPr>
      <w:rFonts w:cs="Arial Unicode MS"/>
      <w:color w:val="000000"/>
      <w:u w:color="000000"/>
      <w:lang w:val="en-US"/>
    </w:rPr>
  </w:style>
  <w:style w:type="character" w:customStyle="1" w:styleId="CommentTextChar">
    <w:name w:val="Comment Text Char"/>
    <w:basedOn w:val="DefaultParagraphFont"/>
    <w:link w:val="CommentText"/>
    <w:rsid w:val="0060364A"/>
    <w:rPr>
      <w:rFonts w:cs="Arial Unicode MS"/>
      <w:color w:val="000000"/>
      <w:u w:color="000000"/>
      <w:lang w:val="en-US"/>
    </w:rPr>
  </w:style>
  <w:style w:type="numbering" w:customStyle="1" w:styleId="ImportedStyle5">
    <w:name w:val="Imported Style 5"/>
    <w:rsid w:val="0060364A"/>
    <w:pPr>
      <w:numPr>
        <w:numId w:val="14"/>
      </w:numPr>
    </w:pPr>
  </w:style>
  <w:style w:type="paragraph" w:styleId="FootnoteText">
    <w:name w:val="footnote text"/>
    <w:basedOn w:val="Normal"/>
    <w:link w:val="FootnoteTextChar"/>
    <w:uiPriority w:val="99"/>
    <w:semiHidden/>
    <w:unhideWhenUsed/>
    <w:rsid w:val="0060364A"/>
    <w:rPr>
      <w:sz w:val="20"/>
      <w:szCs w:val="20"/>
    </w:rPr>
  </w:style>
  <w:style w:type="character" w:customStyle="1" w:styleId="FootnoteTextChar">
    <w:name w:val="Footnote Text Char"/>
    <w:basedOn w:val="DefaultParagraphFont"/>
    <w:link w:val="FootnoteText"/>
    <w:uiPriority w:val="99"/>
    <w:semiHidden/>
    <w:rsid w:val="0060364A"/>
    <w:rPr>
      <w:lang w:val="en-US" w:eastAsia="en-US"/>
    </w:rPr>
  </w:style>
  <w:style w:type="character" w:styleId="FootnoteReference">
    <w:name w:val="footnote reference"/>
    <w:basedOn w:val="DefaultParagraphFont"/>
    <w:uiPriority w:val="99"/>
    <w:semiHidden/>
    <w:unhideWhenUsed/>
    <w:rsid w:val="0060364A"/>
    <w:rPr>
      <w:vertAlign w:val="superscript"/>
    </w:rPr>
  </w:style>
  <w:style w:type="paragraph" w:customStyle="1" w:styleId="Default">
    <w:name w:val="Default"/>
    <w:rsid w:val="003006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Hyperlink0">
    <w:name w:val="Hyperlink.0"/>
    <w:basedOn w:val="DefaultParagraphFont"/>
    <w:rsid w:val="00300634"/>
    <w:rPr>
      <w:rFonts w:ascii="Arial" w:eastAsia="Arial" w:hAnsi="Arial" w:cs="Arial"/>
      <w:outline w:val="0"/>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375">
      <w:bodyDiv w:val="1"/>
      <w:marLeft w:val="0"/>
      <w:marRight w:val="0"/>
      <w:marTop w:val="0"/>
      <w:marBottom w:val="0"/>
      <w:divBdr>
        <w:top w:val="none" w:sz="0" w:space="0" w:color="auto"/>
        <w:left w:val="none" w:sz="0" w:space="0" w:color="auto"/>
        <w:bottom w:val="none" w:sz="0" w:space="0" w:color="auto"/>
        <w:right w:val="none" w:sz="0" w:space="0" w:color="auto"/>
      </w:divBdr>
    </w:div>
    <w:div w:id="399791447">
      <w:bodyDiv w:val="1"/>
      <w:marLeft w:val="0"/>
      <w:marRight w:val="0"/>
      <w:marTop w:val="0"/>
      <w:marBottom w:val="0"/>
      <w:divBdr>
        <w:top w:val="none" w:sz="0" w:space="0" w:color="auto"/>
        <w:left w:val="none" w:sz="0" w:space="0" w:color="auto"/>
        <w:bottom w:val="none" w:sz="0" w:space="0" w:color="auto"/>
        <w:right w:val="none" w:sz="0" w:space="0" w:color="auto"/>
      </w:divBdr>
    </w:div>
    <w:div w:id="1201627150">
      <w:bodyDiv w:val="1"/>
      <w:marLeft w:val="0"/>
      <w:marRight w:val="0"/>
      <w:marTop w:val="0"/>
      <w:marBottom w:val="0"/>
      <w:divBdr>
        <w:top w:val="none" w:sz="0" w:space="0" w:color="auto"/>
        <w:left w:val="none" w:sz="0" w:space="0" w:color="auto"/>
        <w:bottom w:val="none" w:sz="0" w:space="0" w:color="auto"/>
        <w:right w:val="none" w:sz="0" w:space="0" w:color="auto"/>
      </w:divBdr>
    </w:div>
    <w:div w:id="1259211243">
      <w:bodyDiv w:val="1"/>
      <w:marLeft w:val="0"/>
      <w:marRight w:val="0"/>
      <w:marTop w:val="0"/>
      <w:marBottom w:val="0"/>
      <w:divBdr>
        <w:top w:val="none" w:sz="0" w:space="0" w:color="auto"/>
        <w:left w:val="none" w:sz="0" w:space="0" w:color="auto"/>
        <w:bottom w:val="none" w:sz="0" w:space="0" w:color="auto"/>
        <w:right w:val="none" w:sz="0" w:space="0" w:color="auto"/>
      </w:divBdr>
    </w:div>
    <w:div w:id="1429882994">
      <w:bodyDiv w:val="1"/>
      <w:marLeft w:val="0"/>
      <w:marRight w:val="0"/>
      <w:marTop w:val="0"/>
      <w:marBottom w:val="0"/>
      <w:divBdr>
        <w:top w:val="none" w:sz="0" w:space="0" w:color="auto"/>
        <w:left w:val="none" w:sz="0" w:space="0" w:color="auto"/>
        <w:bottom w:val="none" w:sz="0" w:space="0" w:color="auto"/>
        <w:right w:val="none" w:sz="0" w:space="0" w:color="auto"/>
      </w:divBdr>
    </w:div>
    <w:div w:id="1625962063">
      <w:bodyDiv w:val="1"/>
      <w:marLeft w:val="0"/>
      <w:marRight w:val="0"/>
      <w:marTop w:val="0"/>
      <w:marBottom w:val="0"/>
      <w:divBdr>
        <w:top w:val="none" w:sz="0" w:space="0" w:color="auto"/>
        <w:left w:val="none" w:sz="0" w:space="0" w:color="auto"/>
        <w:bottom w:val="none" w:sz="0" w:space="0" w:color="auto"/>
        <w:right w:val="none" w:sz="0" w:space="0" w:color="auto"/>
      </w:divBdr>
    </w:div>
    <w:div w:id="191281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icsa.org.uk/publications/investigation/nottinghamshire-counci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ip.org.uk/" TargetMode="External"/><Relationship Id="rId1" Type="http://schemas.openxmlformats.org/officeDocument/2006/relationships/hyperlink" Target="https://learning.nspcc.org.uk/child-abuse-and-neglect/harmful-sexual-behaviou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F96A-3DB1-4434-9D02-3E666CD7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Mason</dc:creator>
  <cp:lastModifiedBy>Nuno Fernandes</cp:lastModifiedBy>
  <cp:revision>2</cp:revision>
  <dcterms:created xsi:type="dcterms:W3CDTF">2023-07-26T11:18:00Z</dcterms:created>
  <dcterms:modified xsi:type="dcterms:W3CDTF">2023-07-26T11:18:00Z</dcterms:modified>
</cp:coreProperties>
</file>