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32" w:type="dxa"/>
        <w:shd w:val="clear" w:color="auto" w:fill="3366FF"/>
        <w:tblLook w:val="01E0" w:firstRow="1" w:lastRow="1" w:firstColumn="1" w:lastColumn="1" w:noHBand="0" w:noVBand="0"/>
      </w:tblPr>
      <w:tblGrid>
        <w:gridCol w:w="10080"/>
      </w:tblGrid>
      <w:tr w:rsidR="00E52B1B" w:rsidTr="007B66C9">
        <w:trPr>
          <w:trHeight w:val="454"/>
        </w:trPr>
        <w:tc>
          <w:tcPr>
            <w:tcW w:w="10080" w:type="dxa"/>
            <w:shd w:val="clear" w:color="auto" w:fill="3366FF"/>
            <w:vAlign w:val="center"/>
          </w:tcPr>
          <w:p w:rsidR="00E52B1B" w:rsidRPr="007871E2" w:rsidRDefault="00E52B1B" w:rsidP="007B66C9">
            <w:pPr>
              <w:pStyle w:val="Header"/>
              <w:tabs>
                <w:tab w:val="clear" w:pos="4320"/>
                <w:tab w:val="clear" w:pos="8640"/>
              </w:tabs>
              <w:rPr>
                <w:rFonts w:ascii="Arial" w:hAnsi="Arial" w:cs="Arial"/>
                <w:b/>
                <w:color w:val="FFFFFF"/>
                <w:spacing w:val="10"/>
              </w:rPr>
            </w:pPr>
            <w:r>
              <w:rPr>
                <w:rFonts w:ascii="Arial" w:hAnsi="Arial" w:cs="Arial"/>
                <w:b/>
                <w:color w:val="FFFFFF"/>
                <w:spacing w:val="10"/>
              </w:rPr>
              <w:t>Strategy and Resources</w:t>
            </w:r>
            <w:r w:rsidRPr="007871E2">
              <w:rPr>
                <w:rFonts w:ascii="Arial" w:hAnsi="Arial" w:cs="Arial"/>
                <w:b/>
                <w:color w:val="FFFFFF"/>
                <w:spacing w:val="10"/>
              </w:rPr>
              <w:t xml:space="preserve"> – Strategic Commissioning Team</w:t>
            </w:r>
          </w:p>
        </w:tc>
      </w:tr>
      <w:tr w:rsidR="00E52B1B" w:rsidTr="007B66C9">
        <w:tc>
          <w:tcPr>
            <w:tcW w:w="10080" w:type="dxa"/>
            <w:shd w:val="clear" w:color="auto" w:fill="3366FF"/>
            <w:vAlign w:val="center"/>
          </w:tcPr>
          <w:p w:rsidR="00E52B1B" w:rsidRPr="00E52B1B" w:rsidRDefault="00E52B1B" w:rsidP="00E52B1B">
            <w:pPr>
              <w:pStyle w:val="Header"/>
              <w:tabs>
                <w:tab w:val="clear" w:pos="4320"/>
                <w:tab w:val="clear" w:pos="8640"/>
              </w:tabs>
              <w:spacing w:after="80"/>
              <w:rPr>
                <w:rFonts w:ascii="Arial" w:hAnsi="Arial" w:cs="Arial"/>
                <w:b/>
                <w:color w:val="FFFF00"/>
                <w:spacing w:val="10"/>
                <w:sz w:val="28"/>
                <w:szCs w:val="28"/>
              </w:rPr>
            </w:pPr>
            <w:r w:rsidRPr="00E52B1B">
              <w:rPr>
                <w:rFonts w:ascii="Arial" w:hAnsi="Arial" w:cs="Arial"/>
                <w:b/>
                <w:noProof/>
                <w:sz w:val="28"/>
                <w:szCs w:val="28"/>
                <w:lang w:eastAsia="en-GB"/>
              </w:rPr>
              <mc:AlternateContent>
                <mc:Choice Requires="wps">
                  <w:drawing>
                    <wp:anchor distT="0" distB="0" distL="114300" distR="114300" simplePos="0" relativeHeight="251659264" behindDoc="0" locked="0" layoutInCell="1" allowOverlap="1" wp14:anchorId="18D1A4BF" wp14:editId="3DA9E178">
                      <wp:simplePos x="0" y="0"/>
                      <wp:positionH relativeFrom="column">
                        <wp:posOffset>5524500</wp:posOffset>
                      </wp:positionH>
                      <wp:positionV relativeFrom="paragraph">
                        <wp:posOffset>26670</wp:posOffset>
                      </wp:positionV>
                      <wp:extent cx="817245" cy="457200"/>
                      <wp:effectExtent l="5715" t="635" r="5715" b="889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99898" flipH="1">
                                <a:off x="0" y="0"/>
                                <a:ext cx="817245" cy="45720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35pt;margin-top:2.1pt;width:64.35pt;height:36pt;rotation:111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" stroked="f"/>
                  </w:pict>
                </mc:Fallback>
              </mc:AlternateContent>
            </w:r>
            <w:r w:rsidRPr="00E52B1B">
              <w:rPr>
                <w:rFonts w:ascii="Arial" w:hAnsi="Arial" w:cs="Arial"/>
                <w:b/>
                <w:color w:val="FFFF00"/>
                <w:spacing w:val="10"/>
                <w:sz w:val="28"/>
                <w:szCs w:val="28"/>
              </w:rPr>
              <w:t>MENTAL HEALTH SUPPORTED ACCOMMODATION PATHWAY STRATEGIC COMMISSIONING REVIEW</w:t>
            </w:r>
          </w:p>
        </w:tc>
      </w:tr>
    </w:tbl>
    <w:p w:rsidR="0052303E" w:rsidRDefault="0052303E" w:rsidP="0052303E">
      <w:pPr>
        <w:rPr>
          <w:b/>
          <w:u w:val="single"/>
        </w:rPr>
      </w:pPr>
    </w:p>
    <w:p w:rsidR="0052303E" w:rsidRDefault="0052303E" w:rsidP="0052303E">
      <w:pPr>
        <w:rPr>
          <w:rFonts w:ascii="Arial" w:hAnsi="Arial" w:cs="Arial"/>
        </w:rPr>
      </w:pPr>
      <w:r>
        <w:rPr>
          <w:rFonts w:ascii="Arial" w:hAnsi="Arial" w:cs="Arial"/>
        </w:rPr>
        <w:t>The Mental Health Supported Accommodation Pathway has been identified as a Strategic Commissioning Review for 201</w:t>
      </w:r>
      <w:r w:rsidR="0065756F">
        <w:rPr>
          <w:rFonts w:ascii="Arial" w:hAnsi="Arial" w:cs="Arial"/>
        </w:rPr>
        <w:t>6</w:t>
      </w:r>
      <w:r>
        <w:rPr>
          <w:rFonts w:ascii="Arial" w:hAnsi="Arial" w:cs="Arial"/>
        </w:rPr>
        <w:t>/1</w:t>
      </w:r>
      <w:r w:rsidR="0065756F">
        <w:rPr>
          <w:rFonts w:ascii="Arial" w:hAnsi="Arial" w:cs="Arial"/>
        </w:rPr>
        <w:t>7</w:t>
      </w:r>
      <w:r>
        <w:rPr>
          <w:rFonts w:ascii="Arial" w:hAnsi="Arial" w:cs="Arial"/>
        </w:rPr>
        <w:t>. This is a joint review between Nottingham City Council and Nottingham City Clinical Commissioning Group.</w:t>
      </w:r>
    </w:p>
    <w:p w:rsidR="00A46ED3" w:rsidRDefault="00A46ED3" w:rsidP="0052303E">
      <w:pPr>
        <w:rPr>
          <w:rFonts w:ascii="Arial" w:hAnsi="Arial" w:cs="Arial"/>
        </w:rPr>
      </w:pPr>
    </w:p>
    <w:p w:rsidR="00A46ED3" w:rsidRDefault="00A46ED3" w:rsidP="0052303E">
      <w:pPr>
        <w:rPr>
          <w:rFonts w:ascii="Arial" w:hAnsi="Arial" w:cs="Arial"/>
          <w:b/>
        </w:rPr>
      </w:pPr>
      <w:r w:rsidRPr="00A46ED3">
        <w:rPr>
          <w:rFonts w:ascii="Arial" w:hAnsi="Arial" w:cs="Arial"/>
          <w:b/>
        </w:rPr>
        <w:t>Background</w:t>
      </w:r>
    </w:p>
    <w:p w:rsidR="00A46ED3" w:rsidRDefault="00A46ED3" w:rsidP="0052303E">
      <w:pPr>
        <w:rPr>
          <w:rFonts w:ascii="Arial" w:hAnsi="Arial" w:cs="Arial"/>
          <w:b/>
        </w:rPr>
      </w:pPr>
    </w:p>
    <w:p w:rsidR="00A46ED3" w:rsidRDefault="00A46ED3" w:rsidP="00A46ED3">
      <w:pPr>
        <w:rPr>
          <w:rFonts w:ascii="Arial" w:hAnsi="Arial" w:cs="Arial"/>
        </w:rPr>
      </w:pPr>
      <w:r w:rsidRPr="00A46ED3">
        <w:rPr>
          <w:rFonts w:ascii="Arial" w:hAnsi="Arial" w:cs="Arial"/>
        </w:rPr>
        <w:t>In 2011 NHS Nottinghamshire County and NHS Nottingham City</w:t>
      </w:r>
      <w:r w:rsidR="00563CDF">
        <w:rPr>
          <w:rFonts w:ascii="Arial" w:hAnsi="Arial" w:cs="Arial"/>
        </w:rPr>
        <w:t xml:space="preserve"> Primary Care Trusts (PCT)</w:t>
      </w:r>
      <w:r w:rsidRPr="00A46ED3">
        <w:rPr>
          <w:rFonts w:ascii="Arial" w:hAnsi="Arial" w:cs="Arial"/>
        </w:rPr>
        <w:t xml:space="preserve"> instituted a thorough review of hospital based adult mental health placements.</w:t>
      </w:r>
    </w:p>
    <w:p w:rsidR="00A46ED3" w:rsidRPr="00A46ED3" w:rsidRDefault="00A46ED3" w:rsidP="00A46ED3">
      <w:pPr>
        <w:rPr>
          <w:rFonts w:ascii="Arial" w:hAnsi="Arial" w:cs="Arial"/>
        </w:rPr>
      </w:pPr>
    </w:p>
    <w:p w:rsidR="00A46ED3" w:rsidRPr="00A46ED3" w:rsidRDefault="00A46ED3" w:rsidP="00A46ED3">
      <w:pPr>
        <w:rPr>
          <w:rFonts w:ascii="Arial" w:hAnsi="Arial" w:cs="Arial"/>
        </w:rPr>
      </w:pPr>
      <w:r w:rsidRPr="00A46ED3">
        <w:rPr>
          <w:rFonts w:ascii="Arial" w:hAnsi="Arial" w:cs="Arial"/>
        </w:rPr>
        <w:t>In essence the review concluded that, in many cases, individuals were spending too long in a hospital setting and that this was impacting on their long-term ability to achieve independence.  The review identified that a lack of appropriate resettlement pathways and, in particular, appropriate accommodation support and care provision, was a contributory factor.</w:t>
      </w:r>
    </w:p>
    <w:p w:rsidR="00A46ED3" w:rsidRPr="00A46ED3" w:rsidRDefault="00A46ED3" w:rsidP="00A46ED3">
      <w:pPr>
        <w:rPr>
          <w:rFonts w:ascii="Arial" w:hAnsi="Arial" w:cs="Arial"/>
        </w:rPr>
      </w:pPr>
      <w:r w:rsidRPr="00A46ED3">
        <w:rPr>
          <w:rFonts w:ascii="Arial" w:hAnsi="Arial" w:cs="Arial"/>
        </w:rPr>
        <w:t>In 2012/13, Nottingham City Council</w:t>
      </w:r>
      <w:r w:rsidR="007B66C9" w:rsidRPr="00A46ED3">
        <w:rPr>
          <w:rFonts w:ascii="Arial" w:hAnsi="Arial" w:cs="Arial"/>
        </w:rPr>
        <w:t>, supported by Nottingham City NHS</w:t>
      </w:r>
      <w:r w:rsidRPr="00A46ED3">
        <w:rPr>
          <w:rFonts w:ascii="Arial" w:hAnsi="Arial" w:cs="Arial"/>
        </w:rPr>
        <w:t xml:space="preserve"> </w:t>
      </w:r>
      <w:r w:rsidR="00563CDF">
        <w:rPr>
          <w:rFonts w:ascii="Arial" w:hAnsi="Arial" w:cs="Arial"/>
        </w:rPr>
        <w:t>PCT</w:t>
      </w:r>
      <w:r w:rsidR="007B66C9">
        <w:rPr>
          <w:rFonts w:ascii="Arial" w:hAnsi="Arial" w:cs="Arial"/>
        </w:rPr>
        <w:t xml:space="preserve"> </w:t>
      </w:r>
      <w:r w:rsidRPr="00A46ED3">
        <w:rPr>
          <w:rFonts w:ascii="Arial" w:hAnsi="Arial" w:cs="Arial"/>
        </w:rPr>
        <w:t>instituted a strategic commissioning review of services for those with mental health needs.  A work programme to ‘Improve Accommodation, Support and Care Pathways</w:t>
      </w:r>
      <w:r w:rsidR="00833121">
        <w:rPr>
          <w:rFonts w:ascii="Arial" w:hAnsi="Arial" w:cs="Arial"/>
        </w:rPr>
        <w:t>’</w:t>
      </w:r>
      <w:r w:rsidRPr="00A46ED3">
        <w:rPr>
          <w:rFonts w:ascii="Arial" w:hAnsi="Arial" w:cs="Arial"/>
        </w:rPr>
        <w:t xml:space="preserve"> </w:t>
      </w:r>
      <w:proofErr w:type="gramStart"/>
      <w:r w:rsidRPr="00A46ED3">
        <w:rPr>
          <w:rFonts w:ascii="Arial" w:hAnsi="Arial" w:cs="Arial"/>
        </w:rPr>
        <w:t>was</w:t>
      </w:r>
      <w:proofErr w:type="gramEnd"/>
      <w:r w:rsidRPr="00A46ED3">
        <w:rPr>
          <w:rFonts w:ascii="Arial" w:hAnsi="Arial" w:cs="Arial"/>
        </w:rPr>
        <w:t xml:space="preserve"> identified.</w:t>
      </w:r>
    </w:p>
    <w:p w:rsidR="00A46ED3" w:rsidRPr="00A46ED3" w:rsidRDefault="00A46ED3" w:rsidP="0052303E">
      <w:pPr>
        <w:rPr>
          <w:rFonts w:ascii="Arial" w:hAnsi="Arial" w:cs="Arial"/>
          <w:b/>
        </w:rPr>
      </w:pPr>
    </w:p>
    <w:p w:rsidR="0052303E" w:rsidRDefault="0052303E" w:rsidP="0052303E">
      <w:pPr>
        <w:rPr>
          <w:rFonts w:ascii="Arial" w:hAnsi="Arial" w:cs="Arial"/>
        </w:rPr>
      </w:pPr>
    </w:p>
    <w:p w:rsidR="0052303E" w:rsidRDefault="00A46ED3" w:rsidP="007B66C9">
      <w:pPr>
        <w:spacing w:after="80"/>
        <w:rPr>
          <w:b/>
          <w:u w:val="single"/>
        </w:rPr>
      </w:pPr>
      <w:r>
        <w:rPr>
          <w:rFonts w:ascii="Arial" w:hAnsi="Arial" w:cs="Arial"/>
          <w:b/>
        </w:rPr>
        <w:t>The 2016/17 Mental Health Support</w:t>
      </w:r>
      <w:r w:rsidR="007B66C9">
        <w:rPr>
          <w:rFonts w:ascii="Arial" w:hAnsi="Arial" w:cs="Arial"/>
          <w:b/>
        </w:rPr>
        <w:t>ed</w:t>
      </w:r>
      <w:r>
        <w:rPr>
          <w:rFonts w:ascii="Arial" w:hAnsi="Arial" w:cs="Arial"/>
          <w:b/>
        </w:rPr>
        <w:t xml:space="preserve"> Accommodation Pathway Review - </w:t>
      </w:r>
      <w:r w:rsidR="00493428" w:rsidRPr="000975FC">
        <w:rPr>
          <w:rFonts w:ascii="Arial" w:hAnsi="Arial" w:cs="Arial"/>
          <w:b/>
        </w:rPr>
        <w:t>Aim</w:t>
      </w:r>
      <w:r>
        <w:rPr>
          <w:rFonts w:ascii="Arial" w:hAnsi="Arial" w:cs="Arial"/>
          <w:b/>
        </w:rPr>
        <w:t>s</w:t>
      </w:r>
    </w:p>
    <w:p w:rsidR="00A46ED3" w:rsidRDefault="00A46ED3" w:rsidP="00A46ED3">
      <w:pPr>
        <w:rPr>
          <w:rFonts w:ascii="Arial" w:hAnsi="Arial" w:cs="Arial"/>
        </w:rPr>
      </w:pPr>
      <w:r w:rsidRPr="00A46ED3">
        <w:rPr>
          <w:rFonts w:ascii="Arial" w:hAnsi="Arial" w:cs="Arial"/>
        </w:rPr>
        <w:t>In summary this 16/17 review is needed because:</w:t>
      </w:r>
    </w:p>
    <w:p w:rsidR="00A46ED3" w:rsidRPr="00A46ED3" w:rsidRDefault="00A46ED3" w:rsidP="00A46ED3">
      <w:pPr>
        <w:rPr>
          <w:rFonts w:ascii="Arial" w:hAnsi="Arial" w:cs="Arial"/>
        </w:rPr>
      </w:pP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 xml:space="preserve">It is a key objective of </w:t>
      </w:r>
      <w:r w:rsidRPr="003867A8">
        <w:rPr>
          <w:rFonts w:ascii="Arial" w:hAnsi="Arial" w:cs="Arial"/>
          <w:color w:val="8DC00C"/>
        </w:rPr>
        <w:t>The Nottingham Plan</w:t>
      </w:r>
      <w:r w:rsidRPr="00A46ED3">
        <w:rPr>
          <w:rFonts w:ascii="Arial" w:hAnsi="Arial" w:cs="Arial"/>
        </w:rPr>
        <w:t xml:space="preserve">, </w:t>
      </w:r>
      <w:r w:rsidRPr="003867A8">
        <w:rPr>
          <w:rFonts w:ascii="Arial" w:hAnsi="Arial" w:cs="Arial"/>
          <w:color w:val="8DC00C"/>
        </w:rPr>
        <w:t xml:space="preserve">Wellness </w:t>
      </w:r>
      <w:r w:rsidR="00833121" w:rsidRPr="003867A8">
        <w:rPr>
          <w:rFonts w:ascii="Arial" w:hAnsi="Arial" w:cs="Arial"/>
          <w:color w:val="8DC00C"/>
        </w:rPr>
        <w:t>i</w:t>
      </w:r>
      <w:r w:rsidRPr="003867A8">
        <w:rPr>
          <w:rFonts w:ascii="Arial" w:hAnsi="Arial" w:cs="Arial"/>
          <w:color w:val="8DC00C"/>
        </w:rPr>
        <w:t>n M</w:t>
      </w:r>
      <w:r w:rsidR="0096686A" w:rsidRPr="003867A8">
        <w:rPr>
          <w:rFonts w:ascii="Arial" w:hAnsi="Arial" w:cs="Arial"/>
          <w:color w:val="8DC00C"/>
        </w:rPr>
        <w:t xml:space="preserve">ind </w:t>
      </w:r>
      <w:r w:rsidR="00563CDF">
        <w:rPr>
          <w:rFonts w:ascii="Arial" w:hAnsi="Arial" w:cs="Arial"/>
        </w:rPr>
        <w:t>and</w:t>
      </w:r>
      <w:r w:rsidR="00563CDF" w:rsidRPr="00A46ED3">
        <w:rPr>
          <w:rFonts w:ascii="Arial" w:hAnsi="Arial" w:cs="Arial"/>
        </w:rPr>
        <w:t xml:space="preserve"> </w:t>
      </w:r>
      <w:r w:rsidR="00563CDF" w:rsidRPr="003867A8">
        <w:rPr>
          <w:rFonts w:ascii="Arial" w:hAnsi="Arial" w:cs="Arial"/>
          <w:color w:val="8DC00C"/>
        </w:rPr>
        <w:t>Happier Healthier Lives</w:t>
      </w:r>
      <w:r w:rsidR="00563CDF">
        <w:rPr>
          <w:rFonts w:ascii="Arial" w:hAnsi="Arial" w:cs="Arial"/>
        </w:rPr>
        <w:t xml:space="preserve"> </w:t>
      </w:r>
      <w:r w:rsidR="0096686A">
        <w:rPr>
          <w:rFonts w:ascii="Arial" w:hAnsi="Arial" w:cs="Arial"/>
        </w:rPr>
        <w:t>to improve the mental well-</w:t>
      </w:r>
      <w:r w:rsidRPr="00A46ED3">
        <w:rPr>
          <w:rFonts w:ascii="Arial" w:hAnsi="Arial" w:cs="Arial"/>
        </w:rPr>
        <w:t>being of citizens.</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 xml:space="preserve">This review is needed </w:t>
      </w:r>
      <w:r w:rsidR="0096686A" w:rsidRPr="00A46ED3">
        <w:rPr>
          <w:rFonts w:ascii="Arial" w:hAnsi="Arial" w:cs="Arial"/>
        </w:rPr>
        <w:t>to ensure</w:t>
      </w:r>
      <w:r w:rsidRPr="00A46ED3">
        <w:rPr>
          <w:rFonts w:ascii="Arial" w:hAnsi="Arial" w:cs="Arial"/>
        </w:rPr>
        <w:t xml:space="preserve"> that the mental health pathway is able to meet the need of vulnerable citizens now and in the future</w:t>
      </w:r>
      <w:r w:rsidR="0096686A">
        <w:rPr>
          <w:rFonts w:ascii="Arial" w:hAnsi="Arial" w:cs="Arial"/>
        </w:rPr>
        <w:t xml:space="preserve"> </w:t>
      </w:r>
      <w:r w:rsidRPr="00A46ED3">
        <w:rPr>
          <w:rFonts w:ascii="Arial" w:hAnsi="Arial" w:cs="Arial"/>
        </w:rPr>
        <w:t xml:space="preserve">relating to </w:t>
      </w:r>
      <w:r w:rsidR="007B66C9">
        <w:rPr>
          <w:rFonts w:ascii="Arial" w:hAnsi="Arial" w:cs="Arial"/>
        </w:rPr>
        <w:t>m</w:t>
      </w:r>
      <w:r w:rsidRPr="00A46ED3">
        <w:rPr>
          <w:rFonts w:ascii="Arial" w:hAnsi="Arial" w:cs="Arial"/>
        </w:rPr>
        <w:t xml:space="preserve">ental </w:t>
      </w:r>
      <w:r w:rsidR="007B66C9">
        <w:rPr>
          <w:rFonts w:ascii="Arial" w:hAnsi="Arial" w:cs="Arial"/>
        </w:rPr>
        <w:t>h</w:t>
      </w:r>
      <w:r w:rsidRPr="00A46ED3">
        <w:rPr>
          <w:rFonts w:ascii="Arial" w:hAnsi="Arial" w:cs="Arial"/>
        </w:rPr>
        <w:t xml:space="preserve">ealth </w:t>
      </w:r>
      <w:r w:rsidR="007B66C9">
        <w:rPr>
          <w:rFonts w:ascii="Arial" w:hAnsi="Arial" w:cs="Arial"/>
        </w:rPr>
        <w:t>p</w:t>
      </w:r>
      <w:r w:rsidRPr="00A46ED3">
        <w:rPr>
          <w:rFonts w:ascii="Arial" w:hAnsi="Arial" w:cs="Arial"/>
        </w:rPr>
        <w:t xml:space="preserve">rovision. </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The review is needed to understand how the commissioned services move towards effective integration between health and social care services and functions.</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This review is needed to understand how to move away from hospital based rehabilitation and move towards community based rehabilitation.</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 xml:space="preserve">The current perception is that the current accommodation care and support pathway is characterised by lack of flow and lack of choice.  </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 xml:space="preserve">The Adult Social Care Programme over the last few years has had its budget reduced by Government.  Therefore there is a need to take a strategic approach and review what the Council is currently offering and how it can be shaped so that it more effectively meets the needs of current and future users of mental health provision.  </w:t>
      </w:r>
    </w:p>
    <w:p w:rsidR="00A46ED3" w:rsidRPr="00A46ED3" w:rsidRDefault="00A46ED3" w:rsidP="007B66C9">
      <w:pPr>
        <w:pStyle w:val="ListParagraph"/>
        <w:numPr>
          <w:ilvl w:val="0"/>
          <w:numId w:val="10"/>
        </w:numPr>
        <w:spacing w:after="80"/>
        <w:ind w:left="709" w:hanging="425"/>
        <w:contextualSpacing w:val="0"/>
        <w:rPr>
          <w:rFonts w:ascii="Arial" w:hAnsi="Arial" w:cs="Arial"/>
        </w:rPr>
      </w:pPr>
      <w:r w:rsidRPr="00A46ED3">
        <w:rPr>
          <w:rFonts w:ascii="Arial" w:hAnsi="Arial" w:cs="Arial"/>
        </w:rPr>
        <w:t>There are financial pressures on both the Council and the NHS therefore there is a drive to ensure that the services being commissioned are cost effective as well as value for money.</w:t>
      </w:r>
    </w:p>
    <w:p w:rsidR="00F40F75" w:rsidRDefault="00F40F75" w:rsidP="005318D5">
      <w:pPr>
        <w:spacing w:after="80"/>
        <w:rPr>
          <w:rFonts w:ascii="Arial" w:hAnsi="Arial" w:cs="Arial"/>
        </w:rPr>
      </w:pPr>
    </w:p>
    <w:p w:rsidR="00F40F75" w:rsidRDefault="000975FC" w:rsidP="005318D5">
      <w:pPr>
        <w:spacing w:after="80"/>
        <w:rPr>
          <w:rFonts w:ascii="Arial" w:hAnsi="Arial" w:cs="Arial"/>
        </w:rPr>
      </w:pPr>
      <w:r w:rsidRPr="000975FC">
        <w:rPr>
          <w:rFonts w:ascii="Arial" w:hAnsi="Arial" w:cs="Arial"/>
          <w:b/>
        </w:rPr>
        <w:t>Scope</w:t>
      </w:r>
    </w:p>
    <w:p w:rsidR="0096686A" w:rsidRPr="0096686A" w:rsidRDefault="0096686A" w:rsidP="0096686A">
      <w:pPr>
        <w:rPr>
          <w:rFonts w:ascii="Arial" w:hAnsi="Arial" w:cs="Arial"/>
        </w:rPr>
      </w:pPr>
      <w:r w:rsidRPr="0096686A">
        <w:rPr>
          <w:rFonts w:ascii="Arial" w:hAnsi="Arial" w:cs="Arial"/>
        </w:rPr>
        <w:t xml:space="preserve">The focus of this 2016/17 review will be to </w:t>
      </w:r>
      <w:r w:rsidR="007B66C9">
        <w:rPr>
          <w:rFonts w:ascii="Arial" w:hAnsi="Arial" w:cs="Arial"/>
        </w:rPr>
        <w:t>consider</w:t>
      </w:r>
      <w:r w:rsidRPr="0096686A">
        <w:rPr>
          <w:rFonts w:ascii="Arial" w:hAnsi="Arial" w:cs="Arial"/>
        </w:rPr>
        <w:t>:</w:t>
      </w:r>
    </w:p>
    <w:p w:rsidR="0096686A" w:rsidRPr="00E95F92" w:rsidRDefault="007B66C9" w:rsidP="00E95F92">
      <w:pPr>
        <w:pStyle w:val="ListParagraph"/>
        <w:numPr>
          <w:ilvl w:val="0"/>
          <w:numId w:val="15"/>
        </w:numPr>
        <w:rPr>
          <w:rFonts w:ascii="Arial" w:hAnsi="Arial" w:cs="Arial"/>
        </w:rPr>
      </w:pPr>
      <w:r w:rsidRPr="00E95F92">
        <w:rPr>
          <w:rFonts w:ascii="Arial" w:hAnsi="Arial" w:cs="Arial"/>
        </w:rPr>
        <w:t>The</w:t>
      </w:r>
      <w:r w:rsidR="0096686A" w:rsidRPr="00E95F92">
        <w:rPr>
          <w:rFonts w:ascii="Arial" w:hAnsi="Arial" w:cs="Arial"/>
        </w:rPr>
        <w:t xml:space="preserve"> totality of provision in this area, the gaps, and what is the best balance of services.</w:t>
      </w:r>
    </w:p>
    <w:p w:rsidR="0096686A" w:rsidRPr="0096686A" w:rsidRDefault="007B66C9" w:rsidP="00E95F92">
      <w:pPr>
        <w:pStyle w:val="ListParagraph"/>
        <w:numPr>
          <w:ilvl w:val="0"/>
          <w:numId w:val="15"/>
        </w:numPr>
        <w:rPr>
          <w:rFonts w:ascii="Arial" w:hAnsi="Arial" w:cs="Arial"/>
        </w:rPr>
      </w:pPr>
      <w:r>
        <w:rPr>
          <w:rFonts w:ascii="Arial" w:hAnsi="Arial" w:cs="Arial"/>
        </w:rPr>
        <w:t>T</w:t>
      </w:r>
      <w:r w:rsidR="0096686A">
        <w:rPr>
          <w:rFonts w:ascii="Arial" w:hAnsi="Arial" w:cs="Arial"/>
        </w:rPr>
        <w:t>h</w:t>
      </w:r>
      <w:r w:rsidR="0096686A" w:rsidRPr="0096686A">
        <w:rPr>
          <w:rFonts w:ascii="Arial" w:hAnsi="Arial" w:cs="Arial"/>
        </w:rPr>
        <w:t xml:space="preserve">e provision of services given the financial pressures. </w:t>
      </w:r>
      <w:r w:rsidR="0096686A">
        <w:rPr>
          <w:rFonts w:ascii="Arial" w:hAnsi="Arial" w:cs="Arial"/>
        </w:rPr>
        <w:tab/>
      </w:r>
      <w:r w:rsidR="0096686A">
        <w:rPr>
          <w:rFonts w:ascii="Arial" w:hAnsi="Arial" w:cs="Arial"/>
        </w:rPr>
        <w:tab/>
      </w:r>
      <w:r w:rsidR="0096686A">
        <w:rPr>
          <w:rFonts w:ascii="Arial" w:hAnsi="Arial" w:cs="Arial"/>
        </w:rPr>
        <w:tab/>
      </w:r>
      <w:r w:rsidR="0096686A">
        <w:rPr>
          <w:rFonts w:ascii="Arial" w:hAnsi="Arial" w:cs="Arial"/>
        </w:rPr>
        <w:tab/>
      </w:r>
    </w:p>
    <w:p w:rsidR="0096686A" w:rsidRPr="00E95F92" w:rsidRDefault="0096686A" w:rsidP="00E95F92">
      <w:pPr>
        <w:pStyle w:val="ListParagraph"/>
        <w:numPr>
          <w:ilvl w:val="0"/>
          <w:numId w:val="15"/>
        </w:numPr>
        <w:rPr>
          <w:rFonts w:ascii="Arial" w:hAnsi="Arial" w:cs="Arial"/>
        </w:rPr>
      </w:pPr>
      <w:r w:rsidRPr="00E95F92">
        <w:rPr>
          <w:rFonts w:ascii="Arial" w:hAnsi="Arial" w:cs="Arial"/>
        </w:rPr>
        <w:lastRenderedPageBreak/>
        <w:t>Residential Care provision for citizens with mental health.</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Supported Accommodation for citizens with mental health.</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Floating Support for citizens with mental health.</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Independent housing options.</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New initiatives locally and nationally in mental health provision.</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Personal budgets</w:t>
      </w:r>
      <w:r w:rsidR="00F63B18" w:rsidRPr="00E95F92">
        <w:rPr>
          <w:rFonts w:ascii="Arial" w:hAnsi="Arial" w:cs="Arial"/>
        </w:rPr>
        <w:t>.</w:t>
      </w:r>
    </w:p>
    <w:p w:rsidR="0096686A" w:rsidRPr="00E95F92" w:rsidRDefault="0096686A" w:rsidP="00E95F92">
      <w:pPr>
        <w:pStyle w:val="ListParagraph"/>
        <w:numPr>
          <w:ilvl w:val="0"/>
          <w:numId w:val="15"/>
        </w:numPr>
        <w:rPr>
          <w:rFonts w:ascii="Arial" w:hAnsi="Arial" w:cs="Arial"/>
        </w:rPr>
      </w:pPr>
      <w:r w:rsidRPr="00E95F92">
        <w:rPr>
          <w:rFonts w:ascii="Arial" w:hAnsi="Arial" w:cs="Arial"/>
        </w:rPr>
        <w:t>Linkages between homelessness services and mental health services</w:t>
      </w:r>
      <w:r w:rsidR="00F63B18" w:rsidRPr="00E95F92">
        <w:rPr>
          <w:rFonts w:ascii="Arial" w:hAnsi="Arial" w:cs="Arial"/>
        </w:rPr>
        <w:t>.</w:t>
      </w:r>
    </w:p>
    <w:p w:rsidR="0096686A" w:rsidRPr="0096686A" w:rsidRDefault="0096686A" w:rsidP="0096686A">
      <w:pPr>
        <w:ind w:left="709" w:hanging="425"/>
        <w:rPr>
          <w:rFonts w:ascii="Arial" w:hAnsi="Arial" w:cs="Arial"/>
        </w:rPr>
      </w:pPr>
    </w:p>
    <w:p w:rsidR="0096686A" w:rsidRPr="0096686A" w:rsidRDefault="0096686A" w:rsidP="00563CDF">
      <w:pPr>
        <w:spacing w:after="80"/>
        <w:rPr>
          <w:rFonts w:ascii="Arial" w:hAnsi="Arial" w:cs="Arial"/>
        </w:rPr>
      </w:pPr>
      <w:r w:rsidRPr="0096686A">
        <w:rPr>
          <w:rFonts w:ascii="Arial" w:hAnsi="Arial" w:cs="Arial"/>
        </w:rPr>
        <w:t xml:space="preserve">The review will aim to achieve a cohesive, citizen focussed, system of services that enables people to avoid being institutionalised in hospital, residential or supported accommodation.  It aims to improve pathways of care/support and reduce the </w:t>
      </w:r>
      <w:r w:rsidR="00563CDF" w:rsidRPr="00563CDF">
        <w:rPr>
          <w:rFonts w:ascii="Arial" w:hAnsi="Arial" w:cs="Arial"/>
          <w:color w:val="2B2B2B"/>
          <w:lang w:val="en-US"/>
        </w:rPr>
        <w:t>numbers of people relapsing and being readmitted into hospital</w:t>
      </w:r>
      <w:r w:rsidR="00563CDF">
        <w:rPr>
          <w:rFonts w:ascii="Arial" w:hAnsi="Arial" w:cs="Arial"/>
          <w:color w:val="2B2B2B"/>
          <w:lang w:val="en-US"/>
        </w:rPr>
        <w:t xml:space="preserve">. </w:t>
      </w:r>
      <w:r w:rsidRPr="0096686A">
        <w:rPr>
          <w:rFonts w:ascii="Arial" w:hAnsi="Arial" w:cs="Arial"/>
        </w:rPr>
        <w:t>It aims to make better use of community resources in meeting people’s needs.</w:t>
      </w:r>
    </w:p>
    <w:p w:rsidR="000975FC" w:rsidRDefault="000975FC" w:rsidP="005318D5">
      <w:pPr>
        <w:tabs>
          <w:tab w:val="num" w:pos="709"/>
        </w:tabs>
        <w:ind w:hanging="425"/>
        <w:rPr>
          <w:rFonts w:ascii="Arial" w:hAnsi="Arial" w:cs="Arial"/>
        </w:rPr>
      </w:pPr>
    </w:p>
    <w:p w:rsidR="00F40F75" w:rsidRPr="005318D5" w:rsidRDefault="005318D5" w:rsidP="00F63B18">
      <w:pPr>
        <w:spacing w:after="80"/>
        <w:rPr>
          <w:rFonts w:ascii="Arial" w:hAnsi="Arial" w:cs="Arial"/>
          <w:b/>
        </w:rPr>
      </w:pPr>
      <w:r w:rsidRPr="005318D5">
        <w:rPr>
          <w:rFonts w:ascii="Arial" w:hAnsi="Arial" w:cs="Arial"/>
          <w:b/>
          <w:color w:val="2B2B2B"/>
          <w:lang w:val="en-US"/>
        </w:rPr>
        <w:t>Timeline</w:t>
      </w:r>
      <w:r w:rsidR="00E0095A" w:rsidRPr="005318D5">
        <w:rPr>
          <w:rFonts w:ascii="Arial" w:hAnsi="Arial" w:cs="Arial"/>
          <w:b/>
          <w:vanish/>
          <w:color w:val="2B2B2B"/>
          <w:lang w:val="en-US"/>
        </w:rPr>
        <w:t>patients frequently readmitted to psychiatric units. Policy of deinstitutionalization in mental health services during the past decades patients frequently readmitted to psychiatric units. Policy of deinstitutionalization in mental health services during the past decades patients frequently readmitted to psychiatric units. Policy of deinstitutionalization in mental health services during the past decades</w:t>
      </w:r>
      <w:r w:rsidR="000975FC" w:rsidRPr="005318D5">
        <w:rPr>
          <w:rFonts w:ascii="Arial" w:hAnsi="Arial" w:cs="Arial"/>
          <w:b/>
          <w:vanish/>
          <w:color w:val="2B2B2B"/>
          <w:lang w:val="en-US"/>
        </w:rPr>
        <w:t xml:space="preserve"> patients frequently readmitted to psychiatric units. Policy of deinstitutionalization in mental health services during the past decades</w:t>
      </w:r>
    </w:p>
    <w:p w:rsidR="007B66C9" w:rsidRDefault="004A77A5" w:rsidP="004A77A5">
      <w:pPr>
        <w:rPr>
          <w:rFonts w:ascii="Arial" w:hAnsi="Arial" w:cs="Arial"/>
        </w:rPr>
      </w:pPr>
      <w:r>
        <w:rPr>
          <w:rFonts w:ascii="Arial" w:hAnsi="Arial" w:cs="Arial"/>
        </w:rPr>
        <w:t>The provisional time frame in relatio</w:t>
      </w:r>
      <w:r w:rsidR="007B66C9">
        <w:rPr>
          <w:rFonts w:ascii="Arial" w:hAnsi="Arial" w:cs="Arial"/>
        </w:rPr>
        <w:t>n to the project is as follows:</w:t>
      </w:r>
    </w:p>
    <w:p w:rsidR="007B66C9" w:rsidRDefault="007B66C9" w:rsidP="007B66C9">
      <w:pPr>
        <w:jc w:val="center"/>
        <w:rPr>
          <w:rFonts w:ascii="Arial" w:hAnsi="Arial" w:cs="Arial"/>
        </w:rPr>
      </w:pPr>
    </w:p>
    <w:tbl>
      <w:tblPr>
        <w:tblW w:w="7224" w:type="dxa"/>
        <w:jc w:val="center"/>
        <w:tblInd w:w="-1562" w:type="dxa"/>
        <w:tblCellMar>
          <w:left w:w="0" w:type="dxa"/>
          <w:right w:w="0" w:type="dxa"/>
        </w:tblCellMar>
        <w:tblLook w:val="04A0" w:firstRow="1" w:lastRow="0" w:firstColumn="1" w:lastColumn="0" w:noHBand="0" w:noVBand="1"/>
      </w:tblPr>
      <w:tblGrid>
        <w:gridCol w:w="2480"/>
        <w:gridCol w:w="2618"/>
        <w:gridCol w:w="2126"/>
      </w:tblGrid>
      <w:tr w:rsidR="00563CDF" w:rsidRPr="007B66C9" w:rsidTr="00563CDF">
        <w:trPr>
          <w:trHeight w:val="441"/>
          <w:jc w:val="center"/>
        </w:trPr>
        <w:tc>
          <w:tcPr>
            <w:tcW w:w="2480" w:type="dxa"/>
            <w:tcBorders>
              <w:top w:val="single" w:sz="8" w:space="0" w:color="C7C7C7"/>
              <w:left w:val="single" w:sz="8" w:space="0" w:color="C7C7C7"/>
              <w:bottom w:val="single" w:sz="8" w:space="0" w:color="C7C7C7"/>
              <w:right w:val="single" w:sz="8" w:space="0" w:color="C7C7C7"/>
            </w:tcBorders>
            <w:tcMar>
              <w:top w:w="72" w:type="dxa"/>
              <w:left w:w="144" w:type="dxa"/>
              <w:bottom w:w="72" w:type="dxa"/>
              <w:right w:w="144" w:type="dxa"/>
            </w:tcMar>
          </w:tcPr>
          <w:p w:rsidR="00563CDF" w:rsidRPr="007B66C9" w:rsidRDefault="00563CDF">
            <w:pPr>
              <w:rPr>
                <w:rFonts w:ascii="Arial" w:hAnsi="Arial" w:cs="Arial"/>
                <w:b/>
              </w:rPr>
            </w:pPr>
          </w:p>
        </w:tc>
        <w:tc>
          <w:tcPr>
            <w:tcW w:w="2618" w:type="dxa"/>
            <w:tcBorders>
              <w:top w:val="single" w:sz="8" w:space="0" w:color="C7C7C7"/>
              <w:left w:val="nil"/>
              <w:bottom w:val="single" w:sz="8" w:space="0" w:color="C7C7C7"/>
              <w:right w:val="single" w:sz="8" w:space="0" w:color="C7C7C7"/>
            </w:tcBorders>
            <w:tcMar>
              <w:top w:w="72" w:type="dxa"/>
              <w:left w:w="144" w:type="dxa"/>
              <w:bottom w:w="72" w:type="dxa"/>
              <w:right w:w="144" w:type="dxa"/>
            </w:tcMar>
          </w:tcPr>
          <w:p w:rsidR="00563CDF" w:rsidRPr="00563CDF" w:rsidRDefault="00563CDF" w:rsidP="00563CDF">
            <w:pPr>
              <w:jc w:val="center"/>
              <w:rPr>
                <w:rFonts w:ascii="Arial" w:hAnsi="Arial" w:cs="Arial"/>
                <w:b/>
              </w:rPr>
            </w:pPr>
            <w:r w:rsidRPr="00563CDF">
              <w:rPr>
                <w:rFonts w:ascii="Arial" w:hAnsi="Arial" w:cs="Arial"/>
                <w:b/>
              </w:rPr>
              <w:t>Commence</w:t>
            </w:r>
          </w:p>
        </w:tc>
        <w:tc>
          <w:tcPr>
            <w:tcW w:w="2126" w:type="dxa"/>
            <w:tcBorders>
              <w:top w:val="single" w:sz="8" w:space="0" w:color="C7C7C7"/>
              <w:left w:val="nil"/>
              <w:bottom w:val="single" w:sz="8" w:space="0" w:color="C7C7C7"/>
              <w:right w:val="single" w:sz="8" w:space="0" w:color="C7C7C7"/>
            </w:tcBorders>
            <w:tcMar>
              <w:top w:w="72" w:type="dxa"/>
              <w:left w:w="144" w:type="dxa"/>
              <w:bottom w:w="72" w:type="dxa"/>
              <w:right w:w="144" w:type="dxa"/>
            </w:tcMar>
          </w:tcPr>
          <w:p w:rsidR="00563CDF" w:rsidRPr="00563CDF" w:rsidRDefault="00563CDF" w:rsidP="00563CDF">
            <w:pPr>
              <w:jc w:val="center"/>
              <w:rPr>
                <w:rFonts w:ascii="Arial" w:hAnsi="Arial" w:cs="Arial"/>
                <w:b/>
              </w:rPr>
            </w:pPr>
            <w:r w:rsidRPr="00563CDF">
              <w:rPr>
                <w:rFonts w:ascii="Arial" w:hAnsi="Arial" w:cs="Arial"/>
                <w:b/>
              </w:rPr>
              <w:t>Finish</w:t>
            </w:r>
          </w:p>
        </w:tc>
      </w:tr>
      <w:tr w:rsidR="007B66C9" w:rsidRPr="007B66C9" w:rsidTr="007B66C9">
        <w:trPr>
          <w:trHeight w:val="557"/>
          <w:jc w:val="center"/>
        </w:trPr>
        <w:tc>
          <w:tcPr>
            <w:tcW w:w="2480" w:type="dxa"/>
            <w:tcBorders>
              <w:top w:val="single" w:sz="8" w:space="0" w:color="C7C7C7"/>
              <w:left w:val="single" w:sz="8" w:space="0" w:color="C7C7C7"/>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b/>
              </w:rPr>
            </w:pPr>
            <w:r w:rsidRPr="007B66C9">
              <w:rPr>
                <w:rFonts w:ascii="Arial" w:hAnsi="Arial" w:cs="Arial"/>
                <w:b/>
              </w:rPr>
              <w:t>Pre–Pathway</w:t>
            </w:r>
          </w:p>
        </w:tc>
        <w:tc>
          <w:tcPr>
            <w:tcW w:w="2618" w:type="dxa"/>
            <w:tcBorders>
              <w:top w:val="single" w:sz="8" w:space="0" w:color="C7C7C7"/>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July 2016</w:t>
            </w:r>
          </w:p>
        </w:tc>
        <w:tc>
          <w:tcPr>
            <w:tcW w:w="2126" w:type="dxa"/>
            <w:tcBorders>
              <w:top w:val="single" w:sz="8" w:space="0" w:color="C7C7C7"/>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December 2016</w:t>
            </w:r>
          </w:p>
        </w:tc>
      </w:tr>
      <w:tr w:rsidR="007B66C9" w:rsidRPr="007B66C9" w:rsidTr="007B66C9">
        <w:trPr>
          <w:trHeight w:val="553"/>
          <w:jc w:val="center"/>
        </w:trPr>
        <w:tc>
          <w:tcPr>
            <w:tcW w:w="2480" w:type="dxa"/>
            <w:tcBorders>
              <w:top w:val="nil"/>
              <w:left w:val="single" w:sz="8" w:space="0" w:color="C7C7C7"/>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b/>
              </w:rPr>
            </w:pPr>
            <w:r w:rsidRPr="007B66C9">
              <w:rPr>
                <w:rFonts w:ascii="Arial" w:hAnsi="Arial" w:cs="Arial"/>
                <w:b/>
              </w:rPr>
              <w:t>Analyse</w:t>
            </w:r>
          </w:p>
        </w:tc>
        <w:tc>
          <w:tcPr>
            <w:tcW w:w="2618"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July 2016</w:t>
            </w:r>
          </w:p>
        </w:tc>
        <w:tc>
          <w:tcPr>
            <w:tcW w:w="2126"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January 2017</w:t>
            </w:r>
          </w:p>
        </w:tc>
      </w:tr>
      <w:tr w:rsidR="007B66C9" w:rsidRPr="007B66C9" w:rsidTr="007B66C9">
        <w:trPr>
          <w:trHeight w:val="535"/>
          <w:jc w:val="center"/>
        </w:trPr>
        <w:tc>
          <w:tcPr>
            <w:tcW w:w="2480" w:type="dxa"/>
            <w:tcBorders>
              <w:top w:val="nil"/>
              <w:left w:val="single" w:sz="8" w:space="0" w:color="C7C7C7"/>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b/>
              </w:rPr>
            </w:pPr>
            <w:r w:rsidRPr="007B66C9">
              <w:rPr>
                <w:rFonts w:ascii="Arial" w:hAnsi="Arial" w:cs="Arial"/>
                <w:b/>
              </w:rPr>
              <w:t>Plan</w:t>
            </w:r>
          </w:p>
        </w:tc>
        <w:tc>
          <w:tcPr>
            <w:tcW w:w="2618"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March 2017</w:t>
            </w:r>
          </w:p>
        </w:tc>
        <w:tc>
          <w:tcPr>
            <w:tcW w:w="2126"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September 2018</w:t>
            </w:r>
          </w:p>
        </w:tc>
      </w:tr>
      <w:tr w:rsidR="007B66C9" w:rsidRPr="007B66C9" w:rsidTr="007B66C9">
        <w:trPr>
          <w:trHeight w:val="545"/>
          <w:jc w:val="center"/>
        </w:trPr>
        <w:tc>
          <w:tcPr>
            <w:tcW w:w="2480" w:type="dxa"/>
            <w:tcBorders>
              <w:top w:val="nil"/>
              <w:left w:val="single" w:sz="8" w:space="0" w:color="C7C7C7"/>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b/>
              </w:rPr>
            </w:pPr>
            <w:r w:rsidRPr="007B66C9">
              <w:rPr>
                <w:rFonts w:ascii="Arial" w:hAnsi="Arial" w:cs="Arial"/>
                <w:b/>
              </w:rPr>
              <w:t>Do</w:t>
            </w:r>
          </w:p>
        </w:tc>
        <w:tc>
          <w:tcPr>
            <w:tcW w:w="2618"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April 2017</w:t>
            </w:r>
          </w:p>
        </w:tc>
        <w:tc>
          <w:tcPr>
            <w:tcW w:w="2126" w:type="dxa"/>
            <w:tcBorders>
              <w:top w:val="nil"/>
              <w:left w:val="nil"/>
              <w:bottom w:val="single" w:sz="8" w:space="0" w:color="C7C7C7"/>
              <w:right w:val="single" w:sz="8" w:space="0" w:color="C7C7C7"/>
            </w:tcBorders>
            <w:tcMar>
              <w:top w:w="72" w:type="dxa"/>
              <w:left w:w="144" w:type="dxa"/>
              <w:bottom w:w="72" w:type="dxa"/>
              <w:right w:w="144" w:type="dxa"/>
            </w:tcMar>
            <w:hideMark/>
          </w:tcPr>
          <w:p w:rsidR="007B66C9" w:rsidRPr="007B66C9" w:rsidRDefault="007B66C9">
            <w:pPr>
              <w:rPr>
                <w:rFonts w:ascii="Arial" w:hAnsi="Arial" w:cs="Arial"/>
              </w:rPr>
            </w:pPr>
            <w:r w:rsidRPr="007B66C9">
              <w:rPr>
                <w:rFonts w:ascii="Arial" w:hAnsi="Arial" w:cs="Arial"/>
              </w:rPr>
              <w:t>Nov 2018</w:t>
            </w:r>
          </w:p>
        </w:tc>
      </w:tr>
    </w:tbl>
    <w:p w:rsidR="007B66C9" w:rsidRDefault="007B66C9" w:rsidP="004A77A5">
      <w:pPr>
        <w:rPr>
          <w:rFonts w:ascii="Arial" w:hAnsi="Arial" w:cs="Arial"/>
        </w:rPr>
      </w:pPr>
    </w:p>
    <w:p w:rsidR="004A77A5" w:rsidRDefault="004A77A5" w:rsidP="0052303E">
      <w:pPr>
        <w:rPr>
          <w:rFonts w:ascii="Arial" w:hAnsi="Arial" w:cs="Arial"/>
        </w:rPr>
      </w:pPr>
    </w:p>
    <w:p w:rsidR="0096683C" w:rsidRDefault="0096683C" w:rsidP="0096683C">
      <w:pPr>
        <w:jc w:val="both"/>
        <w:rPr>
          <w:rFonts w:ascii="Arial" w:hAnsi="Arial" w:cs="Arial"/>
          <w:b/>
        </w:rPr>
      </w:pPr>
      <w:r>
        <w:rPr>
          <w:rFonts w:ascii="Arial" w:hAnsi="Arial" w:cs="Arial"/>
          <w:b/>
        </w:rPr>
        <w:t>Contact</w:t>
      </w:r>
      <w:r w:rsidR="007B66C9">
        <w:rPr>
          <w:rFonts w:ascii="Arial" w:hAnsi="Arial" w:cs="Arial"/>
          <w:b/>
        </w:rPr>
        <w:t>s</w:t>
      </w:r>
      <w:r>
        <w:rPr>
          <w:rFonts w:ascii="Arial" w:hAnsi="Arial" w:cs="Arial"/>
          <w:b/>
        </w:rPr>
        <w:t>:</w:t>
      </w:r>
    </w:p>
    <w:p w:rsidR="0096683C" w:rsidRDefault="0096683C" w:rsidP="0096683C">
      <w:pPr>
        <w:rPr>
          <w:rFonts w:ascii="Arial" w:hAnsi="Arial" w:cs="Arial"/>
        </w:rPr>
      </w:pPr>
      <w:r>
        <w:rPr>
          <w:rFonts w:ascii="Arial" w:hAnsi="Arial" w:cs="Arial"/>
        </w:rPr>
        <w:t xml:space="preserve">Rasool Gore – </w:t>
      </w:r>
      <w:hyperlink r:id="rId6" w:history="1">
        <w:r w:rsidRPr="00C1534F">
          <w:rPr>
            <w:rStyle w:val="Hyperlink"/>
            <w:rFonts w:ascii="Arial" w:hAnsi="Arial" w:cs="Arial"/>
          </w:rPr>
          <w:t>Rasool.gore@nottinghamcity.gov.uk</w:t>
        </w:r>
      </w:hyperlink>
      <w:r>
        <w:rPr>
          <w:rFonts w:ascii="Arial" w:hAnsi="Arial" w:cs="Arial"/>
        </w:rPr>
        <w:t xml:space="preserve">   </w:t>
      </w:r>
    </w:p>
    <w:p w:rsidR="0096683C" w:rsidRDefault="0096683C" w:rsidP="0096683C">
      <w:pPr>
        <w:rPr>
          <w:rFonts w:ascii="Arial" w:hAnsi="Arial" w:cs="Arial"/>
        </w:rPr>
      </w:pPr>
      <w:r>
        <w:rPr>
          <w:rFonts w:ascii="Arial" w:hAnsi="Arial" w:cs="Arial"/>
        </w:rPr>
        <w:t xml:space="preserve">Celina Adams – </w:t>
      </w:r>
      <w:hyperlink r:id="rId7" w:history="1">
        <w:r w:rsidRPr="00C1534F">
          <w:rPr>
            <w:rStyle w:val="Hyperlink"/>
            <w:rFonts w:ascii="Arial" w:hAnsi="Arial" w:cs="Arial"/>
          </w:rPr>
          <w:t>Celina.ad</w:t>
        </w:r>
        <w:bookmarkStart w:id="0" w:name="_GoBack"/>
        <w:bookmarkEnd w:id="0"/>
        <w:r w:rsidRPr="00C1534F">
          <w:rPr>
            <w:rStyle w:val="Hyperlink"/>
            <w:rFonts w:ascii="Arial" w:hAnsi="Arial" w:cs="Arial"/>
          </w:rPr>
          <w:t>ams@nottinghamcity.gov.uk</w:t>
        </w:r>
      </w:hyperlink>
      <w:r>
        <w:rPr>
          <w:rFonts w:ascii="Arial" w:hAnsi="Arial" w:cs="Arial"/>
        </w:rPr>
        <w:t xml:space="preserve"> </w:t>
      </w:r>
    </w:p>
    <w:p w:rsidR="0096686A" w:rsidRDefault="0096686A" w:rsidP="0096683C">
      <w:pPr>
        <w:rPr>
          <w:rFonts w:ascii="Arial" w:hAnsi="Arial" w:cs="Arial"/>
        </w:rPr>
      </w:pPr>
      <w:r>
        <w:rPr>
          <w:rFonts w:ascii="Arial" w:hAnsi="Arial" w:cs="Arial"/>
        </w:rPr>
        <w:t xml:space="preserve">Glenys Townsend – </w:t>
      </w:r>
      <w:hyperlink r:id="rId8" w:history="1">
        <w:r w:rsidRPr="00521D70">
          <w:rPr>
            <w:rStyle w:val="Hyperlink"/>
            <w:rFonts w:ascii="Arial" w:hAnsi="Arial" w:cs="Arial"/>
          </w:rPr>
          <w:t>glenys.townsend@nottinghamcity.gov.uk</w:t>
        </w:r>
      </w:hyperlink>
      <w:r>
        <w:rPr>
          <w:rFonts w:ascii="Arial" w:hAnsi="Arial" w:cs="Arial"/>
        </w:rPr>
        <w:t xml:space="preserve"> </w:t>
      </w:r>
    </w:p>
    <w:p w:rsidR="0096683C" w:rsidRDefault="0096683C" w:rsidP="0096683C">
      <w:pPr>
        <w:jc w:val="both"/>
        <w:rPr>
          <w:rFonts w:ascii="Arial" w:hAnsi="Arial" w:cs="Arial"/>
          <w:lang w:eastAsia="en-GB"/>
        </w:rPr>
      </w:pPr>
    </w:p>
    <w:p w:rsidR="00F40F75" w:rsidRDefault="00F40F75" w:rsidP="0052303E">
      <w:pPr>
        <w:rPr>
          <w:rFonts w:ascii="Arial" w:hAnsi="Arial" w:cs="Arial"/>
        </w:rPr>
      </w:pPr>
    </w:p>
    <w:p w:rsidR="00F40F75" w:rsidRDefault="00F40F75" w:rsidP="0052303E">
      <w:pPr>
        <w:rPr>
          <w:rFonts w:ascii="Arial" w:hAnsi="Arial" w:cs="Arial"/>
        </w:rPr>
      </w:pPr>
    </w:p>
    <w:sectPr w:rsidR="00F40F75" w:rsidSect="00E52B1B">
      <w:pgSz w:w="11906" w:h="16838"/>
      <w:pgMar w:top="102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58C"/>
    <w:multiLevelType w:val="hybridMultilevel"/>
    <w:tmpl w:val="BDEA364C"/>
    <w:lvl w:ilvl="0" w:tplc="0204A4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8248A"/>
    <w:multiLevelType w:val="hybridMultilevel"/>
    <w:tmpl w:val="EA34708C"/>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7E77DD"/>
    <w:multiLevelType w:val="hybridMultilevel"/>
    <w:tmpl w:val="6EDE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31E2A"/>
    <w:multiLevelType w:val="hybridMultilevel"/>
    <w:tmpl w:val="B906A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35E20C1"/>
    <w:multiLevelType w:val="hybridMultilevel"/>
    <w:tmpl w:val="B43CE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88432C"/>
    <w:multiLevelType w:val="hybridMultilevel"/>
    <w:tmpl w:val="6900C196"/>
    <w:lvl w:ilvl="0" w:tplc="0809000F">
      <w:start w:val="1"/>
      <w:numFmt w:val="decimal"/>
      <w:lvlText w:val="%1."/>
      <w:lvlJc w:val="left"/>
      <w:pPr>
        <w:tabs>
          <w:tab w:val="num" w:pos="928"/>
        </w:tabs>
        <w:ind w:left="928"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761DAF"/>
    <w:multiLevelType w:val="hybridMultilevel"/>
    <w:tmpl w:val="154C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856940"/>
    <w:multiLevelType w:val="hybridMultilevel"/>
    <w:tmpl w:val="06A07CC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41994F14"/>
    <w:multiLevelType w:val="hybridMultilevel"/>
    <w:tmpl w:val="0F44FADA"/>
    <w:lvl w:ilvl="0" w:tplc="08090001">
      <w:start w:val="1"/>
      <w:numFmt w:val="bullet"/>
      <w:lvlText w:val=""/>
      <w:lvlJc w:val="left"/>
      <w:pPr>
        <w:ind w:left="720" w:hanging="360"/>
      </w:pPr>
      <w:rPr>
        <w:rFonts w:ascii="Symbol" w:hAnsi="Symbol" w:hint="default"/>
      </w:rPr>
    </w:lvl>
    <w:lvl w:ilvl="1" w:tplc="0204A472">
      <w:numFmt w:val="bullet"/>
      <w:lvlText w:val="•"/>
      <w:lvlJc w:val="left"/>
      <w:pPr>
        <w:ind w:left="1596" w:hanging="516"/>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CE1A9F"/>
    <w:multiLevelType w:val="hybridMultilevel"/>
    <w:tmpl w:val="1C2E7EE8"/>
    <w:lvl w:ilvl="0" w:tplc="0204A47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5B870C7F"/>
    <w:multiLevelType w:val="hybridMultilevel"/>
    <w:tmpl w:val="2A461C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5E3F502C"/>
    <w:multiLevelType w:val="hybridMultilevel"/>
    <w:tmpl w:val="C8723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E6754B5"/>
    <w:multiLevelType w:val="hybridMultilevel"/>
    <w:tmpl w:val="DE4E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BD1187"/>
    <w:multiLevelType w:val="hybridMultilevel"/>
    <w:tmpl w:val="2B4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8A6D81"/>
    <w:multiLevelType w:val="hybridMultilevel"/>
    <w:tmpl w:val="81C009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5"/>
  </w:num>
  <w:num w:numId="6">
    <w:abstractNumId w:val="1"/>
  </w:num>
  <w:num w:numId="7">
    <w:abstractNumId w:val="8"/>
  </w:num>
  <w:num w:numId="8">
    <w:abstractNumId w:val="4"/>
  </w:num>
  <w:num w:numId="9">
    <w:abstractNumId w:val="3"/>
  </w:num>
  <w:num w:numId="10">
    <w:abstractNumId w:val="14"/>
  </w:num>
  <w:num w:numId="11">
    <w:abstractNumId w:val="7"/>
  </w:num>
  <w:num w:numId="12">
    <w:abstractNumId w:val="10"/>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EB"/>
    <w:rsid w:val="000975FC"/>
    <w:rsid w:val="002E30D5"/>
    <w:rsid w:val="0032284C"/>
    <w:rsid w:val="003867A8"/>
    <w:rsid w:val="00493428"/>
    <w:rsid w:val="004A77A5"/>
    <w:rsid w:val="0052303E"/>
    <w:rsid w:val="005318D5"/>
    <w:rsid w:val="00563CDF"/>
    <w:rsid w:val="0065756F"/>
    <w:rsid w:val="007029D8"/>
    <w:rsid w:val="007270F1"/>
    <w:rsid w:val="007B66C9"/>
    <w:rsid w:val="007F2DEB"/>
    <w:rsid w:val="00833121"/>
    <w:rsid w:val="00904B55"/>
    <w:rsid w:val="0096683C"/>
    <w:rsid w:val="0096686A"/>
    <w:rsid w:val="00A46ED3"/>
    <w:rsid w:val="00D454EB"/>
    <w:rsid w:val="00E0095A"/>
    <w:rsid w:val="00E52B1B"/>
    <w:rsid w:val="00E95F92"/>
    <w:rsid w:val="00F40F75"/>
    <w:rsid w:val="00F63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ntent">
    <w:name w:val="Body Content"/>
    <w:basedOn w:val="Normal"/>
    <w:rsid w:val="007F2DEB"/>
    <w:pPr>
      <w:spacing w:after="160" w:line="276" w:lineRule="auto"/>
    </w:pPr>
    <w:rPr>
      <w:rFonts w:ascii="Perpetua" w:hAnsi="Perpetua"/>
      <w:color w:val="000000"/>
      <w:lang w:val="en-US"/>
    </w:rPr>
  </w:style>
  <w:style w:type="paragraph" w:customStyle="1" w:styleId="BodyA">
    <w:name w:val="Body A"/>
    <w:rsid w:val="005230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E0095A"/>
    <w:pPr>
      <w:ind w:left="720"/>
      <w:contextualSpacing/>
    </w:pPr>
  </w:style>
  <w:style w:type="character" w:styleId="Hyperlink">
    <w:name w:val="Hyperlink"/>
    <w:uiPriority w:val="99"/>
    <w:unhideWhenUsed/>
    <w:rsid w:val="0096683C"/>
    <w:rPr>
      <w:strike w:val="0"/>
      <w:dstrike w:val="0"/>
      <w:color w:val="95AD0A"/>
      <w:u w:val="none"/>
      <w:effect w:val="none"/>
    </w:rPr>
  </w:style>
  <w:style w:type="paragraph" w:styleId="Header">
    <w:name w:val="header"/>
    <w:basedOn w:val="Normal"/>
    <w:link w:val="HeaderChar"/>
    <w:rsid w:val="00E52B1B"/>
    <w:pPr>
      <w:tabs>
        <w:tab w:val="center" w:pos="4320"/>
        <w:tab w:val="right" w:pos="8640"/>
      </w:tabs>
    </w:pPr>
  </w:style>
  <w:style w:type="character" w:customStyle="1" w:styleId="HeaderChar">
    <w:name w:val="Header Char"/>
    <w:basedOn w:val="DefaultParagraphFont"/>
    <w:link w:val="Header"/>
    <w:rsid w:val="00E52B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3CDF"/>
    <w:rPr>
      <w:rFonts w:ascii="Tahoma" w:hAnsi="Tahoma" w:cs="Tahoma"/>
      <w:sz w:val="16"/>
      <w:szCs w:val="16"/>
    </w:rPr>
  </w:style>
  <w:style w:type="character" w:customStyle="1" w:styleId="BalloonTextChar">
    <w:name w:val="Balloon Text Char"/>
    <w:basedOn w:val="DefaultParagraphFont"/>
    <w:link w:val="BalloonText"/>
    <w:uiPriority w:val="99"/>
    <w:semiHidden/>
    <w:rsid w:val="00563C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ntent">
    <w:name w:val="Body Content"/>
    <w:basedOn w:val="Normal"/>
    <w:rsid w:val="007F2DEB"/>
    <w:pPr>
      <w:spacing w:after="160" w:line="276" w:lineRule="auto"/>
    </w:pPr>
    <w:rPr>
      <w:rFonts w:ascii="Perpetua" w:hAnsi="Perpetua"/>
      <w:color w:val="000000"/>
      <w:lang w:val="en-US"/>
    </w:rPr>
  </w:style>
  <w:style w:type="paragraph" w:customStyle="1" w:styleId="BodyA">
    <w:name w:val="Body A"/>
    <w:rsid w:val="0052303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Calibri"/>
      <w:color w:val="000000"/>
      <w:u w:color="000000"/>
      <w:lang w:val="en-US" w:eastAsia="en-GB"/>
    </w:rPr>
  </w:style>
  <w:style w:type="paragraph" w:styleId="ListParagraph">
    <w:name w:val="List Paragraph"/>
    <w:basedOn w:val="Normal"/>
    <w:uiPriority w:val="34"/>
    <w:qFormat/>
    <w:rsid w:val="00E0095A"/>
    <w:pPr>
      <w:ind w:left="720"/>
      <w:contextualSpacing/>
    </w:pPr>
  </w:style>
  <w:style w:type="character" w:styleId="Hyperlink">
    <w:name w:val="Hyperlink"/>
    <w:uiPriority w:val="99"/>
    <w:unhideWhenUsed/>
    <w:rsid w:val="0096683C"/>
    <w:rPr>
      <w:strike w:val="0"/>
      <w:dstrike w:val="0"/>
      <w:color w:val="95AD0A"/>
      <w:u w:val="none"/>
      <w:effect w:val="none"/>
    </w:rPr>
  </w:style>
  <w:style w:type="paragraph" w:styleId="Header">
    <w:name w:val="header"/>
    <w:basedOn w:val="Normal"/>
    <w:link w:val="HeaderChar"/>
    <w:rsid w:val="00E52B1B"/>
    <w:pPr>
      <w:tabs>
        <w:tab w:val="center" w:pos="4320"/>
        <w:tab w:val="right" w:pos="8640"/>
      </w:tabs>
    </w:pPr>
  </w:style>
  <w:style w:type="character" w:customStyle="1" w:styleId="HeaderChar">
    <w:name w:val="Header Char"/>
    <w:basedOn w:val="DefaultParagraphFont"/>
    <w:link w:val="Header"/>
    <w:rsid w:val="00E52B1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3CDF"/>
    <w:rPr>
      <w:rFonts w:ascii="Tahoma" w:hAnsi="Tahoma" w:cs="Tahoma"/>
      <w:sz w:val="16"/>
      <w:szCs w:val="16"/>
    </w:rPr>
  </w:style>
  <w:style w:type="character" w:customStyle="1" w:styleId="BalloonTextChar">
    <w:name w:val="Balloon Text Char"/>
    <w:basedOn w:val="DefaultParagraphFont"/>
    <w:link w:val="BalloonText"/>
    <w:uiPriority w:val="99"/>
    <w:semiHidden/>
    <w:rsid w:val="00563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84590">
      <w:bodyDiv w:val="1"/>
      <w:marLeft w:val="0"/>
      <w:marRight w:val="0"/>
      <w:marTop w:val="0"/>
      <w:marBottom w:val="0"/>
      <w:divBdr>
        <w:top w:val="none" w:sz="0" w:space="0" w:color="auto"/>
        <w:left w:val="none" w:sz="0" w:space="0" w:color="auto"/>
        <w:bottom w:val="none" w:sz="0" w:space="0" w:color="auto"/>
        <w:right w:val="none" w:sz="0" w:space="0" w:color="auto"/>
      </w:divBdr>
    </w:div>
    <w:div w:id="646055342">
      <w:bodyDiv w:val="1"/>
      <w:marLeft w:val="0"/>
      <w:marRight w:val="0"/>
      <w:marTop w:val="0"/>
      <w:marBottom w:val="0"/>
      <w:divBdr>
        <w:top w:val="none" w:sz="0" w:space="0" w:color="auto"/>
        <w:left w:val="none" w:sz="0" w:space="0" w:color="auto"/>
        <w:bottom w:val="none" w:sz="0" w:space="0" w:color="auto"/>
        <w:right w:val="none" w:sz="0" w:space="0" w:color="auto"/>
      </w:divBdr>
    </w:div>
    <w:div w:id="784349097">
      <w:bodyDiv w:val="1"/>
      <w:marLeft w:val="0"/>
      <w:marRight w:val="0"/>
      <w:marTop w:val="0"/>
      <w:marBottom w:val="0"/>
      <w:divBdr>
        <w:top w:val="none" w:sz="0" w:space="0" w:color="auto"/>
        <w:left w:val="none" w:sz="0" w:space="0" w:color="auto"/>
        <w:bottom w:val="none" w:sz="0" w:space="0" w:color="auto"/>
        <w:right w:val="none" w:sz="0" w:space="0" w:color="auto"/>
      </w:divBdr>
    </w:div>
    <w:div w:id="1077820027">
      <w:bodyDiv w:val="1"/>
      <w:marLeft w:val="0"/>
      <w:marRight w:val="0"/>
      <w:marTop w:val="0"/>
      <w:marBottom w:val="0"/>
      <w:divBdr>
        <w:top w:val="none" w:sz="0" w:space="0" w:color="auto"/>
        <w:left w:val="none" w:sz="0" w:space="0" w:color="auto"/>
        <w:bottom w:val="none" w:sz="0" w:space="0" w:color="auto"/>
        <w:right w:val="none" w:sz="0" w:space="0" w:color="auto"/>
      </w:divBdr>
    </w:div>
    <w:div w:id="1705715348">
      <w:bodyDiv w:val="1"/>
      <w:marLeft w:val="0"/>
      <w:marRight w:val="0"/>
      <w:marTop w:val="0"/>
      <w:marBottom w:val="0"/>
      <w:divBdr>
        <w:top w:val="none" w:sz="0" w:space="0" w:color="auto"/>
        <w:left w:val="none" w:sz="0" w:space="0" w:color="auto"/>
        <w:bottom w:val="none" w:sz="0" w:space="0" w:color="auto"/>
        <w:right w:val="none" w:sz="0" w:space="0" w:color="auto"/>
      </w:divBdr>
    </w:div>
    <w:div w:id="17697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ys.townsend@nottinghamcity.gov.uk" TargetMode="External"/><Relationship Id="rId3" Type="http://schemas.microsoft.com/office/2007/relationships/stylesWithEffects" Target="stylesWithEffects.xml"/><Relationship Id="rId7" Type="http://schemas.openxmlformats.org/officeDocument/2006/relationships/hyperlink" Target="mailto:Celina.adams@nottinghamcit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ool.gore@nottinghamcity.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Glenys Townsend</dc:creator>
  <cp:lastModifiedBy>Glenys Townsend</cp:lastModifiedBy>
  <cp:revision>2</cp:revision>
  <cp:lastPrinted>2016-11-29T14:06:00Z</cp:lastPrinted>
  <dcterms:created xsi:type="dcterms:W3CDTF">2016-12-02T14:43:00Z</dcterms:created>
  <dcterms:modified xsi:type="dcterms:W3CDTF">2016-12-02T14:43:00Z</dcterms:modified>
</cp:coreProperties>
</file>