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58031" w14:textId="77777777" w:rsidR="00FF4983" w:rsidRDefault="00FF4983" w:rsidP="00DB3FD5">
      <w:pPr>
        <w:spacing w:after="0" w:line="240" w:lineRule="auto"/>
        <w:jc w:val="center"/>
        <w:rPr>
          <w:b/>
          <w:sz w:val="28"/>
          <w:szCs w:val="28"/>
          <w:u w:val="single"/>
        </w:rPr>
      </w:pPr>
      <w:r>
        <w:rPr>
          <w:noProof/>
          <w:lang w:eastAsia="en-GB"/>
        </w:rPr>
        <mc:AlternateContent>
          <mc:Choice Requires="wps">
            <w:drawing>
              <wp:anchor distT="0" distB="0" distL="114300" distR="114300" simplePos="0" relativeHeight="251663360" behindDoc="0" locked="0" layoutInCell="1" allowOverlap="1" wp14:anchorId="0010E2CD" wp14:editId="22D98786">
                <wp:simplePos x="0" y="0"/>
                <wp:positionH relativeFrom="margin">
                  <wp:posOffset>3419062</wp:posOffset>
                </wp:positionH>
                <wp:positionV relativeFrom="paragraph">
                  <wp:posOffset>-15903</wp:posOffset>
                </wp:positionV>
                <wp:extent cx="2118802" cy="787180"/>
                <wp:effectExtent l="0" t="0" r="0" b="0"/>
                <wp:wrapNone/>
                <wp:docPr id="5" name="Text Box 94">
                  <a:extLst xmlns:a="http://schemas.openxmlformats.org/drawingml/2006/main">
                    <a:ext uri="{FF2B5EF4-FFF2-40B4-BE49-F238E27FC236}">
                      <a16:creationId xmlns:a16="http://schemas.microsoft.com/office/drawing/2014/main" id="{8D5B6C09-4636-433E-B590-B6454FDB07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802" cy="787180"/>
                        </a:xfrm>
                        <a:prstGeom prst="rect">
                          <a:avLst/>
                        </a:prstGeom>
                        <a:solidFill>
                          <a:srgbClr val="00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CF737" w14:textId="77777777" w:rsidR="00FF4983" w:rsidRPr="00FF4983" w:rsidRDefault="00FF4983" w:rsidP="00FF4983">
                            <w:pPr>
                              <w:kinsoku w:val="0"/>
                              <w:overflowPunct w:val="0"/>
                              <w:spacing w:after="0" w:line="240" w:lineRule="auto"/>
                              <w:textAlignment w:val="baseline"/>
                              <w:rPr>
                                <w:rFonts w:ascii="Times New Roman" w:eastAsia="Times New Roman" w:hAnsi="Times New Roman" w:cs="Times New Roman"/>
                                <w:sz w:val="24"/>
                                <w:szCs w:val="24"/>
                                <w:lang w:eastAsia="en-GB"/>
                              </w:rPr>
                            </w:pPr>
                            <w:r w:rsidRPr="00FF4983">
                              <w:rPr>
                                <w:rFonts w:ascii="Century Gothic" w:eastAsia="MS Mincho" w:hAnsi="Century Gothic"/>
                                <w:b/>
                                <w:bCs/>
                                <w:color w:val="FFFFFF"/>
                                <w:kern w:val="24"/>
                                <w:sz w:val="27"/>
                                <w:szCs w:val="27"/>
                                <w:lang w:eastAsia="en-GB"/>
                              </w:rPr>
                              <w:t xml:space="preserve">      </w:t>
                            </w:r>
                            <w:r w:rsidRPr="00FF4983">
                              <w:rPr>
                                <w:rFonts w:ascii="Century Gothic" w:eastAsia="MS Mincho" w:hAnsi="Century Gothic"/>
                                <w:b/>
                                <w:bCs/>
                                <w:color w:val="FFFFFF"/>
                                <w:kern w:val="24"/>
                                <w:sz w:val="24"/>
                                <w:szCs w:val="24"/>
                                <w:lang w:eastAsia="en-GB"/>
                              </w:rPr>
                              <w:t>The</w:t>
                            </w:r>
                          </w:p>
                          <w:p w14:paraId="6054C422" w14:textId="77777777" w:rsidR="00FF4983" w:rsidRPr="00FF4983" w:rsidRDefault="00FF4983" w:rsidP="00FF4983">
                            <w:pPr>
                              <w:kinsoku w:val="0"/>
                              <w:overflowPunct w:val="0"/>
                              <w:spacing w:after="0" w:line="240" w:lineRule="auto"/>
                              <w:jc w:val="center"/>
                              <w:textAlignment w:val="baseline"/>
                              <w:rPr>
                                <w:rFonts w:ascii="Times New Roman" w:eastAsia="Times New Roman" w:hAnsi="Times New Roman" w:cs="Times New Roman"/>
                                <w:sz w:val="36"/>
                                <w:szCs w:val="36"/>
                                <w:lang w:eastAsia="en-GB"/>
                              </w:rPr>
                            </w:pPr>
                            <w:r w:rsidRPr="00FF4983">
                              <w:rPr>
                                <w:rFonts w:ascii="Century Gothic" w:eastAsia="MS Mincho" w:hAnsi="Century Gothic"/>
                                <w:b/>
                                <w:bCs/>
                                <w:color w:val="FFFF00"/>
                                <w:kern w:val="24"/>
                                <w:sz w:val="36"/>
                                <w:szCs w:val="36"/>
                                <w:lang w:eastAsia="en-GB"/>
                              </w:rPr>
                              <w:t>Early Years</w:t>
                            </w:r>
                          </w:p>
                          <w:p w14:paraId="2EF52D4F" w14:textId="77777777" w:rsidR="00FF4983" w:rsidRPr="00D96BA4" w:rsidRDefault="00FF4983" w:rsidP="00FF4983">
                            <w:pPr>
                              <w:ind w:left="-426" w:firstLine="426"/>
                              <w:rPr>
                                <w:color w:val="FFFFFF" w:themeColor="background1"/>
                              </w:rPr>
                            </w:pPr>
                            <w:r w:rsidRPr="00FF4983">
                              <w:rPr>
                                <w:rFonts w:ascii="Century Gothic" w:eastAsia="MS Mincho" w:hAnsi="Century Gothic"/>
                                <w:b/>
                                <w:bCs/>
                                <w:color w:val="FFFF00"/>
                                <w:kern w:val="24"/>
                                <w:lang w:eastAsia="en-GB"/>
                              </w:rPr>
                              <w:t xml:space="preserve">            </w:t>
                            </w:r>
                            <w:r w:rsidR="00D96BA4">
                              <w:rPr>
                                <w:rFonts w:ascii="Century Gothic" w:eastAsia="MS Mincho" w:hAnsi="Century Gothic"/>
                                <w:b/>
                                <w:bCs/>
                                <w:color w:val="FFFF00"/>
                                <w:kern w:val="24"/>
                                <w:lang w:eastAsia="en-GB"/>
                              </w:rPr>
                              <w:t xml:space="preserve">                     </w:t>
                            </w:r>
                            <w:r w:rsidRPr="00D96BA4">
                              <w:rPr>
                                <w:rFonts w:ascii="Century Gothic" w:eastAsia="MS Mincho" w:hAnsi="Century Gothic"/>
                                <w:b/>
                                <w:bCs/>
                                <w:color w:val="FFFFFF" w:themeColor="background1"/>
                                <w:kern w:val="24"/>
                                <w:lang w:eastAsia="en-GB"/>
                              </w:rPr>
                              <w:t>Team</w:t>
                            </w:r>
                          </w:p>
                        </w:txbxContent>
                      </wps:txbx>
                      <wps:bodyPr wrap="square" lIns="137160" tIns="0" rIns="137160" bIns="0">
                        <a:noAutofit/>
                      </wps:bodyPr>
                    </wps:wsp>
                  </a:graphicData>
                </a:graphic>
                <wp14:sizeRelH relativeFrom="margin">
                  <wp14:pctWidth>0</wp14:pctWidth>
                </wp14:sizeRelH>
                <wp14:sizeRelV relativeFrom="margin">
                  <wp14:pctHeight>0</wp14:pctHeight>
                </wp14:sizeRelV>
              </wp:anchor>
            </w:drawing>
          </mc:Choice>
          <mc:Fallback>
            <w:pict>
              <v:shapetype w14:anchorId="0010E2CD" id="_x0000_t202" coordsize="21600,21600" o:spt="202" path="m,l,21600r21600,l21600,xe">
                <v:stroke joinstyle="miter"/>
                <v:path gradientshapeok="t" o:connecttype="rect"/>
              </v:shapetype>
              <v:shape id="Text Box 94" o:spid="_x0000_s1026" type="#_x0000_t202" style="position:absolute;left:0;text-align:left;margin-left:269.2pt;margin-top:-1.25pt;width:166.85pt;height:6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" fillcolor="#09c" stroked="f">
                <v:textbox inset="10.8pt,0,10.8pt,0">
                  <w:txbxContent>
                    <w:p w14:paraId="256CF737" w14:textId="77777777" w:rsidR="00FF4983" w:rsidRPr="00FF4983" w:rsidRDefault="00FF4983" w:rsidP="00FF4983">
                      <w:pPr>
                        <w:kinsoku w:val="0"/>
                        <w:overflowPunct w:val="0"/>
                        <w:spacing w:after="0" w:line="240" w:lineRule="auto"/>
                        <w:textAlignment w:val="baseline"/>
                        <w:rPr>
                          <w:rFonts w:ascii="Times New Roman" w:eastAsia="Times New Roman" w:hAnsi="Times New Roman" w:cs="Times New Roman"/>
                          <w:sz w:val="24"/>
                          <w:szCs w:val="24"/>
                          <w:lang w:eastAsia="en-GB"/>
                        </w:rPr>
                      </w:pPr>
                      <w:r w:rsidRPr="00FF4983">
                        <w:rPr>
                          <w:rFonts w:ascii="Century Gothic" w:eastAsia="MS Mincho" w:hAnsi="Century Gothic"/>
                          <w:b/>
                          <w:bCs/>
                          <w:color w:val="FFFFFF"/>
                          <w:kern w:val="24"/>
                          <w:sz w:val="27"/>
                          <w:szCs w:val="27"/>
                          <w:lang w:eastAsia="en-GB"/>
                        </w:rPr>
                        <w:t xml:space="preserve">      </w:t>
                      </w:r>
                      <w:r w:rsidRPr="00FF4983">
                        <w:rPr>
                          <w:rFonts w:ascii="Century Gothic" w:eastAsia="MS Mincho" w:hAnsi="Century Gothic"/>
                          <w:b/>
                          <w:bCs/>
                          <w:color w:val="FFFFFF"/>
                          <w:kern w:val="24"/>
                          <w:sz w:val="24"/>
                          <w:szCs w:val="24"/>
                          <w:lang w:eastAsia="en-GB"/>
                        </w:rPr>
                        <w:t>The</w:t>
                      </w:r>
                    </w:p>
                    <w:p w14:paraId="6054C422" w14:textId="77777777" w:rsidR="00FF4983" w:rsidRPr="00FF4983" w:rsidRDefault="00FF4983" w:rsidP="00FF4983">
                      <w:pPr>
                        <w:kinsoku w:val="0"/>
                        <w:overflowPunct w:val="0"/>
                        <w:spacing w:after="0" w:line="240" w:lineRule="auto"/>
                        <w:jc w:val="center"/>
                        <w:textAlignment w:val="baseline"/>
                        <w:rPr>
                          <w:rFonts w:ascii="Times New Roman" w:eastAsia="Times New Roman" w:hAnsi="Times New Roman" w:cs="Times New Roman"/>
                          <w:sz w:val="36"/>
                          <w:szCs w:val="36"/>
                          <w:lang w:eastAsia="en-GB"/>
                        </w:rPr>
                      </w:pPr>
                      <w:r w:rsidRPr="00FF4983">
                        <w:rPr>
                          <w:rFonts w:ascii="Century Gothic" w:eastAsia="MS Mincho" w:hAnsi="Century Gothic"/>
                          <w:b/>
                          <w:bCs/>
                          <w:color w:val="FFFF00"/>
                          <w:kern w:val="24"/>
                          <w:sz w:val="36"/>
                          <w:szCs w:val="36"/>
                          <w:lang w:eastAsia="en-GB"/>
                        </w:rPr>
                        <w:t>Early Years</w:t>
                      </w:r>
                    </w:p>
                    <w:p w14:paraId="2EF52D4F" w14:textId="77777777" w:rsidR="00FF4983" w:rsidRPr="00D96BA4" w:rsidRDefault="00FF4983" w:rsidP="00FF4983">
                      <w:pPr>
                        <w:ind w:left="-426" w:firstLine="426"/>
                        <w:rPr>
                          <w:color w:val="FFFFFF" w:themeColor="background1"/>
                        </w:rPr>
                      </w:pPr>
                      <w:r w:rsidRPr="00FF4983">
                        <w:rPr>
                          <w:rFonts w:ascii="Century Gothic" w:eastAsia="MS Mincho" w:hAnsi="Century Gothic"/>
                          <w:b/>
                          <w:bCs/>
                          <w:color w:val="FFFF00"/>
                          <w:kern w:val="24"/>
                          <w:lang w:eastAsia="en-GB"/>
                        </w:rPr>
                        <w:t xml:space="preserve">            </w:t>
                      </w:r>
                      <w:r w:rsidR="00D96BA4">
                        <w:rPr>
                          <w:rFonts w:ascii="Century Gothic" w:eastAsia="MS Mincho" w:hAnsi="Century Gothic"/>
                          <w:b/>
                          <w:bCs/>
                          <w:color w:val="FFFF00"/>
                          <w:kern w:val="24"/>
                          <w:lang w:eastAsia="en-GB"/>
                        </w:rPr>
                        <w:t xml:space="preserve">                     </w:t>
                      </w:r>
                      <w:r w:rsidRPr="00D96BA4">
                        <w:rPr>
                          <w:rFonts w:ascii="Century Gothic" w:eastAsia="MS Mincho" w:hAnsi="Century Gothic"/>
                          <w:b/>
                          <w:bCs/>
                          <w:color w:val="FFFFFF" w:themeColor="background1"/>
                          <w:kern w:val="24"/>
                          <w:lang w:eastAsia="en-GB"/>
                        </w:rPr>
                        <w:t>Team</w:t>
                      </w:r>
                    </w:p>
                  </w:txbxContent>
                </v:textbox>
                <w10:wrap anchorx="margin"/>
              </v:shape>
            </w:pict>
          </mc:Fallback>
        </mc:AlternateContent>
      </w:r>
      <w:r>
        <w:rPr>
          <w:noProof/>
          <w:lang w:eastAsia="en-GB"/>
        </w:rPr>
        <w:drawing>
          <wp:inline distT="0" distB="0" distL="0" distR="0" wp14:anchorId="0E30EA3D" wp14:editId="0596DD03">
            <wp:extent cx="5339080" cy="787179"/>
            <wp:effectExtent l="0" t="0" r="0" b="0"/>
            <wp:docPr id="1" name="Picture 1">
              <a:extLst xmlns:a="http://schemas.openxmlformats.org/drawingml/2006/main">
                <a:ext uri="{FF2B5EF4-FFF2-40B4-BE49-F238E27FC236}">
                  <a16:creationId xmlns:a16="http://schemas.microsoft.com/office/drawing/2014/main" id="{5317DBD5-3ED7-45E9-BB8F-FB34B1CA2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5317DBD5-3ED7-45E9-BB8F-FB34B1CA2F4B}"/>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26039" t="26024" r="26221" b="27711"/>
                    <a:stretch>
                      <a:fillRect/>
                    </a:stretch>
                  </pic:blipFill>
                  <pic:spPr bwMode="auto">
                    <a:xfrm>
                      <a:off x="0" y="0"/>
                      <a:ext cx="5391713" cy="794939"/>
                    </a:xfrm>
                    <a:prstGeom prst="rect">
                      <a:avLst/>
                    </a:prstGeom>
                    <a:noFill/>
                    <a:ln>
                      <a:noFill/>
                    </a:ln>
                  </pic:spPr>
                </pic:pic>
              </a:graphicData>
            </a:graphic>
          </wp:inline>
        </w:drawing>
      </w:r>
    </w:p>
    <w:p w14:paraId="2F1396F7" w14:textId="77777777" w:rsidR="005677AC" w:rsidRDefault="005677AC" w:rsidP="00DB3FD5">
      <w:pPr>
        <w:spacing w:after="0" w:line="240" w:lineRule="auto"/>
        <w:jc w:val="center"/>
        <w:rPr>
          <w:b/>
          <w:sz w:val="28"/>
          <w:szCs w:val="28"/>
          <w:u w:val="single"/>
        </w:rPr>
      </w:pPr>
    </w:p>
    <w:p w14:paraId="1D93604B" w14:textId="006532F6" w:rsidR="000957C9" w:rsidRPr="00DB3FD5" w:rsidRDefault="00E301AF" w:rsidP="00DB3FD5">
      <w:pPr>
        <w:spacing w:after="0" w:line="240" w:lineRule="auto"/>
        <w:jc w:val="center"/>
        <w:rPr>
          <w:b/>
          <w:sz w:val="28"/>
          <w:szCs w:val="28"/>
          <w:u w:val="single"/>
        </w:rPr>
      </w:pPr>
      <w:r w:rsidRPr="00DB3FD5">
        <w:rPr>
          <w:b/>
          <w:sz w:val="28"/>
          <w:szCs w:val="28"/>
          <w:u w:val="single"/>
        </w:rPr>
        <w:t>Business</w:t>
      </w:r>
      <w:r w:rsidR="005677AC">
        <w:rPr>
          <w:b/>
          <w:sz w:val="28"/>
          <w:szCs w:val="28"/>
          <w:u w:val="single"/>
        </w:rPr>
        <w:t xml:space="preserve"> Direction and </w:t>
      </w:r>
      <w:r w:rsidR="00CE5423" w:rsidRPr="00DB3FD5">
        <w:rPr>
          <w:b/>
          <w:sz w:val="28"/>
          <w:szCs w:val="28"/>
          <w:u w:val="single"/>
        </w:rPr>
        <w:t xml:space="preserve">Planning for Sustainability </w:t>
      </w:r>
    </w:p>
    <w:p w14:paraId="39E1D990" w14:textId="77777777" w:rsidR="00A5312E" w:rsidRPr="008B04CC" w:rsidRDefault="00A5312E" w:rsidP="00DB3FD5">
      <w:pPr>
        <w:spacing w:after="0" w:line="240" w:lineRule="auto"/>
        <w:jc w:val="center"/>
        <w:rPr>
          <w:b/>
          <w:u w:val="single"/>
        </w:rPr>
      </w:pPr>
    </w:p>
    <w:p w14:paraId="28644B9F" w14:textId="77777777" w:rsidR="00894400" w:rsidRDefault="008D2774" w:rsidP="00A5312E">
      <w:pPr>
        <w:spacing w:after="0" w:line="240" w:lineRule="auto"/>
        <w:jc w:val="both"/>
      </w:pPr>
      <w:r>
        <w:t xml:space="preserve">There is a wealth of information available regarding </w:t>
      </w:r>
      <w:r w:rsidR="00F3325C">
        <w:t xml:space="preserve">business support, </w:t>
      </w:r>
      <w:r>
        <w:t xml:space="preserve">financial </w:t>
      </w:r>
      <w:proofErr w:type="gramStart"/>
      <w:r>
        <w:t>support</w:t>
      </w:r>
      <w:proofErr w:type="gramEnd"/>
      <w:r>
        <w:t xml:space="preserve"> and guidance for businesses</w:t>
      </w:r>
      <w:r w:rsidR="00894400">
        <w:t xml:space="preserve"> during this time.  This is not an exhaustive list but collates some of the key information to enable </w:t>
      </w:r>
      <w:r w:rsidR="00DB3FD5">
        <w:t>childcare businesses</w:t>
      </w:r>
      <w:r w:rsidR="00894400">
        <w:t xml:space="preserve"> to navigate the resources most appropriate for the</w:t>
      </w:r>
      <w:r w:rsidR="0057271D">
        <w:t>ir own individual circumstances, whether that be a childminder caring for 2 children or a group-based setting caring for 120 children.</w:t>
      </w:r>
    </w:p>
    <w:p w14:paraId="166D6A47" w14:textId="77777777" w:rsidR="00FC4D0D" w:rsidRDefault="00FC4D0D" w:rsidP="00A5312E">
      <w:pPr>
        <w:spacing w:after="0" w:line="240" w:lineRule="auto"/>
        <w:jc w:val="both"/>
      </w:pPr>
    </w:p>
    <w:p w14:paraId="6D0B9724" w14:textId="77777777" w:rsidR="002C3380" w:rsidRDefault="00FC4D0D" w:rsidP="001D1C06">
      <w:pPr>
        <w:spacing w:after="0" w:line="240" w:lineRule="auto"/>
        <w:jc w:val="both"/>
      </w:pPr>
      <w:r>
        <w:rPr>
          <w:noProof/>
          <w:lang w:eastAsia="en-GB"/>
        </w:rPr>
        <mc:AlternateContent>
          <mc:Choice Requires="wps">
            <w:drawing>
              <wp:anchor distT="45720" distB="45720" distL="114300" distR="114300" simplePos="0" relativeHeight="251659264" behindDoc="0" locked="0" layoutInCell="1" allowOverlap="1" wp14:anchorId="07A96E12" wp14:editId="09F061F0">
                <wp:simplePos x="0" y="0"/>
                <wp:positionH relativeFrom="margin">
                  <wp:align>left</wp:align>
                </wp:positionH>
                <wp:positionV relativeFrom="paragraph">
                  <wp:posOffset>692150</wp:posOffset>
                </wp:positionV>
                <wp:extent cx="5905500" cy="455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552950"/>
                        </a:xfrm>
                        <a:prstGeom prst="rect">
                          <a:avLst/>
                        </a:prstGeom>
                        <a:solidFill>
                          <a:srgbClr val="FFFFFF"/>
                        </a:solidFill>
                        <a:ln w="9525">
                          <a:solidFill>
                            <a:srgbClr val="000000"/>
                          </a:solidFill>
                          <a:miter lim="800000"/>
                          <a:headEnd/>
                          <a:tailEnd/>
                        </a:ln>
                      </wps:spPr>
                      <wps:txbx>
                        <w:txbxContent>
                          <w:p w14:paraId="113201F6" w14:textId="77777777" w:rsidR="00C45D2C" w:rsidRDefault="00FE4BBA">
                            <w:r>
                              <w:rPr>
                                <w:noProof/>
                                <w:lang w:eastAsia="en-GB"/>
                              </w:rPr>
                              <w:drawing>
                                <wp:inline distT="0" distB="0" distL="0" distR="0" wp14:anchorId="2AEAFF45" wp14:editId="144FBBAB">
                                  <wp:extent cx="5565913" cy="4377796"/>
                                  <wp:effectExtent l="0" t="0" r="0" b="3810"/>
                                  <wp:docPr id="2" name="Picture 2" descr="cid:image002.png@01D65A91.4E6E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5A91.4E6E2F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73652" cy="43838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96E12" id="Text Box 2" o:spid="_x0000_s1027" type="#_x0000_t202" style="position:absolute;left:0;text-align:left;margin-left:0;margin-top:54.5pt;width:465pt;height:35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">
                <v:textbox>
                  <w:txbxContent>
                    <w:p w14:paraId="113201F6" w14:textId="77777777" w:rsidR="00C45D2C" w:rsidRDefault="00FE4BBA">
                      <w:r>
                        <w:rPr>
                          <w:noProof/>
                          <w:lang w:eastAsia="en-GB"/>
                        </w:rPr>
                        <w:drawing>
                          <wp:inline distT="0" distB="0" distL="0" distR="0" wp14:anchorId="2AEAFF45" wp14:editId="144FBBAB">
                            <wp:extent cx="5565913" cy="4377796"/>
                            <wp:effectExtent l="0" t="0" r="0" b="3810"/>
                            <wp:docPr id="2" name="Picture 2" descr="cid:image002.png@01D65A91.4E6E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5A91.4E6E2F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73652" cy="4383883"/>
                                    </a:xfrm>
                                    <a:prstGeom prst="rect">
                                      <a:avLst/>
                                    </a:prstGeom>
                                    <a:noFill/>
                                    <a:ln>
                                      <a:noFill/>
                                    </a:ln>
                                  </pic:spPr>
                                </pic:pic>
                              </a:graphicData>
                            </a:graphic>
                          </wp:inline>
                        </w:drawing>
                      </w:r>
                    </w:p>
                  </w:txbxContent>
                </v:textbox>
                <w10:wrap type="square" anchorx="margin"/>
              </v:shape>
            </w:pict>
          </mc:Fallback>
        </mc:AlternateContent>
      </w:r>
      <w:r>
        <w:t>As we enter</w:t>
      </w:r>
      <w:r w:rsidR="002C3380">
        <w:t>ed</w:t>
      </w:r>
      <w:r>
        <w:t xml:space="preserve"> the recovery phase </w:t>
      </w:r>
      <w:r w:rsidR="002C3380">
        <w:t>following the global pandemic,</w:t>
      </w:r>
      <w:r>
        <w:t xml:space="preserve"> COVID 19, colleagues at </w:t>
      </w:r>
      <w:proofErr w:type="spellStart"/>
      <w:r>
        <w:t>Hempsall’s</w:t>
      </w:r>
      <w:proofErr w:type="spellEnd"/>
      <w:r>
        <w:t xml:space="preserve"> produced these useful documents to help visualise how childcare providers </w:t>
      </w:r>
      <w:r w:rsidR="00DB3FD5">
        <w:t xml:space="preserve">particularly </w:t>
      </w:r>
      <w:r>
        <w:t>can move through these challenging times towards ensuring future sustainability.</w:t>
      </w:r>
    </w:p>
    <w:p w14:paraId="7FFFEB6B" w14:textId="77777777" w:rsidR="002C3380" w:rsidRDefault="002C3380" w:rsidP="001D1C06">
      <w:pPr>
        <w:spacing w:after="0" w:line="240" w:lineRule="auto"/>
        <w:jc w:val="both"/>
      </w:pPr>
    </w:p>
    <w:p w14:paraId="64244C89" w14:textId="6A2F3353" w:rsidR="00DB3FD5" w:rsidRDefault="00FC4D0D" w:rsidP="001D1C06">
      <w:pPr>
        <w:spacing w:after="0" w:line="240" w:lineRule="auto"/>
        <w:jc w:val="both"/>
      </w:pPr>
      <w:r>
        <w:t>Nottingham City is fortunate to offer a rich, mixed economy of provision to local</w:t>
      </w:r>
      <w:r w:rsidR="005563CF">
        <w:t xml:space="preserve"> children and families.  </w:t>
      </w:r>
      <w:r w:rsidR="002C3380">
        <w:t>Whilst most c</w:t>
      </w:r>
      <w:r w:rsidR="005563CF">
        <w:t xml:space="preserve">hildcare </w:t>
      </w:r>
      <w:r w:rsidR="002C3380">
        <w:t xml:space="preserve">providers re-opened after </w:t>
      </w:r>
      <w:r w:rsidR="005563CF">
        <w:t xml:space="preserve">the pandemic, it </w:t>
      </w:r>
      <w:r w:rsidR="002C3380">
        <w:t>has</w:t>
      </w:r>
      <w:r w:rsidR="005563CF">
        <w:t xml:space="preserve"> become apparent that the parental demand for childcare provision has changed.</w:t>
      </w:r>
    </w:p>
    <w:p w14:paraId="642FF767" w14:textId="1F33192A" w:rsidR="002C3380" w:rsidRDefault="002C3380" w:rsidP="001D1C06">
      <w:pPr>
        <w:spacing w:after="0" w:line="240" w:lineRule="auto"/>
        <w:jc w:val="both"/>
      </w:pPr>
    </w:p>
    <w:p w14:paraId="06592592" w14:textId="25030631" w:rsidR="002C3380" w:rsidRDefault="002C3380" w:rsidP="001D1C06">
      <w:pPr>
        <w:spacing w:after="0" w:line="240" w:lineRule="auto"/>
        <w:jc w:val="both"/>
      </w:pPr>
    </w:p>
    <w:p w14:paraId="00114977" w14:textId="323C0E88" w:rsidR="002C3380" w:rsidRDefault="002C3380" w:rsidP="001D1C06">
      <w:pPr>
        <w:spacing w:after="0" w:line="240" w:lineRule="auto"/>
        <w:jc w:val="both"/>
      </w:pPr>
    </w:p>
    <w:p w14:paraId="45064901" w14:textId="1D2B8B6C" w:rsidR="002C3380" w:rsidRDefault="002C3380" w:rsidP="001D1C06">
      <w:pPr>
        <w:spacing w:after="0" w:line="240" w:lineRule="auto"/>
        <w:jc w:val="both"/>
      </w:pPr>
    </w:p>
    <w:p w14:paraId="2A9082D4" w14:textId="04F7DBA2" w:rsidR="002C3380" w:rsidRDefault="002C3380" w:rsidP="001D1C06">
      <w:pPr>
        <w:spacing w:after="0" w:line="240" w:lineRule="auto"/>
        <w:jc w:val="both"/>
      </w:pPr>
    </w:p>
    <w:p w14:paraId="33B17672" w14:textId="77777777" w:rsidR="002C3380" w:rsidRDefault="002C3380" w:rsidP="001D1C06">
      <w:pPr>
        <w:spacing w:after="0" w:line="240" w:lineRule="auto"/>
        <w:jc w:val="both"/>
      </w:pPr>
    </w:p>
    <w:p w14:paraId="5F991895" w14:textId="77777777" w:rsidR="00A967B0" w:rsidRDefault="00A967B0" w:rsidP="001D1C06">
      <w:pPr>
        <w:spacing w:after="0" w:line="240" w:lineRule="auto"/>
        <w:jc w:val="both"/>
      </w:pPr>
    </w:p>
    <w:p w14:paraId="0F50ECCA" w14:textId="77777777" w:rsidR="00DB3FD5" w:rsidRDefault="00DB3FD5" w:rsidP="001D1C06">
      <w:pPr>
        <w:spacing w:after="0" w:line="240" w:lineRule="auto"/>
        <w:jc w:val="both"/>
        <w:rPr>
          <w:b/>
          <w:u w:val="single"/>
        </w:rPr>
      </w:pPr>
      <w:r>
        <w:rPr>
          <w:b/>
          <w:u w:val="single"/>
        </w:rPr>
        <w:lastRenderedPageBreak/>
        <w:t xml:space="preserve">Childcare Sufficiency – Considering Supply and Demand </w:t>
      </w:r>
    </w:p>
    <w:p w14:paraId="2E98C100" w14:textId="77777777" w:rsidR="00DB3FD5" w:rsidRPr="00DB3FD5" w:rsidRDefault="00DB3FD5" w:rsidP="001D1C06">
      <w:pPr>
        <w:spacing w:after="0" w:line="240" w:lineRule="auto"/>
        <w:jc w:val="both"/>
        <w:rPr>
          <w:b/>
          <w:u w:val="single"/>
        </w:rPr>
      </w:pPr>
    </w:p>
    <w:p w14:paraId="3530D8A5" w14:textId="77777777" w:rsidR="001D1C06" w:rsidRDefault="001D1C06" w:rsidP="001D1C06">
      <w:pPr>
        <w:spacing w:after="0" w:line="240" w:lineRule="auto"/>
        <w:jc w:val="both"/>
      </w:pPr>
      <w:r>
        <w:t xml:space="preserve">As we </w:t>
      </w:r>
      <w:r w:rsidR="00DB3FD5">
        <w:t>navigate</w:t>
      </w:r>
      <w:r>
        <w:t xml:space="preserve"> through the ‘Now and Next</w:t>
      </w:r>
      <w:r w:rsidR="00DB3FD5">
        <w:t>’ phases of</w:t>
      </w:r>
      <w:r>
        <w:t xml:space="preserve"> the above visual, planning is paramount and childcare businesses will need to adapt to meet changing parental demand.</w:t>
      </w:r>
    </w:p>
    <w:p w14:paraId="2DF3FBE6" w14:textId="77777777" w:rsidR="001D1C06" w:rsidRDefault="001D1C06" w:rsidP="00FC4D0D">
      <w:pPr>
        <w:spacing w:after="0" w:line="240" w:lineRule="auto"/>
        <w:jc w:val="both"/>
      </w:pPr>
    </w:p>
    <w:p w14:paraId="041364C0" w14:textId="77777777" w:rsidR="00C04ACD" w:rsidRDefault="005563CF" w:rsidP="00FC4D0D">
      <w:pPr>
        <w:spacing w:after="0" w:line="240" w:lineRule="auto"/>
        <w:jc w:val="both"/>
      </w:pPr>
      <w:r>
        <w:t>Childcare providers</w:t>
      </w:r>
      <w:r w:rsidR="00C04ACD">
        <w:t xml:space="preserve"> </w:t>
      </w:r>
      <w:r w:rsidR="004701DD">
        <w:t>have the best knowledge of t</w:t>
      </w:r>
      <w:r w:rsidR="00C04ACD">
        <w:t xml:space="preserve">heir own customer base and through regular communication should have a reasonable understanding about how each family is feeling </w:t>
      </w:r>
      <w:proofErr w:type="gramStart"/>
      <w:r w:rsidR="00C04ACD">
        <w:t>with regard to</w:t>
      </w:r>
      <w:proofErr w:type="gramEnd"/>
      <w:r w:rsidR="00C04ACD">
        <w:t xml:space="preserve"> accessing childcare provision going forwards.  Some families may have continued to use the provision during the pandemic, some may have already </w:t>
      </w:r>
      <w:proofErr w:type="gramStart"/>
      <w:r w:rsidR="00C04ACD">
        <w:t>returned</w:t>
      </w:r>
      <w:proofErr w:type="gramEnd"/>
      <w:r w:rsidR="00C04ACD">
        <w:t xml:space="preserve"> and some may still be deciding whether to return and when.</w:t>
      </w:r>
    </w:p>
    <w:p w14:paraId="770CC415" w14:textId="77777777" w:rsidR="00A30D45" w:rsidRDefault="00A30D45" w:rsidP="00FC4D0D">
      <w:pPr>
        <w:spacing w:after="0" w:line="240" w:lineRule="auto"/>
        <w:jc w:val="both"/>
      </w:pPr>
    </w:p>
    <w:p w14:paraId="3FCB4B85" w14:textId="77777777" w:rsidR="008F196C" w:rsidRDefault="00A30D45" w:rsidP="00A5312E">
      <w:pPr>
        <w:spacing w:after="0" w:line="240" w:lineRule="auto"/>
        <w:jc w:val="both"/>
      </w:pPr>
      <w:r>
        <w:t xml:space="preserve">This visual, again thanks to </w:t>
      </w:r>
      <w:proofErr w:type="spellStart"/>
      <w:r>
        <w:t>Hempsall’s</w:t>
      </w:r>
      <w:proofErr w:type="spellEnd"/>
      <w:r>
        <w:t>, outlines some of the factors affecting parental preferences at this time and should be given due consideration for the customer base of each individual childcare provider to enable them to plan their services going forwards.</w:t>
      </w:r>
    </w:p>
    <w:p w14:paraId="03F38E30" w14:textId="2FD0EC91" w:rsidR="00A967B0" w:rsidRDefault="008F196C" w:rsidP="008F196C">
      <w:pPr>
        <w:spacing w:after="0" w:line="240" w:lineRule="auto"/>
        <w:jc w:val="both"/>
      </w:pPr>
      <w:r>
        <w:rPr>
          <w:noProof/>
          <w:lang w:eastAsia="en-GB"/>
        </w:rPr>
        <mc:AlternateContent>
          <mc:Choice Requires="wps">
            <w:drawing>
              <wp:anchor distT="45720" distB="45720" distL="114300" distR="114300" simplePos="0" relativeHeight="251661312" behindDoc="0" locked="0" layoutInCell="1" allowOverlap="1" wp14:anchorId="65E9ECE8" wp14:editId="5A326D60">
                <wp:simplePos x="0" y="0"/>
                <wp:positionH relativeFrom="margin">
                  <wp:align>left</wp:align>
                </wp:positionH>
                <wp:positionV relativeFrom="paragraph">
                  <wp:posOffset>203835</wp:posOffset>
                </wp:positionV>
                <wp:extent cx="5734050" cy="4343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343400"/>
                        </a:xfrm>
                        <a:prstGeom prst="rect">
                          <a:avLst/>
                        </a:prstGeom>
                        <a:solidFill>
                          <a:srgbClr val="FFFFFF"/>
                        </a:solidFill>
                        <a:ln w="9525">
                          <a:solidFill>
                            <a:srgbClr val="000000"/>
                          </a:solidFill>
                          <a:miter lim="800000"/>
                          <a:headEnd/>
                          <a:tailEnd/>
                        </a:ln>
                      </wps:spPr>
                      <wps:txbx>
                        <w:txbxContent>
                          <w:p w14:paraId="05261FC3" w14:textId="77777777" w:rsidR="00FC4D0D" w:rsidRDefault="00FC4D0D">
                            <w:r>
                              <w:rPr>
                                <w:noProof/>
                                <w:lang w:eastAsia="en-GB"/>
                              </w:rPr>
                              <w:drawing>
                                <wp:inline distT="0" distB="0" distL="0" distR="0" wp14:anchorId="51DF56CA" wp14:editId="00116668">
                                  <wp:extent cx="5542280" cy="4218396"/>
                                  <wp:effectExtent l="0" t="0" r="1270" b="0"/>
                                  <wp:docPr id="6" name="Picture 6" descr="cid:image003.png@01D65A91.4E6E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3.png@01D65A91.4E6E2F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542280" cy="42183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9ECE8" id="_x0000_s1028" type="#_x0000_t202" style="position:absolute;left:0;text-align:left;margin-left:0;margin-top:16.05pt;width:451.5pt;height:34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">
                <v:textbox>
                  <w:txbxContent>
                    <w:p w14:paraId="05261FC3" w14:textId="77777777" w:rsidR="00FC4D0D" w:rsidRDefault="00FC4D0D">
                      <w:r>
                        <w:rPr>
                          <w:noProof/>
                          <w:lang w:eastAsia="en-GB"/>
                        </w:rPr>
                        <w:drawing>
                          <wp:inline distT="0" distB="0" distL="0" distR="0" wp14:anchorId="51DF56CA" wp14:editId="00116668">
                            <wp:extent cx="5542280" cy="4218396"/>
                            <wp:effectExtent l="0" t="0" r="1270" b="0"/>
                            <wp:docPr id="6" name="Picture 6" descr="cid:image003.png@01D65A91.4E6E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3.png@01D65A91.4E6E2F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542280" cy="4218396"/>
                                    </a:xfrm>
                                    <a:prstGeom prst="rect">
                                      <a:avLst/>
                                    </a:prstGeom>
                                    <a:noFill/>
                                    <a:ln>
                                      <a:noFill/>
                                    </a:ln>
                                  </pic:spPr>
                                </pic:pic>
                              </a:graphicData>
                            </a:graphic>
                          </wp:inline>
                        </w:drawing>
                      </w:r>
                    </w:p>
                  </w:txbxContent>
                </v:textbox>
                <w10:wrap type="square" anchorx="margin"/>
              </v:shape>
            </w:pict>
          </mc:Fallback>
        </mc:AlternateContent>
      </w:r>
    </w:p>
    <w:p w14:paraId="31A268EF" w14:textId="73CE6211" w:rsidR="00CE5423" w:rsidRDefault="00A30D45" w:rsidP="00A5312E">
      <w:pPr>
        <w:spacing w:after="0" w:line="240" w:lineRule="auto"/>
        <w:jc w:val="both"/>
      </w:pPr>
      <w:r>
        <w:t xml:space="preserve">Coupled with the factors affecting demand, childcare providers need to consider what they can offer </w:t>
      </w:r>
      <w:r w:rsidR="00CE5423">
        <w:t>in relation to supply</w:t>
      </w:r>
      <w:r w:rsidR="002C3380">
        <w:t>,</w:t>
      </w:r>
      <w:r w:rsidR="00CE5423">
        <w:t xml:space="preserve"> it may be that not all children can be accommodated within the provision as they were before.  This will impact on utilisation of space and staffing requirements, and of course, therefore, ultimately, the income that can be generated in a reduced capacity model.</w:t>
      </w:r>
    </w:p>
    <w:p w14:paraId="3EA053B8" w14:textId="77777777" w:rsidR="00CE5423" w:rsidRDefault="00CE5423" w:rsidP="00A5312E">
      <w:pPr>
        <w:spacing w:after="0" w:line="240" w:lineRule="auto"/>
        <w:jc w:val="both"/>
      </w:pPr>
    </w:p>
    <w:p w14:paraId="10E4E52E" w14:textId="6A1BCB9D" w:rsidR="00CE5423" w:rsidRDefault="00CE5423" w:rsidP="00A5312E">
      <w:pPr>
        <w:spacing w:after="0" w:line="240" w:lineRule="auto"/>
        <w:jc w:val="both"/>
      </w:pPr>
      <w:proofErr w:type="gramStart"/>
      <w:r>
        <w:t>In light of</w:t>
      </w:r>
      <w:proofErr w:type="gramEnd"/>
      <w:r>
        <w:t xml:space="preserve"> the need to adapt business plans, childcare providers will need to allocate sufficient time to update budget forecasts, considering the factors affecting supply and demand to realistically plan for a build in occupancy and adapting shift patterns over the coming months. </w:t>
      </w:r>
      <w:r w:rsidR="002C3380">
        <w:t>A cash</w:t>
      </w:r>
      <w:r>
        <w:t xml:space="preserve"> flow forecast may assist with this planning.</w:t>
      </w:r>
      <w:r w:rsidRPr="00CE5423">
        <w:t xml:space="preserve"> </w:t>
      </w:r>
    </w:p>
    <w:p w14:paraId="3838DE2B" w14:textId="77777777" w:rsidR="00FB6112" w:rsidRDefault="00FB6112" w:rsidP="00A5312E">
      <w:pPr>
        <w:spacing w:after="0" w:line="240" w:lineRule="auto"/>
        <w:jc w:val="both"/>
      </w:pPr>
    </w:p>
    <w:p w14:paraId="781F4DEB" w14:textId="299A5CF2" w:rsidR="00A5312E" w:rsidRDefault="00A5312E" w:rsidP="00D02F05">
      <w:pPr>
        <w:spacing w:after="0" w:line="240" w:lineRule="auto"/>
      </w:pPr>
    </w:p>
    <w:p w14:paraId="21EC7620" w14:textId="077C64AC" w:rsidR="002C3380" w:rsidRDefault="002C3380" w:rsidP="00D02F05">
      <w:pPr>
        <w:spacing w:after="0" w:line="240" w:lineRule="auto"/>
      </w:pPr>
    </w:p>
    <w:p w14:paraId="4A2ED30E" w14:textId="01639F40" w:rsidR="002C3380" w:rsidRDefault="002C3380" w:rsidP="00D02F05">
      <w:pPr>
        <w:spacing w:after="0" w:line="240" w:lineRule="auto"/>
      </w:pPr>
    </w:p>
    <w:p w14:paraId="65E10196" w14:textId="77777777" w:rsidR="002C3380" w:rsidRDefault="002C3380" w:rsidP="00D02F05">
      <w:pPr>
        <w:spacing w:after="0" w:line="240" w:lineRule="auto"/>
      </w:pPr>
    </w:p>
    <w:p w14:paraId="63FD2974" w14:textId="77777777" w:rsidR="00894400" w:rsidRPr="008B04CC" w:rsidRDefault="00894400" w:rsidP="00A5312E">
      <w:pPr>
        <w:spacing w:after="0" w:line="240" w:lineRule="auto"/>
        <w:jc w:val="both"/>
        <w:rPr>
          <w:b/>
          <w:u w:val="single"/>
        </w:rPr>
      </w:pPr>
      <w:r w:rsidRPr="008B04CC">
        <w:rPr>
          <w:b/>
          <w:u w:val="single"/>
        </w:rPr>
        <w:lastRenderedPageBreak/>
        <w:t>National Support and Information</w:t>
      </w:r>
    </w:p>
    <w:p w14:paraId="022C355D" w14:textId="77777777" w:rsidR="00A5312E" w:rsidRDefault="00A5312E" w:rsidP="00A5312E">
      <w:pPr>
        <w:spacing w:after="0" w:line="240" w:lineRule="auto"/>
      </w:pPr>
    </w:p>
    <w:p w14:paraId="7507EBAD" w14:textId="0406BF33" w:rsidR="00D02F05" w:rsidRDefault="00D02F05" w:rsidP="00A5312E">
      <w:pPr>
        <w:spacing w:after="0" w:line="240" w:lineRule="auto"/>
        <w:jc w:val="both"/>
      </w:pPr>
      <w:r>
        <w:t xml:space="preserve">In </w:t>
      </w:r>
      <w:r w:rsidR="0057271D">
        <w:t xml:space="preserve">developing a response to planning for sustainability, childcare businesses </w:t>
      </w:r>
      <w:r w:rsidR="004701DD">
        <w:t xml:space="preserve">should investigate the range of support available that could complement the two primary sources of income generation, parental fees and </w:t>
      </w:r>
      <w:r w:rsidR="0057271D">
        <w:t>early years entitlements fu</w:t>
      </w:r>
      <w:r w:rsidR="004701DD">
        <w:t xml:space="preserve">nding for </w:t>
      </w:r>
      <w:proofErr w:type="gramStart"/>
      <w:r w:rsidR="004701DD">
        <w:t>2, 3 and 4 year olds</w:t>
      </w:r>
      <w:proofErr w:type="gramEnd"/>
      <w:r w:rsidR="0057271D">
        <w:t>.</w:t>
      </w:r>
    </w:p>
    <w:p w14:paraId="11E1AF18" w14:textId="1A06DB9A" w:rsidR="002C3380" w:rsidRDefault="002C3380" w:rsidP="00A5312E">
      <w:pPr>
        <w:spacing w:after="0" w:line="240" w:lineRule="auto"/>
        <w:jc w:val="both"/>
      </w:pPr>
    </w:p>
    <w:p w14:paraId="1423590C" w14:textId="66959DD8" w:rsidR="002C3380" w:rsidRDefault="002C3380" w:rsidP="00A5312E">
      <w:pPr>
        <w:spacing w:after="0" w:line="240" w:lineRule="auto"/>
        <w:jc w:val="both"/>
      </w:pPr>
      <w:r>
        <w:t xml:space="preserve">Continued support through early years entitlements funding for </w:t>
      </w:r>
      <w:proofErr w:type="gramStart"/>
      <w:r>
        <w:t>2, 3 and 4 year olds</w:t>
      </w:r>
      <w:proofErr w:type="gramEnd"/>
      <w:r>
        <w:t xml:space="preserve"> should be factored into your planning, reflected at realistic, occupancy building levels and SEND Inclusion Funding and DAF may also be further sources of income.</w:t>
      </w:r>
    </w:p>
    <w:p w14:paraId="4BE94336" w14:textId="77777777" w:rsidR="00D02F05" w:rsidRDefault="00D02F05" w:rsidP="00A5312E">
      <w:pPr>
        <w:spacing w:after="0" w:line="240" w:lineRule="auto"/>
        <w:jc w:val="both"/>
      </w:pPr>
    </w:p>
    <w:p w14:paraId="4EC446A8" w14:textId="5C9F509A" w:rsidR="0057271D" w:rsidRDefault="00607F47" w:rsidP="00A5312E">
      <w:pPr>
        <w:spacing w:after="0" w:line="240" w:lineRule="auto"/>
        <w:jc w:val="both"/>
      </w:pPr>
      <w:r>
        <w:t>Updated as guidance changes,</w:t>
      </w:r>
      <w:r w:rsidR="0057271D">
        <w:t xml:space="preserve"> the </w:t>
      </w:r>
      <w:r w:rsidR="0057271D" w:rsidRPr="00A32D3E">
        <w:rPr>
          <w:b/>
        </w:rPr>
        <w:t>Government Financial Support Checker</w:t>
      </w:r>
      <w:r w:rsidR="0057271D">
        <w:rPr>
          <w:b/>
        </w:rPr>
        <w:t>,</w:t>
      </w:r>
      <w:r w:rsidR="0057271D">
        <w:t xml:space="preserve"> </w:t>
      </w:r>
      <w:r>
        <w:t xml:space="preserve">is </w:t>
      </w:r>
      <w:r w:rsidR="0057271D" w:rsidRPr="00A32D3E">
        <w:rPr>
          <w:rFonts w:cstheme="minorHAnsi"/>
        </w:rPr>
        <w:t xml:space="preserve">an </w:t>
      </w:r>
      <w:r w:rsidR="0057271D">
        <w:rPr>
          <w:rFonts w:cstheme="minorHAnsi"/>
        </w:rPr>
        <w:t xml:space="preserve">online questionnaire tailored to individual </w:t>
      </w:r>
      <w:r w:rsidR="0057271D" w:rsidRPr="00A32D3E">
        <w:rPr>
          <w:rFonts w:cstheme="minorHAnsi"/>
        </w:rPr>
        <w:t xml:space="preserve">business </w:t>
      </w:r>
      <w:r w:rsidR="0057271D">
        <w:rPr>
          <w:rFonts w:cstheme="minorHAnsi"/>
        </w:rPr>
        <w:t xml:space="preserve">circumstances </w:t>
      </w:r>
      <w:r>
        <w:rPr>
          <w:rFonts w:cstheme="minorHAnsi"/>
        </w:rPr>
        <w:t xml:space="preserve">to identify </w:t>
      </w:r>
      <w:r w:rsidR="0057271D">
        <w:rPr>
          <w:rFonts w:cstheme="minorHAnsi"/>
        </w:rPr>
        <w:t>the support available</w:t>
      </w:r>
      <w:r w:rsidR="0057271D" w:rsidRPr="00A32D3E">
        <w:rPr>
          <w:rFonts w:cstheme="minorHAnsi"/>
        </w:rPr>
        <w:t xml:space="preserve">.  </w:t>
      </w:r>
      <w:r w:rsidR="0057271D" w:rsidRPr="00A32D3E">
        <w:t xml:space="preserve">This </w:t>
      </w:r>
      <w:r>
        <w:t>may include</w:t>
      </w:r>
      <w:r w:rsidR="0057271D" w:rsidRPr="00A32D3E">
        <w:t xml:space="preserve"> deferring VAT payments and Income Tax Self Assessments, repayment holidays on loans, mortgages and business rates holidays, the Small Business Grant Scheme and the Sel</w:t>
      </w:r>
      <w:r>
        <w:t xml:space="preserve">f Employed Income Support Scheme and </w:t>
      </w:r>
      <w:r w:rsidR="0057271D" w:rsidRPr="008B04CC">
        <w:rPr>
          <w:rFonts w:cstheme="minorHAnsi"/>
        </w:rPr>
        <w:t xml:space="preserve">can be accessed at </w:t>
      </w:r>
      <w:hyperlink r:id="rId12" w:history="1">
        <w:r w:rsidR="005702E1">
          <w:rPr>
            <w:rStyle w:val="Hyperlink"/>
            <w:rFonts w:cstheme="minorHAnsi"/>
            <w:lang w:val="en-US"/>
          </w:rPr>
          <w:t>at this link.</w:t>
        </w:r>
      </w:hyperlink>
      <w:r w:rsidR="0057271D">
        <w:t xml:space="preserve"> </w:t>
      </w:r>
    </w:p>
    <w:p w14:paraId="2EB427F7" w14:textId="77777777" w:rsidR="00A5312E" w:rsidRPr="00F46B3E" w:rsidRDefault="00A5312E" w:rsidP="00A5312E">
      <w:pPr>
        <w:spacing w:after="0" w:line="240" w:lineRule="auto"/>
        <w:jc w:val="both"/>
      </w:pPr>
    </w:p>
    <w:p w14:paraId="02EB6DC5" w14:textId="05305BAA" w:rsidR="002C3380" w:rsidRDefault="00A32D3E" w:rsidP="00A5312E">
      <w:pPr>
        <w:spacing w:after="0" w:line="240" w:lineRule="auto"/>
        <w:jc w:val="both"/>
      </w:pPr>
      <w:r w:rsidRPr="00A32D3E">
        <w:rPr>
          <w:b/>
        </w:rPr>
        <w:t>ACAS</w:t>
      </w:r>
      <w:r w:rsidRPr="00A32D3E">
        <w:t xml:space="preserve"> are a national organisation providing guidance on a range of information for employers and employees in relation to working safely</w:t>
      </w:r>
      <w:r w:rsidR="00B00906">
        <w:t>.  R</w:t>
      </w:r>
      <w:r w:rsidRPr="00A32D3E">
        <w:t xml:space="preserve">esources can be accessed </w:t>
      </w:r>
      <w:hyperlink r:id="rId13" w:history="1">
        <w:r w:rsidR="005702E1">
          <w:rPr>
            <w:color w:val="0000FF"/>
            <w:u w:val="single"/>
          </w:rPr>
          <w:t>here</w:t>
        </w:r>
      </w:hyperlink>
    </w:p>
    <w:p w14:paraId="279682DC" w14:textId="77777777" w:rsidR="00894400" w:rsidRDefault="00894400" w:rsidP="00A5312E">
      <w:pPr>
        <w:spacing w:after="0" w:line="240" w:lineRule="auto"/>
        <w:jc w:val="both"/>
      </w:pPr>
    </w:p>
    <w:p w14:paraId="54270265" w14:textId="77777777" w:rsidR="00894400" w:rsidRPr="00E301AF" w:rsidRDefault="00894400" w:rsidP="00A5312E">
      <w:pPr>
        <w:spacing w:after="0" w:line="240" w:lineRule="auto"/>
        <w:jc w:val="both"/>
        <w:rPr>
          <w:b/>
          <w:u w:val="single"/>
        </w:rPr>
      </w:pPr>
      <w:r w:rsidRPr="00E301AF">
        <w:rPr>
          <w:b/>
          <w:u w:val="single"/>
        </w:rPr>
        <w:t xml:space="preserve">Local Support and Information </w:t>
      </w:r>
    </w:p>
    <w:p w14:paraId="7793B9AD" w14:textId="77777777" w:rsidR="008D2774" w:rsidRDefault="008D2774" w:rsidP="00A5312E">
      <w:pPr>
        <w:spacing w:after="0" w:line="240" w:lineRule="auto"/>
      </w:pPr>
    </w:p>
    <w:p w14:paraId="79470BA5" w14:textId="3B0A7EDC" w:rsidR="00FB6112" w:rsidRDefault="002A2392" w:rsidP="002A2392">
      <w:pPr>
        <w:spacing w:after="0" w:line="240" w:lineRule="auto"/>
        <w:jc w:val="both"/>
      </w:pPr>
      <w:r>
        <w:t xml:space="preserve">The first port of call for childcare providers in Nottingham City with the Early Years Team should be the providers EYFS Support Worker, but updates </w:t>
      </w:r>
      <w:r w:rsidR="002C3380">
        <w:t xml:space="preserve">on key issues </w:t>
      </w:r>
      <w:r>
        <w:t xml:space="preserve">are also provided by email and on the Early Years Website.  </w:t>
      </w:r>
    </w:p>
    <w:p w14:paraId="126A03E0" w14:textId="77777777" w:rsidR="009F6F07" w:rsidRDefault="009F6F07" w:rsidP="00A5312E">
      <w:pPr>
        <w:spacing w:after="0" w:line="240" w:lineRule="auto"/>
        <w:jc w:val="both"/>
        <w:rPr>
          <w:b/>
          <w:u w:val="single"/>
        </w:rPr>
      </w:pPr>
    </w:p>
    <w:p w14:paraId="08236DD6" w14:textId="44247522" w:rsidR="009F6F07" w:rsidRPr="009F6F07" w:rsidRDefault="002C3380" w:rsidP="009F6F07">
      <w:pPr>
        <w:spacing w:after="0" w:line="240" w:lineRule="auto"/>
      </w:pPr>
      <w:r>
        <w:t>Further i</w:t>
      </w:r>
      <w:r w:rsidR="009F6F07" w:rsidRPr="009F6F07">
        <w:t xml:space="preserve">nformation and </w:t>
      </w:r>
      <w:r w:rsidR="009F6F07">
        <w:t>r</w:t>
      </w:r>
      <w:r w:rsidR="009F6F07" w:rsidRPr="009F6F07">
        <w:t xml:space="preserve">esources </w:t>
      </w:r>
      <w:r w:rsidR="00197CAA">
        <w:t xml:space="preserve">relating to starting and running a childcare business </w:t>
      </w:r>
      <w:r w:rsidR="009F6F07" w:rsidRPr="009F6F07">
        <w:t xml:space="preserve">can be found </w:t>
      </w:r>
      <w:r w:rsidR="009F6F07">
        <w:t xml:space="preserve">on our website </w:t>
      </w:r>
      <w:hyperlink r:id="rId14" w:history="1">
        <w:r w:rsidR="00197CAA" w:rsidRPr="00717E04">
          <w:rPr>
            <w:rStyle w:val="Hyperlink"/>
          </w:rPr>
          <w:t>www.nottinghamcity.gov.uk/earlyyears/</w:t>
        </w:r>
      </w:hyperlink>
    </w:p>
    <w:p w14:paraId="52396CD4" w14:textId="77777777" w:rsidR="00A5312E" w:rsidRPr="009F6F07" w:rsidRDefault="005C7BBA" w:rsidP="00A5312E">
      <w:pPr>
        <w:spacing w:after="0" w:line="240" w:lineRule="auto"/>
        <w:jc w:val="both"/>
      </w:pPr>
      <w:r>
        <w:rPr>
          <w:noProof/>
          <w:lang w:eastAsia="en-GB"/>
        </w:rPr>
        <mc:AlternateContent>
          <mc:Choice Requires="wps">
            <w:drawing>
              <wp:anchor distT="0" distB="0" distL="114300" distR="114300" simplePos="0" relativeHeight="251664384" behindDoc="0" locked="0" layoutInCell="1" allowOverlap="1" wp14:anchorId="7ABABA50" wp14:editId="688A90D6">
                <wp:simplePos x="0" y="0"/>
                <wp:positionH relativeFrom="column">
                  <wp:posOffset>4786685</wp:posOffset>
                </wp:positionH>
                <wp:positionV relativeFrom="paragraph">
                  <wp:posOffset>4761147</wp:posOffset>
                </wp:positionV>
                <wp:extent cx="1280160" cy="445273"/>
                <wp:effectExtent l="0" t="0" r="0" b="0"/>
                <wp:wrapNone/>
                <wp:docPr id="9" name="Text Box 9"/>
                <wp:cNvGraphicFramePr/>
                <a:graphic xmlns:a="http://schemas.openxmlformats.org/drawingml/2006/main">
                  <a:graphicData uri="http://schemas.microsoft.com/office/word/2010/wordprocessingShape">
                    <wps:wsp>
                      <wps:cNvSpPr txBox="1"/>
                      <wps:spPr>
                        <a:xfrm>
                          <a:off x="0" y="0"/>
                          <a:ext cx="1280160" cy="445273"/>
                        </a:xfrm>
                        <a:prstGeom prst="rect">
                          <a:avLst/>
                        </a:prstGeom>
                        <a:solidFill>
                          <a:schemeClr val="lt1"/>
                        </a:solidFill>
                        <a:ln w="6350">
                          <a:noFill/>
                        </a:ln>
                      </wps:spPr>
                      <wps:txbx>
                        <w:txbxContent>
                          <w:p w14:paraId="00F3E1B5" w14:textId="77777777" w:rsidR="005C7BBA" w:rsidRDefault="005C7BBA">
                            <w:r>
                              <w:rPr>
                                <w:noProof/>
                                <w:lang w:eastAsia="en-GB"/>
                              </w:rPr>
                              <w:drawing>
                                <wp:inline distT="0" distB="0" distL="0" distR="0" wp14:anchorId="36924580" wp14:editId="24810F4D">
                                  <wp:extent cx="1090930" cy="354820"/>
                                  <wp:effectExtent l="0" t="0" r="0" b="7620"/>
                                  <wp:docPr id="8" name="Picture 8" descr="Nottingham City Couni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ic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0930" cy="35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ABA50" id="Text Box 9" o:spid="_x0000_s1029" type="#_x0000_t202" style="position:absolute;left:0;text-align:left;margin-left:376.9pt;margin-top:374.9pt;width:100.8pt;height:3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tLwIAAFs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" fillcolor="white [3201]" stroked="f" strokeweight=".5pt">
                <v:textbox>
                  <w:txbxContent>
                    <w:p w14:paraId="00F3E1B5" w14:textId="77777777" w:rsidR="005C7BBA" w:rsidRDefault="005C7BBA">
                      <w:r>
                        <w:rPr>
                          <w:noProof/>
                          <w:lang w:eastAsia="en-GB"/>
                        </w:rPr>
                        <w:drawing>
                          <wp:inline distT="0" distB="0" distL="0" distR="0" wp14:anchorId="36924580" wp14:editId="24810F4D">
                            <wp:extent cx="1090930" cy="354820"/>
                            <wp:effectExtent l="0" t="0" r="0" b="7620"/>
                            <wp:docPr id="8" name="Picture 8" descr="Nottingham City Couni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ic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0930" cy="354820"/>
                                    </a:xfrm>
                                    <a:prstGeom prst="rect">
                                      <a:avLst/>
                                    </a:prstGeom>
                                    <a:noFill/>
                                    <a:ln>
                                      <a:noFill/>
                                    </a:ln>
                                  </pic:spPr>
                                </pic:pic>
                              </a:graphicData>
                            </a:graphic>
                          </wp:inline>
                        </w:drawing>
                      </w:r>
                    </w:p>
                  </w:txbxContent>
                </v:textbox>
              </v:shape>
            </w:pict>
          </mc:Fallback>
        </mc:AlternateContent>
      </w:r>
    </w:p>
    <w:sectPr w:rsidR="00A5312E" w:rsidRPr="009F6F07" w:rsidSect="005677AC">
      <w:pgSz w:w="11906" w:h="16838"/>
      <w:pgMar w:top="709" w:right="1440" w:bottom="993" w:left="1440" w:header="708" w:footer="41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6E3DC" w14:textId="77777777" w:rsidR="00802FC6" w:rsidRDefault="00802FC6" w:rsidP="005677AC">
      <w:pPr>
        <w:spacing w:after="0" w:line="240" w:lineRule="auto"/>
      </w:pPr>
      <w:r>
        <w:separator/>
      </w:r>
    </w:p>
  </w:endnote>
  <w:endnote w:type="continuationSeparator" w:id="0">
    <w:p w14:paraId="611969A5" w14:textId="77777777" w:rsidR="00802FC6" w:rsidRDefault="00802FC6" w:rsidP="00567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352A9" w14:textId="77777777" w:rsidR="00802FC6" w:rsidRDefault="00802FC6" w:rsidP="005677AC">
      <w:pPr>
        <w:spacing w:after="0" w:line="240" w:lineRule="auto"/>
      </w:pPr>
      <w:r>
        <w:separator/>
      </w:r>
    </w:p>
  </w:footnote>
  <w:footnote w:type="continuationSeparator" w:id="0">
    <w:p w14:paraId="2B1DBC30" w14:textId="77777777" w:rsidR="00802FC6" w:rsidRDefault="00802FC6" w:rsidP="005677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46599"/>
    <w:multiLevelType w:val="hybridMultilevel"/>
    <w:tmpl w:val="E192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E307D"/>
    <w:multiLevelType w:val="multilevel"/>
    <w:tmpl w:val="C756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FC5E75"/>
    <w:multiLevelType w:val="hybridMultilevel"/>
    <w:tmpl w:val="A588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6B16A5"/>
    <w:multiLevelType w:val="hybridMultilevel"/>
    <w:tmpl w:val="E800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3F00CE"/>
    <w:multiLevelType w:val="hybridMultilevel"/>
    <w:tmpl w:val="1A9AD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A1A382A"/>
    <w:multiLevelType w:val="multilevel"/>
    <w:tmpl w:val="ABFC501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4"/>
  </w:num>
  <w:num w:numId="5">
    <w:abstractNumId w:val="2"/>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74"/>
    <w:rsid w:val="000244EF"/>
    <w:rsid w:val="00043BC8"/>
    <w:rsid w:val="00051AE2"/>
    <w:rsid w:val="000957C9"/>
    <w:rsid w:val="00197CAA"/>
    <w:rsid w:val="001D1C06"/>
    <w:rsid w:val="001D23A1"/>
    <w:rsid w:val="001D7F83"/>
    <w:rsid w:val="002A2392"/>
    <w:rsid w:val="002C24AB"/>
    <w:rsid w:val="002C3380"/>
    <w:rsid w:val="003A32AF"/>
    <w:rsid w:val="004701DD"/>
    <w:rsid w:val="005563CF"/>
    <w:rsid w:val="005677AC"/>
    <w:rsid w:val="005702E1"/>
    <w:rsid w:val="00571E33"/>
    <w:rsid w:val="0057271D"/>
    <w:rsid w:val="005C7BBA"/>
    <w:rsid w:val="00607F47"/>
    <w:rsid w:val="006D638B"/>
    <w:rsid w:val="006D7F47"/>
    <w:rsid w:val="007968C0"/>
    <w:rsid w:val="007E3212"/>
    <w:rsid w:val="00802FC6"/>
    <w:rsid w:val="00894400"/>
    <w:rsid w:val="008B04CC"/>
    <w:rsid w:val="008D2774"/>
    <w:rsid w:val="008F196C"/>
    <w:rsid w:val="00922F14"/>
    <w:rsid w:val="009B34F3"/>
    <w:rsid w:val="009F6F07"/>
    <w:rsid w:val="00A30D45"/>
    <w:rsid w:val="00A32D3E"/>
    <w:rsid w:val="00A5312E"/>
    <w:rsid w:val="00A967B0"/>
    <w:rsid w:val="00AB4B39"/>
    <w:rsid w:val="00B00906"/>
    <w:rsid w:val="00BE3873"/>
    <w:rsid w:val="00C04ACD"/>
    <w:rsid w:val="00C45D2C"/>
    <w:rsid w:val="00CE5423"/>
    <w:rsid w:val="00D02F05"/>
    <w:rsid w:val="00D96BA4"/>
    <w:rsid w:val="00DB3FD5"/>
    <w:rsid w:val="00E301AF"/>
    <w:rsid w:val="00E85977"/>
    <w:rsid w:val="00F3325C"/>
    <w:rsid w:val="00FB6112"/>
    <w:rsid w:val="00FC4D0D"/>
    <w:rsid w:val="00FE0975"/>
    <w:rsid w:val="00FE4BBA"/>
    <w:rsid w:val="00FF4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FF684C"/>
  <w15:chartTrackingRefBased/>
  <w15:docId w15:val="{2309538B-E14B-4CAA-951F-962A5A69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774"/>
    <w:rPr>
      <w:color w:val="0563C1" w:themeColor="hyperlink"/>
      <w:u w:val="single"/>
    </w:rPr>
  </w:style>
  <w:style w:type="character" w:styleId="Emphasis">
    <w:name w:val="Emphasis"/>
    <w:basedOn w:val="DefaultParagraphFont"/>
    <w:uiPriority w:val="20"/>
    <w:qFormat/>
    <w:rsid w:val="008D2774"/>
    <w:rPr>
      <w:i/>
      <w:iCs/>
    </w:rPr>
  </w:style>
  <w:style w:type="character" w:styleId="Strong">
    <w:name w:val="Strong"/>
    <w:basedOn w:val="DefaultParagraphFont"/>
    <w:uiPriority w:val="22"/>
    <w:qFormat/>
    <w:rsid w:val="008D2774"/>
    <w:rPr>
      <w:b/>
      <w:bCs/>
    </w:rPr>
  </w:style>
  <w:style w:type="paragraph" w:styleId="NormalWeb">
    <w:name w:val="Normal (Web)"/>
    <w:basedOn w:val="Normal"/>
    <w:uiPriority w:val="99"/>
    <w:unhideWhenUsed/>
    <w:rsid w:val="008D2774"/>
    <w:pPr>
      <w:spacing w:after="300" w:line="384" w:lineRule="auto"/>
    </w:pPr>
    <w:rPr>
      <w:rFonts w:ascii="Times New Roman" w:eastAsia="Times New Roman" w:hAnsi="Times New Roman" w:cs="Times New Roman"/>
      <w:sz w:val="21"/>
      <w:szCs w:val="21"/>
      <w:lang w:eastAsia="en-GB"/>
    </w:rPr>
  </w:style>
  <w:style w:type="character" w:styleId="FollowedHyperlink">
    <w:name w:val="FollowedHyperlink"/>
    <w:basedOn w:val="DefaultParagraphFont"/>
    <w:uiPriority w:val="99"/>
    <w:semiHidden/>
    <w:unhideWhenUsed/>
    <w:rsid w:val="008B04CC"/>
    <w:rPr>
      <w:color w:val="954F72" w:themeColor="followedHyperlink"/>
      <w:u w:val="single"/>
    </w:rPr>
  </w:style>
  <w:style w:type="paragraph" w:styleId="ListParagraph">
    <w:name w:val="List Paragraph"/>
    <w:basedOn w:val="Normal"/>
    <w:uiPriority w:val="34"/>
    <w:qFormat/>
    <w:rsid w:val="007968C0"/>
    <w:pPr>
      <w:ind w:left="720"/>
      <w:contextualSpacing/>
    </w:pPr>
  </w:style>
  <w:style w:type="paragraph" w:styleId="Header">
    <w:name w:val="header"/>
    <w:basedOn w:val="Normal"/>
    <w:link w:val="HeaderChar"/>
    <w:uiPriority w:val="99"/>
    <w:unhideWhenUsed/>
    <w:rsid w:val="005677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7AC"/>
  </w:style>
  <w:style w:type="paragraph" w:styleId="Footer">
    <w:name w:val="footer"/>
    <w:basedOn w:val="Normal"/>
    <w:link w:val="FooterChar"/>
    <w:uiPriority w:val="99"/>
    <w:unhideWhenUsed/>
    <w:rsid w:val="005677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42003">
      <w:bodyDiv w:val="1"/>
      <w:marLeft w:val="0"/>
      <w:marRight w:val="0"/>
      <w:marTop w:val="0"/>
      <w:marBottom w:val="0"/>
      <w:divBdr>
        <w:top w:val="none" w:sz="0" w:space="0" w:color="auto"/>
        <w:left w:val="none" w:sz="0" w:space="0" w:color="auto"/>
        <w:bottom w:val="none" w:sz="0" w:space="0" w:color="auto"/>
        <w:right w:val="none" w:sz="0" w:space="0" w:color="auto"/>
      </w:divBdr>
      <w:divsChild>
        <w:div w:id="568804367">
          <w:marLeft w:val="0"/>
          <w:marRight w:val="0"/>
          <w:marTop w:val="1560"/>
          <w:marBottom w:val="0"/>
          <w:divBdr>
            <w:top w:val="none" w:sz="0" w:space="0" w:color="auto"/>
            <w:left w:val="none" w:sz="0" w:space="0" w:color="auto"/>
            <w:bottom w:val="none" w:sz="0" w:space="0" w:color="auto"/>
            <w:right w:val="none" w:sz="0" w:space="0" w:color="auto"/>
          </w:divBdr>
          <w:divsChild>
            <w:div w:id="1322462926">
              <w:marLeft w:val="0"/>
              <w:marRight w:val="0"/>
              <w:marTop w:val="0"/>
              <w:marBottom w:val="0"/>
              <w:divBdr>
                <w:top w:val="none" w:sz="0" w:space="0" w:color="auto"/>
                <w:left w:val="none" w:sz="0" w:space="0" w:color="auto"/>
                <w:bottom w:val="none" w:sz="0" w:space="0" w:color="auto"/>
                <w:right w:val="none" w:sz="0" w:space="0" w:color="auto"/>
              </w:divBdr>
              <w:divsChild>
                <w:div w:id="14034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33680">
      <w:bodyDiv w:val="1"/>
      <w:marLeft w:val="0"/>
      <w:marRight w:val="0"/>
      <w:marTop w:val="0"/>
      <w:marBottom w:val="0"/>
      <w:divBdr>
        <w:top w:val="none" w:sz="0" w:space="0" w:color="auto"/>
        <w:left w:val="none" w:sz="0" w:space="0" w:color="auto"/>
        <w:bottom w:val="none" w:sz="0" w:space="0" w:color="auto"/>
        <w:right w:val="none" w:sz="0" w:space="0" w:color="auto"/>
      </w:divBdr>
      <w:divsChild>
        <w:div w:id="960115386">
          <w:marLeft w:val="0"/>
          <w:marRight w:val="0"/>
          <w:marTop w:val="0"/>
          <w:marBottom w:val="0"/>
          <w:divBdr>
            <w:top w:val="none" w:sz="0" w:space="0" w:color="auto"/>
            <w:left w:val="none" w:sz="0" w:space="0" w:color="auto"/>
            <w:bottom w:val="none" w:sz="0" w:space="0" w:color="auto"/>
            <w:right w:val="none" w:sz="0" w:space="0" w:color="auto"/>
          </w:divBdr>
          <w:divsChild>
            <w:div w:id="1930305937">
              <w:marLeft w:val="0"/>
              <w:marRight w:val="0"/>
              <w:marTop w:val="0"/>
              <w:marBottom w:val="0"/>
              <w:divBdr>
                <w:top w:val="none" w:sz="0" w:space="0" w:color="auto"/>
                <w:left w:val="none" w:sz="0" w:space="0" w:color="auto"/>
                <w:bottom w:val="none" w:sz="0" w:space="0" w:color="auto"/>
                <w:right w:val="none" w:sz="0" w:space="0" w:color="auto"/>
              </w:divBdr>
              <w:divsChild>
                <w:div w:id="775754012">
                  <w:marLeft w:val="0"/>
                  <w:marRight w:val="0"/>
                  <w:marTop w:val="0"/>
                  <w:marBottom w:val="0"/>
                  <w:divBdr>
                    <w:top w:val="none" w:sz="0" w:space="0" w:color="auto"/>
                    <w:left w:val="none" w:sz="0" w:space="0" w:color="auto"/>
                    <w:bottom w:val="none" w:sz="0" w:space="0" w:color="auto"/>
                    <w:right w:val="none" w:sz="0" w:space="0" w:color="auto"/>
                  </w:divBdr>
                  <w:divsChild>
                    <w:div w:id="226958879">
                      <w:marLeft w:val="0"/>
                      <w:marRight w:val="0"/>
                      <w:marTop w:val="0"/>
                      <w:marBottom w:val="0"/>
                      <w:divBdr>
                        <w:top w:val="none" w:sz="0" w:space="0" w:color="auto"/>
                        <w:left w:val="none" w:sz="0" w:space="0" w:color="auto"/>
                        <w:bottom w:val="none" w:sz="0" w:space="0" w:color="auto"/>
                        <w:right w:val="none" w:sz="0" w:space="0" w:color="auto"/>
                      </w:divBdr>
                      <w:divsChild>
                        <w:div w:id="2146389545">
                          <w:marLeft w:val="0"/>
                          <w:marRight w:val="0"/>
                          <w:marTop w:val="0"/>
                          <w:marBottom w:val="0"/>
                          <w:divBdr>
                            <w:top w:val="none" w:sz="0" w:space="0" w:color="auto"/>
                            <w:left w:val="none" w:sz="0" w:space="0" w:color="auto"/>
                            <w:bottom w:val="none" w:sz="0" w:space="0" w:color="auto"/>
                            <w:right w:val="none" w:sz="0" w:space="0" w:color="auto"/>
                          </w:divBdr>
                          <w:divsChild>
                            <w:div w:id="17010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859455">
      <w:bodyDiv w:val="1"/>
      <w:marLeft w:val="0"/>
      <w:marRight w:val="0"/>
      <w:marTop w:val="0"/>
      <w:marBottom w:val="0"/>
      <w:divBdr>
        <w:top w:val="none" w:sz="0" w:space="0" w:color="auto"/>
        <w:left w:val="none" w:sz="0" w:space="0" w:color="auto"/>
        <w:bottom w:val="none" w:sz="0" w:space="0" w:color="auto"/>
        <w:right w:val="none" w:sz="0" w:space="0" w:color="auto"/>
      </w:divBdr>
      <w:divsChild>
        <w:div w:id="1723627753">
          <w:marLeft w:val="0"/>
          <w:marRight w:val="0"/>
          <w:marTop w:val="1560"/>
          <w:marBottom w:val="0"/>
          <w:divBdr>
            <w:top w:val="none" w:sz="0" w:space="0" w:color="auto"/>
            <w:left w:val="none" w:sz="0" w:space="0" w:color="auto"/>
            <w:bottom w:val="none" w:sz="0" w:space="0" w:color="auto"/>
            <w:right w:val="none" w:sz="0" w:space="0" w:color="auto"/>
          </w:divBdr>
          <w:divsChild>
            <w:div w:id="891696765">
              <w:marLeft w:val="0"/>
              <w:marRight w:val="0"/>
              <w:marTop w:val="0"/>
              <w:marBottom w:val="0"/>
              <w:divBdr>
                <w:top w:val="none" w:sz="0" w:space="0" w:color="auto"/>
                <w:left w:val="none" w:sz="0" w:space="0" w:color="auto"/>
                <w:bottom w:val="none" w:sz="0" w:space="0" w:color="auto"/>
                <w:right w:val="none" w:sz="0" w:space="0" w:color="auto"/>
              </w:divBdr>
              <w:divsChild>
                <w:div w:id="13969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872">
      <w:bodyDiv w:val="1"/>
      <w:marLeft w:val="0"/>
      <w:marRight w:val="0"/>
      <w:marTop w:val="0"/>
      <w:marBottom w:val="0"/>
      <w:divBdr>
        <w:top w:val="none" w:sz="0" w:space="0" w:color="auto"/>
        <w:left w:val="none" w:sz="0" w:space="0" w:color="auto"/>
        <w:bottom w:val="none" w:sz="0" w:space="0" w:color="auto"/>
        <w:right w:val="none" w:sz="0" w:space="0" w:color="auto"/>
      </w:divBdr>
    </w:div>
    <w:div w:id="1034501725">
      <w:bodyDiv w:val="1"/>
      <w:marLeft w:val="0"/>
      <w:marRight w:val="0"/>
      <w:marTop w:val="0"/>
      <w:marBottom w:val="0"/>
      <w:divBdr>
        <w:top w:val="none" w:sz="0" w:space="0" w:color="auto"/>
        <w:left w:val="none" w:sz="0" w:space="0" w:color="auto"/>
        <w:bottom w:val="none" w:sz="0" w:space="0" w:color="auto"/>
        <w:right w:val="none" w:sz="0" w:space="0" w:color="auto"/>
      </w:divBdr>
    </w:div>
    <w:div w:id="106687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cas.org.uk/coronaviru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v.uk/business-coronavirus-support-finder/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3.png@01D65A91.4E6E2F50"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cid:image002.png@01D65A91.4E6E2F50" TargetMode="External"/><Relationship Id="rId14" Type="http://schemas.openxmlformats.org/officeDocument/2006/relationships/hyperlink" Target="http://www.nottinghamcity.gov.uk/early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Crossley</dc:creator>
  <cp:keywords/>
  <dc:description/>
  <cp:lastModifiedBy>Katherine Crossley</cp:lastModifiedBy>
  <cp:revision>2</cp:revision>
  <dcterms:created xsi:type="dcterms:W3CDTF">2023-07-12T13:26:00Z</dcterms:created>
  <dcterms:modified xsi:type="dcterms:W3CDTF">2023-07-12T13:26:00Z</dcterms:modified>
</cp:coreProperties>
</file>