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2B6" w14:textId="0DB51D65" w:rsidR="00A60808" w:rsidRPr="00A60808" w:rsidRDefault="00A60808" w:rsidP="00A60808">
      <w:pPr>
        <w:jc w:val="center"/>
        <w:rPr>
          <w:sz w:val="72"/>
          <w:szCs w:val="72"/>
          <w:lang w:eastAsia="en-GB"/>
        </w:rPr>
      </w:pPr>
      <w:r w:rsidRPr="00A60808">
        <w:rPr>
          <w:sz w:val="72"/>
          <w:szCs w:val="72"/>
          <w:lang w:eastAsia="en-GB"/>
        </w:rPr>
        <w:t>Nottingham City Youth Justice Plan</w:t>
      </w:r>
    </w:p>
    <w:p w14:paraId="51DF43B7" w14:textId="2DCA53DC" w:rsidR="00A60808" w:rsidRDefault="00A60808" w:rsidP="00A60808">
      <w:pPr>
        <w:jc w:val="center"/>
        <w:rPr>
          <w:sz w:val="72"/>
          <w:szCs w:val="72"/>
          <w:lang w:eastAsia="en-GB"/>
        </w:rPr>
      </w:pPr>
      <w:r w:rsidRPr="00A60808">
        <w:rPr>
          <w:sz w:val="72"/>
          <w:szCs w:val="72"/>
          <w:lang w:eastAsia="en-GB"/>
        </w:rPr>
        <w:t>2023-24</w:t>
      </w:r>
    </w:p>
    <w:p w14:paraId="04EDB786" w14:textId="77777777" w:rsidR="00150F40" w:rsidRDefault="00150F40" w:rsidP="00150F40">
      <w:pPr>
        <w:pStyle w:val="NormalWeb"/>
      </w:pPr>
      <w:r>
        <w:rPr>
          <w:noProof/>
        </w:rPr>
        <w:drawing>
          <wp:anchor distT="0" distB="0" distL="114300" distR="114300" simplePos="0" relativeHeight="251658240" behindDoc="0" locked="0" layoutInCell="1" allowOverlap="1" wp14:anchorId="2EA63BE4" wp14:editId="700FD25F">
            <wp:simplePos x="0" y="0"/>
            <wp:positionH relativeFrom="column">
              <wp:posOffset>1805940</wp:posOffset>
            </wp:positionH>
            <wp:positionV relativeFrom="paragraph">
              <wp:posOffset>85725</wp:posOffset>
            </wp:positionV>
            <wp:extent cx="2094865" cy="1783080"/>
            <wp:effectExtent l="0" t="0" r="635" b="762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1783080"/>
                    </a:xfrm>
                    <a:prstGeom prst="rect">
                      <a:avLst/>
                    </a:prstGeom>
                    <a:noFill/>
                    <a:ln>
                      <a:noFill/>
                    </a:ln>
                  </pic:spPr>
                </pic:pic>
              </a:graphicData>
            </a:graphic>
          </wp:anchor>
        </w:drawing>
      </w:r>
    </w:p>
    <w:p w14:paraId="748EDAE2" w14:textId="11F1C94B" w:rsidR="00A60808" w:rsidRPr="00A60808" w:rsidRDefault="00A60808" w:rsidP="00A60808">
      <w:pPr>
        <w:rPr>
          <w:sz w:val="72"/>
          <w:szCs w:val="72"/>
          <w:lang w:eastAsia="en-GB"/>
        </w:rPr>
      </w:pPr>
    </w:p>
    <w:p w14:paraId="0EF034CE" w14:textId="77777777" w:rsidR="00A60808" w:rsidRDefault="0079185B" w:rsidP="00FB5B91">
      <w:pPr>
        <w:pStyle w:val="Heading1"/>
        <w:rPr>
          <w:lang w:eastAsia="en-GB"/>
        </w:rPr>
      </w:pPr>
      <w:r w:rsidRPr="00C53B1E">
        <w:rPr>
          <w:lang w:eastAsia="en-GB"/>
        </w:rPr>
        <w:t> </w:t>
      </w:r>
    </w:p>
    <w:p w14:paraId="021B2C23" w14:textId="77777777" w:rsidR="00150F40" w:rsidRDefault="00150F40">
      <w:pPr>
        <w:rPr>
          <w:noProof/>
          <w:lang w:eastAsia="en-GB"/>
        </w:rPr>
      </w:pPr>
    </w:p>
    <w:p w14:paraId="23CCD132" w14:textId="2A0673FC" w:rsidR="00150F40" w:rsidRDefault="00150F40">
      <w:pPr>
        <w:rPr>
          <w:noProof/>
          <w:lang w:eastAsia="en-GB"/>
        </w:rPr>
      </w:pPr>
    </w:p>
    <w:p w14:paraId="549C4C8F" w14:textId="0B31E4C4" w:rsidR="00150F40" w:rsidRDefault="00150F40">
      <w:pPr>
        <w:rPr>
          <w:noProof/>
          <w:lang w:eastAsia="en-GB"/>
        </w:rPr>
      </w:pPr>
    </w:p>
    <w:p w14:paraId="1421EC60" w14:textId="77777777" w:rsidR="00150F40" w:rsidRDefault="00150F40">
      <w:pPr>
        <w:rPr>
          <w:noProof/>
          <w:lang w:eastAsia="en-GB"/>
        </w:rPr>
      </w:pPr>
    </w:p>
    <w:p w14:paraId="50E2F239" w14:textId="6778E3EC" w:rsidR="00A60808" w:rsidRDefault="00150F40">
      <w:pPr>
        <w:rPr>
          <w:rFonts w:asciiTheme="majorHAnsi" w:eastAsiaTheme="majorEastAsia" w:hAnsiTheme="majorHAnsi" w:cstheme="majorBidi"/>
          <w:color w:val="2F5496" w:themeColor="accent1" w:themeShade="BF"/>
          <w:sz w:val="32"/>
          <w:szCs w:val="32"/>
          <w:lang w:eastAsia="en-GB"/>
        </w:rPr>
      </w:pPr>
      <w:r>
        <w:rPr>
          <w:noProof/>
          <w:lang w:eastAsia="en-GB"/>
        </w:rPr>
        <w:drawing>
          <wp:inline distT="0" distB="0" distL="0" distR="0" wp14:anchorId="2DCAF951" wp14:editId="4353F34C">
            <wp:extent cx="5730875" cy="263398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633980"/>
                    </a:xfrm>
                    <a:prstGeom prst="rect">
                      <a:avLst/>
                    </a:prstGeom>
                    <a:noFill/>
                  </pic:spPr>
                </pic:pic>
              </a:graphicData>
            </a:graphic>
          </wp:inline>
        </w:drawing>
      </w:r>
      <w:r w:rsidR="00A60808">
        <w:rPr>
          <w:lang w:eastAsia="en-GB"/>
        </w:rPr>
        <w:br w:type="page"/>
      </w:r>
    </w:p>
    <w:sdt>
      <w:sdtPr>
        <w:rPr>
          <w:rFonts w:asciiTheme="minorHAnsi" w:eastAsiaTheme="minorHAnsi" w:hAnsiTheme="minorHAnsi" w:cstheme="minorBidi"/>
          <w:color w:val="auto"/>
          <w:sz w:val="22"/>
          <w:szCs w:val="22"/>
          <w:lang w:val="en-GB"/>
        </w:rPr>
        <w:id w:val="-1279409475"/>
        <w:docPartObj>
          <w:docPartGallery w:val="Table of Contents"/>
          <w:docPartUnique/>
        </w:docPartObj>
      </w:sdtPr>
      <w:sdtEndPr>
        <w:rPr>
          <w:b/>
          <w:bCs/>
          <w:noProof/>
        </w:rPr>
      </w:sdtEndPr>
      <w:sdtContent>
        <w:p w14:paraId="6FE8895B" w14:textId="74AA34C6" w:rsidR="00A60808" w:rsidRDefault="00A60808">
          <w:pPr>
            <w:pStyle w:val="TOCHeading"/>
          </w:pPr>
          <w:r>
            <w:t>Contents</w:t>
          </w:r>
        </w:p>
        <w:p w14:paraId="27A82BED" w14:textId="015F8F79" w:rsidR="00A60808" w:rsidRDefault="00A6080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6206872" w:history="1">
            <w:r w:rsidRPr="0085742E">
              <w:rPr>
                <w:rStyle w:val="Hyperlink"/>
                <w:noProof/>
                <w:lang w:eastAsia="en-GB"/>
              </w:rPr>
              <w:t>Introduction, vision, and strategy</w:t>
            </w:r>
            <w:r>
              <w:rPr>
                <w:noProof/>
                <w:webHidden/>
              </w:rPr>
              <w:tab/>
            </w:r>
            <w:r>
              <w:rPr>
                <w:noProof/>
                <w:webHidden/>
              </w:rPr>
              <w:fldChar w:fldCharType="begin"/>
            </w:r>
            <w:r>
              <w:rPr>
                <w:noProof/>
                <w:webHidden/>
              </w:rPr>
              <w:instrText xml:space="preserve"> PAGEREF _Toc156206872 \h </w:instrText>
            </w:r>
            <w:r>
              <w:rPr>
                <w:noProof/>
                <w:webHidden/>
              </w:rPr>
            </w:r>
            <w:r>
              <w:rPr>
                <w:noProof/>
                <w:webHidden/>
              </w:rPr>
              <w:fldChar w:fldCharType="separate"/>
            </w:r>
            <w:r>
              <w:rPr>
                <w:noProof/>
                <w:webHidden/>
              </w:rPr>
              <w:t>3</w:t>
            </w:r>
            <w:r>
              <w:rPr>
                <w:noProof/>
                <w:webHidden/>
              </w:rPr>
              <w:fldChar w:fldCharType="end"/>
            </w:r>
          </w:hyperlink>
        </w:p>
        <w:p w14:paraId="79A9DDC3" w14:textId="5FBA448F" w:rsidR="00A60808" w:rsidRDefault="000B3C6A">
          <w:pPr>
            <w:pStyle w:val="TOC1"/>
            <w:tabs>
              <w:tab w:val="right" w:leader="dot" w:pos="9016"/>
            </w:tabs>
            <w:rPr>
              <w:rFonts w:eastAsiaTheme="minorEastAsia"/>
              <w:noProof/>
              <w:lang w:eastAsia="en-GB"/>
            </w:rPr>
          </w:pPr>
          <w:hyperlink w:anchor="_Toc156206873" w:history="1">
            <w:r w:rsidR="00A60808" w:rsidRPr="0085742E">
              <w:rPr>
                <w:rStyle w:val="Hyperlink"/>
                <w:noProof/>
              </w:rPr>
              <w:t>Local Context</w:t>
            </w:r>
            <w:r w:rsidR="00A60808">
              <w:rPr>
                <w:noProof/>
                <w:webHidden/>
              </w:rPr>
              <w:tab/>
            </w:r>
            <w:r w:rsidR="00A60808">
              <w:rPr>
                <w:noProof/>
                <w:webHidden/>
              </w:rPr>
              <w:fldChar w:fldCharType="begin"/>
            </w:r>
            <w:r w:rsidR="00A60808">
              <w:rPr>
                <w:noProof/>
                <w:webHidden/>
              </w:rPr>
              <w:instrText xml:space="preserve"> PAGEREF _Toc156206873 \h </w:instrText>
            </w:r>
            <w:r w:rsidR="00A60808">
              <w:rPr>
                <w:noProof/>
                <w:webHidden/>
              </w:rPr>
            </w:r>
            <w:r w:rsidR="00A60808">
              <w:rPr>
                <w:noProof/>
                <w:webHidden/>
              </w:rPr>
              <w:fldChar w:fldCharType="separate"/>
            </w:r>
            <w:r w:rsidR="00A60808">
              <w:rPr>
                <w:noProof/>
                <w:webHidden/>
              </w:rPr>
              <w:t>3</w:t>
            </w:r>
            <w:r w:rsidR="00A60808">
              <w:rPr>
                <w:noProof/>
                <w:webHidden/>
              </w:rPr>
              <w:fldChar w:fldCharType="end"/>
            </w:r>
          </w:hyperlink>
        </w:p>
        <w:p w14:paraId="04AD8AAA" w14:textId="7A28D513" w:rsidR="00A60808" w:rsidRDefault="000B3C6A">
          <w:pPr>
            <w:pStyle w:val="TOC1"/>
            <w:tabs>
              <w:tab w:val="right" w:leader="dot" w:pos="9016"/>
            </w:tabs>
            <w:rPr>
              <w:rFonts w:eastAsiaTheme="minorEastAsia"/>
              <w:noProof/>
              <w:lang w:eastAsia="en-GB"/>
            </w:rPr>
          </w:pPr>
          <w:hyperlink w:anchor="_Toc156206874" w:history="1">
            <w:r w:rsidR="00A60808" w:rsidRPr="0085742E">
              <w:rPr>
                <w:rStyle w:val="Hyperlink"/>
                <w:noProof/>
              </w:rPr>
              <w:t>Child First &amp; Voice of the child</w:t>
            </w:r>
            <w:r w:rsidR="00A60808">
              <w:rPr>
                <w:noProof/>
                <w:webHidden/>
              </w:rPr>
              <w:tab/>
            </w:r>
            <w:r w:rsidR="00A60808">
              <w:rPr>
                <w:noProof/>
                <w:webHidden/>
              </w:rPr>
              <w:fldChar w:fldCharType="begin"/>
            </w:r>
            <w:r w:rsidR="00A60808">
              <w:rPr>
                <w:noProof/>
                <w:webHidden/>
              </w:rPr>
              <w:instrText xml:space="preserve"> PAGEREF _Toc156206874 \h </w:instrText>
            </w:r>
            <w:r w:rsidR="00A60808">
              <w:rPr>
                <w:noProof/>
                <w:webHidden/>
              </w:rPr>
            </w:r>
            <w:r w:rsidR="00A60808">
              <w:rPr>
                <w:noProof/>
                <w:webHidden/>
              </w:rPr>
              <w:fldChar w:fldCharType="separate"/>
            </w:r>
            <w:r w:rsidR="00A60808">
              <w:rPr>
                <w:noProof/>
                <w:webHidden/>
              </w:rPr>
              <w:t>4</w:t>
            </w:r>
            <w:r w:rsidR="00A60808">
              <w:rPr>
                <w:noProof/>
                <w:webHidden/>
              </w:rPr>
              <w:fldChar w:fldCharType="end"/>
            </w:r>
          </w:hyperlink>
        </w:p>
        <w:p w14:paraId="10AD42F3" w14:textId="32425D1F" w:rsidR="00A60808" w:rsidRDefault="000B3C6A">
          <w:pPr>
            <w:pStyle w:val="TOC1"/>
            <w:tabs>
              <w:tab w:val="right" w:leader="dot" w:pos="9016"/>
            </w:tabs>
            <w:rPr>
              <w:rFonts w:eastAsiaTheme="minorEastAsia"/>
              <w:noProof/>
              <w:lang w:eastAsia="en-GB"/>
            </w:rPr>
          </w:pPr>
          <w:hyperlink w:anchor="_Toc156206875" w:history="1">
            <w:r w:rsidR="00A60808" w:rsidRPr="0085742E">
              <w:rPr>
                <w:rStyle w:val="Hyperlink"/>
                <w:noProof/>
              </w:rPr>
              <w:t>Governance, leadership, and partnership arrangements</w:t>
            </w:r>
            <w:r w:rsidR="00A60808">
              <w:rPr>
                <w:noProof/>
                <w:webHidden/>
              </w:rPr>
              <w:tab/>
            </w:r>
            <w:r w:rsidR="00A60808">
              <w:rPr>
                <w:noProof/>
                <w:webHidden/>
              </w:rPr>
              <w:fldChar w:fldCharType="begin"/>
            </w:r>
            <w:r w:rsidR="00A60808">
              <w:rPr>
                <w:noProof/>
                <w:webHidden/>
              </w:rPr>
              <w:instrText xml:space="preserve"> PAGEREF _Toc156206875 \h </w:instrText>
            </w:r>
            <w:r w:rsidR="00A60808">
              <w:rPr>
                <w:noProof/>
                <w:webHidden/>
              </w:rPr>
            </w:r>
            <w:r w:rsidR="00A60808">
              <w:rPr>
                <w:noProof/>
                <w:webHidden/>
              </w:rPr>
              <w:fldChar w:fldCharType="separate"/>
            </w:r>
            <w:r w:rsidR="00A60808">
              <w:rPr>
                <w:noProof/>
                <w:webHidden/>
              </w:rPr>
              <w:t>7</w:t>
            </w:r>
            <w:r w:rsidR="00A60808">
              <w:rPr>
                <w:noProof/>
                <w:webHidden/>
              </w:rPr>
              <w:fldChar w:fldCharType="end"/>
            </w:r>
          </w:hyperlink>
        </w:p>
        <w:p w14:paraId="61EE17AD" w14:textId="543EA098" w:rsidR="00A60808" w:rsidRDefault="000B3C6A">
          <w:pPr>
            <w:pStyle w:val="TOC1"/>
            <w:tabs>
              <w:tab w:val="right" w:leader="dot" w:pos="9016"/>
            </w:tabs>
            <w:rPr>
              <w:rFonts w:eastAsiaTheme="minorEastAsia"/>
              <w:noProof/>
              <w:lang w:eastAsia="en-GB"/>
            </w:rPr>
          </w:pPr>
          <w:hyperlink w:anchor="_Toc156206876" w:history="1">
            <w:r w:rsidR="00A60808" w:rsidRPr="0085742E">
              <w:rPr>
                <w:rStyle w:val="Hyperlink"/>
                <w:noProof/>
              </w:rPr>
              <w:t>Board development</w:t>
            </w:r>
            <w:r w:rsidR="00A60808">
              <w:rPr>
                <w:noProof/>
                <w:webHidden/>
              </w:rPr>
              <w:tab/>
            </w:r>
            <w:r w:rsidR="00A60808">
              <w:rPr>
                <w:noProof/>
                <w:webHidden/>
              </w:rPr>
              <w:fldChar w:fldCharType="begin"/>
            </w:r>
            <w:r w:rsidR="00A60808">
              <w:rPr>
                <w:noProof/>
                <w:webHidden/>
              </w:rPr>
              <w:instrText xml:space="preserve"> PAGEREF _Toc156206876 \h </w:instrText>
            </w:r>
            <w:r w:rsidR="00A60808">
              <w:rPr>
                <w:noProof/>
                <w:webHidden/>
              </w:rPr>
            </w:r>
            <w:r w:rsidR="00A60808">
              <w:rPr>
                <w:noProof/>
                <w:webHidden/>
              </w:rPr>
              <w:fldChar w:fldCharType="separate"/>
            </w:r>
            <w:r w:rsidR="00A60808">
              <w:rPr>
                <w:noProof/>
                <w:webHidden/>
              </w:rPr>
              <w:t>8</w:t>
            </w:r>
            <w:r w:rsidR="00A60808">
              <w:rPr>
                <w:noProof/>
                <w:webHidden/>
              </w:rPr>
              <w:fldChar w:fldCharType="end"/>
            </w:r>
          </w:hyperlink>
        </w:p>
        <w:p w14:paraId="060F38EB" w14:textId="4973DF98" w:rsidR="00A60808" w:rsidRDefault="000B3C6A">
          <w:pPr>
            <w:pStyle w:val="TOC1"/>
            <w:tabs>
              <w:tab w:val="right" w:leader="dot" w:pos="9016"/>
            </w:tabs>
            <w:rPr>
              <w:rFonts w:eastAsiaTheme="minorEastAsia"/>
              <w:noProof/>
              <w:lang w:eastAsia="en-GB"/>
            </w:rPr>
          </w:pPr>
          <w:hyperlink w:anchor="_Toc156206877" w:history="1">
            <w:r w:rsidR="00A60808" w:rsidRPr="0085742E">
              <w:rPr>
                <w:rStyle w:val="Hyperlink"/>
                <w:noProof/>
              </w:rPr>
              <w:t>Progress on previous plan</w:t>
            </w:r>
            <w:r w:rsidR="00A60808">
              <w:rPr>
                <w:noProof/>
                <w:webHidden/>
              </w:rPr>
              <w:tab/>
            </w:r>
            <w:r w:rsidR="00A60808">
              <w:rPr>
                <w:noProof/>
                <w:webHidden/>
              </w:rPr>
              <w:fldChar w:fldCharType="begin"/>
            </w:r>
            <w:r w:rsidR="00A60808">
              <w:rPr>
                <w:noProof/>
                <w:webHidden/>
              </w:rPr>
              <w:instrText xml:space="preserve"> PAGEREF _Toc156206877 \h </w:instrText>
            </w:r>
            <w:r w:rsidR="00A60808">
              <w:rPr>
                <w:noProof/>
                <w:webHidden/>
              </w:rPr>
            </w:r>
            <w:r w:rsidR="00A60808">
              <w:rPr>
                <w:noProof/>
                <w:webHidden/>
              </w:rPr>
              <w:fldChar w:fldCharType="separate"/>
            </w:r>
            <w:r w:rsidR="00A60808">
              <w:rPr>
                <w:noProof/>
                <w:webHidden/>
              </w:rPr>
              <w:t>8</w:t>
            </w:r>
            <w:r w:rsidR="00A60808">
              <w:rPr>
                <w:noProof/>
                <w:webHidden/>
              </w:rPr>
              <w:fldChar w:fldCharType="end"/>
            </w:r>
          </w:hyperlink>
        </w:p>
        <w:p w14:paraId="11074686" w14:textId="0FEF5C18" w:rsidR="00A60808" w:rsidRDefault="000B3C6A">
          <w:pPr>
            <w:pStyle w:val="TOC1"/>
            <w:tabs>
              <w:tab w:val="right" w:leader="dot" w:pos="9016"/>
            </w:tabs>
            <w:rPr>
              <w:rFonts w:eastAsiaTheme="minorEastAsia"/>
              <w:noProof/>
              <w:lang w:eastAsia="en-GB"/>
            </w:rPr>
          </w:pPr>
          <w:hyperlink w:anchor="_Toc156206878" w:history="1">
            <w:r w:rsidR="00A60808" w:rsidRPr="0085742E">
              <w:rPr>
                <w:rStyle w:val="Hyperlink"/>
                <w:noProof/>
              </w:rPr>
              <w:t>Resources and services</w:t>
            </w:r>
            <w:r w:rsidR="00A60808">
              <w:rPr>
                <w:noProof/>
                <w:webHidden/>
              </w:rPr>
              <w:tab/>
            </w:r>
            <w:r w:rsidR="00A60808">
              <w:rPr>
                <w:noProof/>
                <w:webHidden/>
              </w:rPr>
              <w:fldChar w:fldCharType="begin"/>
            </w:r>
            <w:r w:rsidR="00A60808">
              <w:rPr>
                <w:noProof/>
                <w:webHidden/>
              </w:rPr>
              <w:instrText xml:space="preserve"> PAGEREF _Toc156206878 \h </w:instrText>
            </w:r>
            <w:r w:rsidR="00A60808">
              <w:rPr>
                <w:noProof/>
                <w:webHidden/>
              </w:rPr>
            </w:r>
            <w:r w:rsidR="00A60808">
              <w:rPr>
                <w:noProof/>
                <w:webHidden/>
              </w:rPr>
              <w:fldChar w:fldCharType="separate"/>
            </w:r>
            <w:r w:rsidR="00A60808">
              <w:rPr>
                <w:noProof/>
                <w:webHidden/>
              </w:rPr>
              <w:t>9</w:t>
            </w:r>
            <w:r w:rsidR="00A60808">
              <w:rPr>
                <w:noProof/>
                <w:webHidden/>
              </w:rPr>
              <w:fldChar w:fldCharType="end"/>
            </w:r>
          </w:hyperlink>
        </w:p>
        <w:p w14:paraId="5F292A2A" w14:textId="2D6C90E6" w:rsidR="00A60808" w:rsidRDefault="000B3C6A">
          <w:pPr>
            <w:pStyle w:val="TOC1"/>
            <w:tabs>
              <w:tab w:val="right" w:leader="dot" w:pos="9016"/>
            </w:tabs>
            <w:rPr>
              <w:rFonts w:eastAsiaTheme="minorEastAsia"/>
              <w:noProof/>
              <w:lang w:eastAsia="en-GB"/>
            </w:rPr>
          </w:pPr>
          <w:hyperlink w:anchor="_Toc156206879" w:history="1">
            <w:r w:rsidR="00A60808" w:rsidRPr="0085742E">
              <w:rPr>
                <w:rStyle w:val="Hyperlink"/>
                <w:noProof/>
              </w:rPr>
              <w:t>Performance</w:t>
            </w:r>
            <w:r w:rsidR="00A60808">
              <w:rPr>
                <w:noProof/>
                <w:webHidden/>
              </w:rPr>
              <w:tab/>
            </w:r>
            <w:r w:rsidR="00A60808">
              <w:rPr>
                <w:noProof/>
                <w:webHidden/>
              </w:rPr>
              <w:fldChar w:fldCharType="begin"/>
            </w:r>
            <w:r w:rsidR="00A60808">
              <w:rPr>
                <w:noProof/>
                <w:webHidden/>
              </w:rPr>
              <w:instrText xml:space="preserve"> PAGEREF _Toc156206879 \h </w:instrText>
            </w:r>
            <w:r w:rsidR="00A60808">
              <w:rPr>
                <w:noProof/>
                <w:webHidden/>
              </w:rPr>
            </w:r>
            <w:r w:rsidR="00A60808">
              <w:rPr>
                <w:noProof/>
                <w:webHidden/>
              </w:rPr>
              <w:fldChar w:fldCharType="separate"/>
            </w:r>
            <w:r w:rsidR="00A60808">
              <w:rPr>
                <w:noProof/>
                <w:webHidden/>
              </w:rPr>
              <w:t>10</w:t>
            </w:r>
            <w:r w:rsidR="00A60808">
              <w:rPr>
                <w:noProof/>
                <w:webHidden/>
              </w:rPr>
              <w:fldChar w:fldCharType="end"/>
            </w:r>
          </w:hyperlink>
        </w:p>
        <w:p w14:paraId="494382E5" w14:textId="014700F4" w:rsidR="00A60808" w:rsidRDefault="000B3C6A">
          <w:pPr>
            <w:pStyle w:val="TOC1"/>
            <w:tabs>
              <w:tab w:val="right" w:leader="dot" w:pos="9016"/>
            </w:tabs>
            <w:rPr>
              <w:rFonts w:eastAsiaTheme="minorEastAsia"/>
              <w:noProof/>
              <w:lang w:eastAsia="en-GB"/>
            </w:rPr>
          </w:pPr>
          <w:hyperlink w:anchor="_Toc156206880" w:history="1">
            <w:r w:rsidR="00A60808" w:rsidRPr="0085742E">
              <w:rPr>
                <w:rStyle w:val="Hyperlink"/>
                <w:noProof/>
              </w:rPr>
              <w:t>National key performance indicators</w:t>
            </w:r>
            <w:r w:rsidR="00A60808">
              <w:rPr>
                <w:noProof/>
                <w:webHidden/>
              </w:rPr>
              <w:tab/>
            </w:r>
            <w:r w:rsidR="00A60808">
              <w:rPr>
                <w:noProof/>
                <w:webHidden/>
              </w:rPr>
              <w:fldChar w:fldCharType="begin"/>
            </w:r>
            <w:r w:rsidR="00A60808">
              <w:rPr>
                <w:noProof/>
                <w:webHidden/>
              </w:rPr>
              <w:instrText xml:space="preserve"> PAGEREF _Toc156206880 \h </w:instrText>
            </w:r>
            <w:r w:rsidR="00A60808">
              <w:rPr>
                <w:noProof/>
                <w:webHidden/>
              </w:rPr>
            </w:r>
            <w:r w:rsidR="00A60808">
              <w:rPr>
                <w:noProof/>
                <w:webHidden/>
              </w:rPr>
              <w:fldChar w:fldCharType="separate"/>
            </w:r>
            <w:r w:rsidR="00A60808">
              <w:rPr>
                <w:noProof/>
                <w:webHidden/>
              </w:rPr>
              <w:t>13</w:t>
            </w:r>
            <w:r w:rsidR="00A60808">
              <w:rPr>
                <w:noProof/>
                <w:webHidden/>
              </w:rPr>
              <w:fldChar w:fldCharType="end"/>
            </w:r>
          </w:hyperlink>
        </w:p>
        <w:p w14:paraId="3E016BC6" w14:textId="5120419F" w:rsidR="00A60808" w:rsidRDefault="000B3C6A">
          <w:pPr>
            <w:pStyle w:val="TOC1"/>
            <w:tabs>
              <w:tab w:val="right" w:leader="dot" w:pos="9016"/>
            </w:tabs>
            <w:rPr>
              <w:rFonts w:eastAsiaTheme="minorEastAsia"/>
              <w:noProof/>
              <w:lang w:eastAsia="en-GB"/>
            </w:rPr>
          </w:pPr>
          <w:hyperlink w:anchor="_Toc156206881" w:history="1">
            <w:r w:rsidR="00A60808" w:rsidRPr="0085742E">
              <w:rPr>
                <w:rStyle w:val="Hyperlink"/>
                <w:noProof/>
              </w:rPr>
              <w:t>Priorities</w:t>
            </w:r>
            <w:r w:rsidR="00A60808">
              <w:rPr>
                <w:noProof/>
                <w:webHidden/>
              </w:rPr>
              <w:tab/>
            </w:r>
            <w:r w:rsidR="00A60808">
              <w:rPr>
                <w:noProof/>
                <w:webHidden/>
              </w:rPr>
              <w:fldChar w:fldCharType="begin"/>
            </w:r>
            <w:r w:rsidR="00A60808">
              <w:rPr>
                <w:noProof/>
                <w:webHidden/>
              </w:rPr>
              <w:instrText xml:space="preserve"> PAGEREF _Toc156206881 \h </w:instrText>
            </w:r>
            <w:r w:rsidR="00A60808">
              <w:rPr>
                <w:noProof/>
                <w:webHidden/>
              </w:rPr>
            </w:r>
            <w:r w:rsidR="00A60808">
              <w:rPr>
                <w:noProof/>
                <w:webHidden/>
              </w:rPr>
              <w:fldChar w:fldCharType="separate"/>
            </w:r>
            <w:r w:rsidR="00A60808">
              <w:rPr>
                <w:noProof/>
                <w:webHidden/>
              </w:rPr>
              <w:t>16</w:t>
            </w:r>
            <w:r w:rsidR="00A60808">
              <w:rPr>
                <w:noProof/>
                <w:webHidden/>
              </w:rPr>
              <w:fldChar w:fldCharType="end"/>
            </w:r>
          </w:hyperlink>
        </w:p>
        <w:p w14:paraId="579069F0" w14:textId="68EC5690" w:rsidR="00A60808" w:rsidRDefault="000B3C6A">
          <w:pPr>
            <w:pStyle w:val="TOC1"/>
            <w:tabs>
              <w:tab w:val="right" w:leader="dot" w:pos="9016"/>
            </w:tabs>
            <w:rPr>
              <w:rFonts w:eastAsiaTheme="minorEastAsia"/>
              <w:noProof/>
              <w:lang w:eastAsia="en-GB"/>
            </w:rPr>
          </w:pPr>
          <w:hyperlink w:anchor="_Toc156206882" w:history="1">
            <w:r w:rsidR="00A60808" w:rsidRPr="0085742E">
              <w:rPr>
                <w:rStyle w:val="Hyperlink"/>
                <w:noProof/>
              </w:rPr>
              <w:t>Standards for children in the justice system</w:t>
            </w:r>
            <w:r w:rsidR="00A60808">
              <w:rPr>
                <w:noProof/>
                <w:webHidden/>
              </w:rPr>
              <w:tab/>
            </w:r>
            <w:r w:rsidR="00A60808">
              <w:rPr>
                <w:noProof/>
                <w:webHidden/>
              </w:rPr>
              <w:fldChar w:fldCharType="begin"/>
            </w:r>
            <w:r w:rsidR="00A60808">
              <w:rPr>
                <w:noProof/>
                <w:webHidden/>
              </w:rPr>
              <w:instrText xml:space="preserve"> PAGEREF _Toc156206882 \h </w:instrText>
            </w:r>
            <w:r w:rsidR="00A60808">
              <w:rPr>
                <w:noProof/>
                <w:webHidden/>
              </w:rPr>
            </w:r>
            <w:r w:rsidR="00A60808">
              <w:rPr>
                <w:noProof/>
                <w:webHidden/>
              </w:rPr>
              <w:fldChar w:fldCharType="separate"/>
            </w:r>
            <w:r w:rsidR="00A60808">
              <w:rPr>
                <w:noProof/>
                <w:webHidden/>
              </w:rPr>
              <w:t>29</w:t>
            </w:r>
            <w:r w:rsidR="00A60808">
              <w:rPr>
                <w:noProof/>
                <w:webHidden/>
              </w:rPr>
              <w:fldChar w:fldCharType="end"/>
            </w:r>
          </w:hyperlink>
        </w:p>
        <w:p w14:paraId="5A3D0250" w14:textId="7780FAF1" w:rsidR="00A60808" w:rsidRDefault="000B3C6A">
          <w:pPr>
            <w:pStyle w:val="TOC1"/>
            <w:tabs>
              <w:tab w:val="right" w:leader="dot" w:pos="9016"/>
            </w:tabs>
            <w:rPr>
              <w:rFonts w:eastAsiaTheme="minorEastAsia"/>
              <w:noProof/>
              <w:lang w:eastAsia="en-GB"/>
            </w:rPr>
          </w:pPr>
          <w:hyperlink w:anchor="_Toc156206883" w:history="1">
            <w:r w:rsidR="00A60808" w:rsidRPr="0085742E">
              <w:rPr>
                <w:rStyle w:val="Hyperlink"/>
                <w:noProof/>
              </w:rPr>
              <w:t>Workforce Development</w:t>
            </w:r>
            <w:r w:rsidR="00A60808">
              <w:rPr>
                <w:noProof/>
                <w:webHidden/>
              </w:rPr>
              <w:tab/>
            </w:r>
            <w:r w:rsidR="00A60808">
              <w:rPr>
                <w:noProof/>
                <w:webHidden/>
              </w:rPr>
              <w:fldChar w:fldCharType="begin"/>
            </w:r>
            <w:r w:rsidR="00A60808">
              <w:rPr>
                <w:noProof/>
                <w:webHidden/>
              </w:rPr>
              <w:instrText xml:space="preserve"> PAGEREF _Toc156206883 \h </w:instrText>
            </w:r>
            <w:r w:rsidR="00A60808">
              <w:rPr>
                <w:noProof/>
                <w:webHidden/>
              </w:rPr>
            </w:r>
            <w:r w:rsidR="00A60808">
              <w:rPr>
                <w:noProof/>
                <w:webHidden/>
              </w:rPr>
              <w:fldChar w:fldCharType="separate"/>
            </w:r>
            <w:r w:rsidR="00A60808">
              <w:rPr>
                <w:noProof/>
                <w:webHidden/>
              </w:rPr>
              <w:t>30</w:t>
            </w:r>
            <w:r w:rsidR="00A60808">
              <w:rPr>
                <w:noProof/>
                <w:webHidden/>
              </w:rPr>
              <w:fldChar w:fldCharType="end"/>
            </w:r>
          </w:hyperlink>
        </w:p>
        <w:p w14:paraId="718EA701" w14:textId="62A9C0AB" w:rsidR="00A60808" w:rsidRDefault="000B3C6A">
          <w:pPr>
            <w:pStyle w:val="TOC1"/>
            <w:tabs>
              <w:tab w:val="right" w:leader="dot" w:pos="9016"/>
            </w:tabs>
            <w:rPr>
              <w:rFonts w:eastAsiaTheme="minorEastAsia"/>
              <w:noProof/>
              <w:lang w:eastAsia="en-GB"/>
            </w:rPr>
          </w:pPr>
          <w:hyperlink w:anchor="_Toc156206884" w:history="1">
            <w:r w:rsidR="00A60808" w:rsidRPr="0085742E">
              <w:rPr>
                <w:rStyle w:val="Hyperlink"/>
                <w:noProof/>
              </w:rPr>
              <w:t>Evidence-based practice and innovation</w:t>
            </w:r>
            <w:r w:rsidR="00A60808">
              <w:rPr>
                <w:noProof/>
                <w:webHidden/>
              </w:rPr>
              <w:tab/>
            </w:r>
            <w:r w:rsidR="00A60808">
              <w:rPr>
                <w:noProof/>
                <w:webHidden/>
              </w:rPr>
              <w:fldChar w:fldCharType="begin"/>
            </w:r>
            <w:r w:rsidR="00A60808">
              <w:rPr>
                <w:noProof/>
                <w:webHidden/>
              </w:rPr>
              <w:instrText xml:space="preserve"> PAGEREF _Toc156206884 \h </w:instrText>
            </w:r>
            <w:r w:rsidR="00A60808">
              <w:rPr>
                <w:noProof/>
                <w:webHidden/>
              </w:rPr>
            </w:r>
            <w:r w:rsidR="00A60808">
              <w:rPr>
                <w:noProof/>
                <w:webHidden/>
              </w:rPr>
              <w:fldChar w:fldCharType="separate"/>
            </w:r>
            <w:r w:rsidR="00A60808">
              <w:rPr>
                <w:noProof/>
                <w:webHidden/>
              </w:rPr>
              <w:t>30</w:t>
            </w:r>
            <w:r w:rsidR="00A60808">
              <w:rPr>
                <w:noProof/>
                <w:webHidden/>
              </w:rPr>
              <w:fldChar w:fldCharType="end"/>
            </w:r>
          </w:hyperlink>
        </w:p>
        <w:p w14:paraId="08A9B971" w14:textId="25A924A2" w:rsidR="00A60808" w:rsidRDefault="000B3C6A">
          <w:pPr>
            <w:pStyle w:val="TOC1"/>
            <w:tabs>
              <w:tab w:val="right" w:leader="dot" w:pos="9016"/>
            </w:tabs>
            <w:rPr>
              <w:rFonts w:eastAsiaTheme="minorEastAsia"/>
              <w:noProof/>
              <w:lang w:eastAsia="en-GB"/>
            </w:rPr>
          </w:pPr>
          <w:hyperlink w:anchor="_Toc156206885" w:history="1">
            <w:r w:rsidR="00A60808" w:rsidRPr="0085742E">
              <w:rPr>
                <w:rStyle w:val="Hyperlink"/>
                <w:noProof/>
              </w:rPr>
              <w:t>Evaluation</w:t>
            </w:r>
            <w:r w:rsidR="00A60808">
              <w:rPr>
                <w:noProof/>
                <w:webHidden/>
              </w:rPr>
              <w:tab/>
            </w:r>
            <w:r w:rsidR="00A60808">
              <w:rPr>
                <w:noProof/>
                <w:webHidden/>
              </w:rPr>
              <w:fldChar w:fldCharType="begin"/>
            </w:r>
            <w:r w:rsidR="00A60808">
              <w:rPr>
                <w:noProof/>
                <w:webHidden/>
              </w:rPr>
              <w:instrText xml:space="preserve"> PAGEREF _Toc156206885 \h </w:instrText>
            </w:r>
            <w:r w:rsidR="00A60808">
              <w:rPr>
                <w:noProof/>
                <w:webHidden/>
              </w:rPr>
            </w:r>
            <w:r w:rsidR="00A60808">
              <w:rPr>
                <w:noProof/>
                <w:webHidden/>
              </w:rPr>
              <w:fldChar w:fldCharType="separate"/>
            </w:r>
            <w:r w:rsidR="00A60808">
              <w:rPr>
                <w:noProof/>
                <w:webHidden/>
              </w:rPr>
              <w:t>31</w:t>
            </w:r>
            <w:r w:rsidR="00A60808">
              <w:rPr>
                <w:noProof/>
                <w:webHidden/>
              </w:rPr>
              <w:fldChar w:fldCharType="end"/>
            </w:r>
          </w:hyperlink>
        </w:p>
        <w:p w14:paraId="723BE310" w14:textId="1F86EA30" w:rsidR="00A60808" w:rsidRDefault="000B3C6A">
          <w:pPr>
            <w:pStyle w:val="TOC1"/>
            <w:tabs>
              <w:tab w:val="right" w:leader="dot" w:pos="9016"/>
            </w:tabs>
            <w:rPr>
              <w:rFonts w:eastAsiaTheme="minorEastAsia"/>
              <w:noProof/>
              <w:lang w:eastAsia="en-GB"/>
            </w:rPr>
          </w:pPr>
          <w:hyperlink w:anchor="_Toc156206886" w:history="1">
            <w:r w:rsidR="00A60808" w:rsidRPr="0085742E">
              <w:rPr>
                <w:rStyle w:val="Hyperlink"/>
                <w:noProof/>
              </w:rPr>
              <w:t>Service development</w:t>
            </w:r>
            <w:r w:rsidR="00A60808">
              <w:rPr>
                <w:noProof/>
                <w:webHidden/>
              </w:rPr>
              <w:tab/>
            </w:r>
            <w:r w:rsidR="00A60808">
              <w:rPr>
                <w:noProof/>
                <w:webHidden/>
              </w:rPr>
              <w:fldChar w:fldCharType="begin"/>
            </w:r>
            <w:r w:rsidR="00A60808">
              <w:rPr>
                <w:noProof/>
                <w:webHidden/>
              </w:rPr>
              <w:instrText xml:space="preserve"> PAGEREF _Toc156206886 \h </w:instrText>
            </w:r>
            <w:r w:rsidR="00A60808">
              <w:rPr>
                <w:noProof/>
                <w:webHidden/>
              </w:rPr>
            </w:r>
            <w:r w:rsidR="00A60808">
              <w:rPr>
                <w:noProof/>
                <w:webHidden/>
              </w:rPr>
              <w:fldChar w:fldCharType="separate"/>
            </w:r>
            <w:r w:rsidR="00A60808">
              <w:rPr>
                <w:noProof/>
                <w:webHidden/>
              </w:rPr>
              <w:t>32</w:t>
            </w:r>
            <w:r w:rsidR="00A60808">
              <w:rPr>
                <w:noProof/>
                <w:webHidden/>
              </w:rPr>
              <w:fldChar w:fldCharType="end"/>
            </w:r>
          </w:hyperlink>
        </w:p>
        <w:p w14:paraId="7E82D3CC" w14:textId="23224044" w:rsidR="00A60808" w:rsidRDefault="000B3C6A">
          <w:pPr>
            <w:pStyle w:val="TOC1"/>
            <w:tabs>
              <w:tab w:val="right" w:leader="dot" w:pos="9016"/>
            </w:tabs>
            <w:rPr>
              <w:rFonts w:eastAsiaTheme="minorEastAsia"/>
              <w:noProof/>
              <w:lang w:eastAsia="en-GB"/>
            </w:rPr>
          </w:pPr>
          <w:hyperlink w:anchor="_Toc156206887" w:history="1">
            <w:r w:rsidR="00A60808" w:rsidRPr="0085742E">
              <w:rPr>
                <w:rStyle w:val="Hyperlink"/>
                <w:noProof/>
              </w:rPr>
              <w:t>Challenges, risks, and issues</w:t>
            </w:r>
            <w:r w:rsidR="00A60808">
              <w:rPr>
                <w:noProof/>
                <w:webHidden/>
              </w:rPr>
              <w:tab/>
            </w:r>
            <w:r w:rsidR="00A60808">
              <w:rPr>
                <w:noProof/>
                <w:webHidden/>
              </w:rPr>
              <w:fldChar w:fldCharType="begin"/>
            </w:r>
            <w:r w:rsidR="00A60808">
              <w:rPr>
                <w:noProof/>
                <w:webHidden/>
              </w:rPr>
              <w:instrText xml:space="preserve"> PAGEREF _Toc156206887 \h </w:instrText>
            </w:r>
            <w:r w:rsidR="00A60808">
              <w:rPr>
                <w:noProof/>
                <w:webHidden/>
              </w:rPr>
            </w:r>
            <w:r w:rsidR="00A60808">
              <w:rPr>
                <w:noProof/>
                <w:webHidden/>
              </w:rPr>
              <w:fldChar w:fldCharType="separate"/>
            </w:r>
            <w:r w:rsidR="00A60808">
              <w:rPr>
                <w:noProof/>
                <w:webHidden/>
              </w:rPr>
              <w:t>32</w:t>
            </w:r>
            <w:r w:rsidR="00A60808">
              <w:rPr>
                <w:noProof/>
                <w:webHidden/>
              </w:rPr>
              <w:fldChar w:fldCharType="end"/>
            </w:r>
          </w:hyperlink>
        </w:p>
        <w:p w14:paraId="7C042407" w14:textId="06B8D69A" w:rsidR="00A60808" w:rsidRDefault="000B3C6A">
          <w:pPr>
            <w:pStyle w:val="TOC1"/>
            <w:tabs>
              <w:tab w:val="right" w:leader="dot" w:pos="9016"/>
            </w:tabs>
            <w:rPr>
              <w:rFonts w:eastAsiaTheme="minorEastAsia"/>
              <w:noProof/>
              <w:lang w:eastAsia="en-GB"/>
            </w:rPr>
          </w:pPr>
          <w:hyperlink w:anchor="_Toc156206888" w:history="1">
            <w:r w:rsidR="00A60808" w:rsidRPr="0085742E">
              <w:rPr>
                <w:rStyle w:val="Hyperlink"/>
                <w:noProof/>
              </w:rPr>
              <w:t>Sign off, submission and approval</w:t>
            </w:r>
            <w:r w:rsidR="00A60808">
              <w:rPr>
                <w:noProof/>
                <w:webHidden/>
              </w:rPr>
              <w:tab/>
            </w:r>
            <w:r w:rsidR="00A60808">
              <w:rPr>
                <w:noProof/>
                <w:webHidden/>
              </w:rPr>
              <w:fldChar w:fldCharType="begin"/>
            </w:r>
            <w:r w:rsidR="00A60808">
              <w:rPr>
                <w:noProof/>
                <w:webHidden/>
              </w:rPr>
              <w:instrText xml:space="preserve"> PAGEREF _Toc156206888 \h </w:instrText>
            </w:r>
            <w:r w:rsidR="00A60808">
              <w:rPr>
                <w:noProof/>
                <w:webHidden/>
              </w:rPr>
            </w:r>
            <w:r w:rsidR="00A60808">
              <w:rPr>
                <w:noProof/>
                <w:webHidden/>
              </w:rPr>
              <w:fldChar w:fldCharType="separate"/>
            </w:r>
            <w:r w:rsidR="00A60808">
              <w:rPr>
                <w:noProof/>
                <w:webHidden/>
              </w:rPr>
              <w:t>33</w:t>
            </w:r>
            <w:r w:rsidR="00A60808">
              <w:rPr>
                <w:noProof/>
                <w:webHidden/>
              </w:rPr>
              <w:fldChar w:fldCharType="end"/>
            </w:r>
          </w:hyperlink>
        </w:p>
        <w:p w14:paraId="46EA65A3" w14:textId="45E7288A" w:rsidR="00A60808" w:rsidRDefault="00A60808">
          <w:r>
            <w:rPr>
              <w:b/>
              <w:bCs/>
              <w:noProof/>
            </w:rPr>
            <w:fldChar w:fldCharType="end"/>
          </w:r>
        </w:p>
      </w:sdtContent>
    </w:sdt>
    <w:p w14:paraId="161C10C1" w14:textId="77777777" w:rsidR="00A60808" w:rsidRDefault="00A60808">
      <w:pPr>
        <w:rPr>
          <w:rFonts w:asciiTheme="majorHAnsi" w:eastAsiaTheme="majorEastAsia" w:hAnsiTheme="majorHAnsi" w:cstheme="majorBidi"/>
          <w:color w:val="2F5496" w:themeColor="accent1" w:themeShade="BF"/>
          <w:sz w:val="32"/>
          <w:szCs w:val="32"/>
          <w:lang w:eastAsia="en-GB"/>
        </w:rPr>
      </w:pPr>
      <w:r>
        <w:rPr>
          <w:lang w:eastAsia="en-GB"/>
        </w:rPr>
        <w:br w:type="page"/>
      </w:r>
    </w:p>
    <w:p w14:paraId="4D774DAE" w14:textId="70AF74AD" w:rsidR="0079185B" w:rsidRPr="00C53B1E" w:rsidRDefault="0079185B" w:rsidP="00A60808">
      <w:pPr>
        <w:pStyle w:val="Heading1"/>
        <w:rPr>
          <w:lang w:eastAsia="en-GB"/>
        </w:rPr>
      </w:pPr>
      <w:bookmarkStart w:id="0" w:name="_Toc156206872"/>
      <w:r w:rsidRPr="00C53B1E">
        <w:rPr>
          <w:lang w:eastAsia="en-GB"/>
        </w:rPr>
        <w:lastRenderedPageBreak/>
        <w:t>Introduction, vision, and strategy</w:t>
      </w:r>
      <w:bookmarkEnd w:id="0"/>
    </w:p>
    <w:p w14:paraId="7EB82983" w14:textId="77777777" w:rsidR="00622731" w:rsidRPr="00C53B1E" w:rsidRDefault="00622731" w:rsidP="00B15E08">
      <w:pPr>
        <w:pStyle w:val="NoSpacing"/>
        <w:ind w:left="360"/>
        <w:jc w:val="both"/>
        <w:rPr>
          <w:rFonts w:cstheme="minorHAnsi"/>
          <w:b/>
          <w:bCs/>
          <w:lang w:eastAsia="en-GB"/>
        </w:rPr>
      </w:pPr>
    </w:p>
    <w:p w14:paraId="0590E427" w14:textId="5E396230" w:rsidR="0079185B" w:rsidRPr="00C53B1E" w:rsidRDefault="00C07F32" w:rsidP="00C07F32">
      <w:pPr>
        <w:pStyle w:val="NoSpacing"/>
        <w:ind w:left="709" w:hanging="709"/>
        <w:jc w:val="both"/>
        <w:rPr>
          <w:rFonts w:cstheme="minorHAnsi"/>
        </w:rPr>
      </w:pPr>
      <w:r>
        <w:rPr>
          <w:rFonts w:cstheme="minorHAnsi"/>
        </w:rPr>
        <w:t>1.1</w:t>
      </w:r>
      <w:r>
        <w:rPr>
          <w:rFonts w:cstheme="minorHAnsi"/>
        </w:rPr>
        <w:tab/>
      </w:r>
      <w:r w:rsidR="0079185B" w:rsidRPr="00C53B1E">
        <w:rPr>
          <w:rFonts w:cstheme="minorHAnsi"/>
        </w:rPr>
        <w:t xml:space="preserve">In Nottingham City we want all our children to be safe, healthy, happy and to be provided with a good quality education and opportunities that enable them to flourish. This means that children who offend or are at risk of offending must be seen as children first, who require our care, support, protection, and challenge so that they can achieve alongside their peers. We know that the children in our youth justice system have, typically, not had the best start in life. It is our duty as youth justice partners to address the many challenges they and their families experience in order to promote their development into constructive members of our community, improving their life chances and thereby reducing crime and victimisation in our borough. </w:t>
      </w:r>
    </w:p>
    <w:p w14:paraId="764146E0" w14:textId="4148F1F1" w:rsidR="00805E7E" w:rsidRPr="00C53B1E" w:rsidRDefault="00805E7E" w:rsidP="00C07F32">
      <w:pPr>
        <w:pStyle w:val="NoSpacing"/>
        <w:ind w:left="709" w:hanging="709"/>
        <w:jc w:val="both"/>
        <w:rPr>
          <w:rFonts w:cstheme="minorHAnsi"/>
        </w:rPr>
      </w:pPr>
    </w:p>
    <w:p w14:paraId="26767A0D" w14:textId="259FC8CB" w:rsidR="00805E7E" w:rsidRPr="00C53B1E" w:rsidRDefault="00C07F32" w:rsidP="00C07F32">
      <w:pPr>
        <w:pStyle w:val="NoSpacing"/>
        <w:ind w:left="709" w:hanging="709"/>
        <w:jc w:val="both"/>
        <w:rPr>
          <w:rFonts w:cstheme="minorHAnsi"/>
        </w:rPr>
      </w:pPr>
      <w:r>
        <w:rPr>
          <w:rFonts w:cstheme="minorHAnsi"/>
        </w:rPr>
        <w:t>1.2</w:t>
      </w:r>
      <w:r>
        <w:rPr>
          <w:rFonts w:cstheme="minorHAnsi"/>
        </w:rPr>
        <w:tab/>
      </w:r>
      <w:r w:rsidR="00805E7E" w:rsidRPr="00C53B1E">
        <w:rPr>
          <w:rFonts w:cstheme="minorHAnsi"/>
        </w:rPr>
        <w:t>Nottingham City Youth Justice Service presented a three-year Youth Justice plan to the Management Board and the YJB in June 2021. This is the third review of that plan and demonstrates the ongoing progress, the targets yet to be met and what will be delivered during th</w:t>
      </w:r>
      <w:r w:rsidR="00970587" w:rsidRPr="00C53B1E">
        <w:rPr>
          <w:rFonts w:cstheme="minorHAnsi"/>
        </w:rPr>
        <w:t xml:space="preserve">e final </w:t>
      </w:r>
      <w:r w:rsidR="00805E7E" w:rsidRPr="00C53B1E">
        <w:rPr>
          <w:rFonts w:cstheme="minorHAnsi"/>
        </w:rPr>
        <w:t xml:space="preserve">year </w:t>
      </w:r>
      <w:r w:rsidR="00970587" w:rsidRPr="00C53B1E">
        <w:rPr>
          <w:rFonts w:cstheme="minorHAnsi"/>
        </w:rPr>
        <w:t xml:space="preserve">of this plan </w:t>
      </w:r>
      <w:r w:rsidR="00805E7E" w:rsidRPr="00C53B1E">
        <w:rPr>
          <w:rFonts w:cstheme="minorHAnsi"/>
        </w:rPr>
        <w:t>to meet our responsibilities and the needs of Nottingham’s children.  This reflects a review of progress in the last year and our ambitions for the year ahead.</w:t>
      </w:r>
      <w:r w:rsidR="0036156E" w:rsidRPr="00C53B1E">
        <w:rPr>
          <w:rFonts w:cstheme="minorHAnsi"/>
        </w:rPr>
        <w:t xml:space="preserve"> In this year we have introduced a new case management system that provides us with greater insight and anal</w:t>
      </w:r>
      <w:r w:rsidR="006B7A99" w:rsidRPr="00C53B1E">
        <w:rPr>
          <w:rFonts w:cstheme="minorHAnsi"/>
        </w:rPr>
        <w:t xml:space="preserve">ysis </w:t>
      </w:r>
      <w:r w:rsidR="00510512" w:rsidRPr="00C53B1E">
        <w:rPr>
          <w:rFonts w:cstheme="minorHAnsi"/>
        </w:rPr>
        <w:t xml:space="preserve">capability </w:t>
      </w:r>
      <w:r w:rsidR="006B7A99" w:rsidRPr="00C53B1E">
        <w:rPr>
          <w:rFonts w:cstheme="minorHAnsi"/>
        </w:rPr>
        <w:t xml:space="preserve">than before, a new management structure providing greater capacity and sustainability and have undergone a Peer Review providing us with </w:t>
      </w:r>
      <w:r w:rsidR="00986CB5" w:rsidRPr="00C53B1E">
        <w:rPr>
          <w:rFonts w:cstheme="minorHAnsi"/>
        </w:rPr>
        <w:t>a time to reflect and</w:t>
      </w:r>
      <w:r w:rsidR="004713BD" w:rsidRPr="00C53B1E">
        <w:rPr>
          <w:rFonts w:cstheme="minorHAnsi"/>
        </w:rPr>
        <w:t xml:space="preserve"> refocus. </w:t>
      </w:r>
    </w:p>
    <w:p w14:paraId="23F4561E" w14:textId="77777777" w:rsidR="0079185B" w:rsidRPr="00C53B1E" w:rsidRDefault="0079185B" w:rsidP="00C07F32">
      <w:pPr>
        <w:pStyle w:val="NoSpacing"/>
        <w:ind w:left="709" w:hanging="709"/>
        <w:jc w:val="both"/>
        <w:rPr>
          <w:rFonts w:cstheme="minorHAnsi"/>
        </w:rPr>
      </w:pPr>
    </w:p>
    <w:p w14:paraId="2BDEDA87" w14:textId="7A73D236" w:rsidR="0079185B" w:rsidRPr="00C53B1E" w:rsidRDefault="00C07F32" w:rsidP="00C07F32">
      <w:pPr>
        <w:pStyle w:val="NoSpacing"/>
        <w:ind w:left="709" w:hanging="709"/>
        <w:jc w:val="both"/>
        <w:rPr>
          <w:rFonts w:cstheme="minorHAnsi"/>
        </w:rPr>
      </w:pPr>
      <w:r>
        <w:rPr>
          <w:rFonts w:cstheme="minorHAnsi"/>
        </w:rPr>
        <w:t>1.3</w:t>
      </w:r>
      <w:r>
        <w:rPr>
          <w:rFonts w:cstheme="minorHAnsi"/>
        </w:rPr>
        <w:tab/>
      </w:r>
      <w:r w:rsidR="0079185B" w:rsidRPr="00C53B1E">
        <w:rPr>
          <w:rFonts w:cstheme="minorHAnsi"/>
        </w:rPr>
        <w:t xml:space="preserve">As Chair of the Nottingham City Youth Justice Partnership Board, I am proud of the progress our partnership has made to prevent offending and support young people’s desistance. At the heart of our partnership is a strong Youth Justice Service (YJS), which has a well-led, highly skilled multi-agency staff team, integrated within our innovative Early Help Service. Our partnership can point to the strength of our high level of integration around the children and families we support and to whole system responses across health, safeguarding and justice. Anchoring our vision for youth justice in Nottingham City is an assurance that standards of service to young people, families and courts are consistently met, meaning we can confidently look to take on the big challenges, which will enable us to realise our ambition for the children in our youth justice system and for the community in Nottingham </w:t>
      </w:r>
      <w:proofErr w:type="gramStart"/>
      <w:r w:rsidR="0079185B" w:rsidRPr="00C53B1E">
        <w:rPr>
          <w:rFonts w:cstheme="minorHAnsi"/>
        </w:rPr>
        <w:t>City .</w:t>
      </w:r>
      <w:proofErr w:type="gramEnd"/>
      <w:r w:rsidR="0079185B" w:rsidRPr="00C53B1E">
        <w:rPr>
          <w:rFonts w:cstheme="minorHAnsi"/>
        </w:rPr>
        <w:t xml:space="preserve"> While we will continue to be assiduous in ensuring the quality of youth justice practice, we are ambitious to change the lived experience of the children in our youth justice system and commit ourselves to the priorities set out by the new YJB Key Performance Indicators.</w:t>
      </w:r>
    </w:p>
    <w:p w14:paraId="4E6CCF4C" w14:textId="3F596762" w:rsidR="00814D63" w:rsidRPr="00C53B1E" w:rsidRDefault="00814D63" w:rsidP="00C07F32">
      <w:pPr>
        <w:pStyle w:val="NoSpacing"/>
        <w:ind w:left="709" w:hanging="709"/>
        <w:jc w:val="both"/>
        <w:rPr>
          <w:rFonts w:cstheme="minorHAnsi"/>
        </w:rPr>
      </w:pPr>
    </w:p>
    <w:p w14:paraId="63DFED19" w14:textId="1EB7A841" w:rsidR="00814D63" w:rsidRPr="00C53B1E" w:rsidRDefault="00C07F32" w:rsidP="00C07F32">
      <w:pPr>
        <w:pStyle w:val="NoSpacing"/>
        <w:ind w:left="709" w:hanging="709"/>
        <w:jc w:val="both"/>
        <w:rPr>
          <w:rFonts w:cstheme="minorHAnsi"/>
        </w:rPr>
      </w:pPr>
      <w:r>
        <w:rPr>
          <w:rFonts w:cstheme="minorHAnsi"/>
        </w:rPr>
        <w:t>1.4</w:t>
      </w:r>
      <w:r>
        <w:rPr>
          <w:rFonts w:cstheme="minorHAnsi"/>
        </w:rPr>
        <w:tab/>
      </w:r>
      <w:r w:rsidR="00814D63" w:rsidRPr="00C53B1E">
        <w:rPr>
          <w:rFonts w:cstheme="minorHAnsi"/>
        </w:rPr>
        <w:t>This plan seeks to review our impact and outcomes for children in Nottingham City</w:t>
      </w:r>
      <w:r w:rsidR="009F571F" w:rsidRPr="00C53B1E">
        <w:rPr>
          <w:rFonts w:cstheme="minorHAnsi"/>
        </w:rPr>
        <w:t xml:space="preserve"> </w:t>
      </w:r>
      <w:r w:rsidR="000730A1" w:rsidRPr="00C53B1E">
        <w:rPr>
          <w:rFonts w:cstheme="minorHAnsi"/>
        </w:rPr>
        <w:t xml:space="preserve">and look forward to the ongoing challenges and developing </w:t>
      </w:r>
      <w:r w:rsidR="000A4A09" w:rsidRPr="00C53B1E">
        <w:rPr>
          <w:rFonts w:cstheme="minorHAnsi"/>
        </w:rPr>
        <w:t xml:space="preserve">creative solutions for these. </w:t>
      </w:r>
    </w:p>
    <w:p w14:paraId="2E86BA82" w14:textId="01ADC906" w:rsidR="001E4ECB" w:rsidRPr="00C53B1E" w:rsidRDefault="001E4ECB" w:rsidP="00B15E08">
      <w:pPr>
        <w:pStyle w:val="NoSpacing"/>
        <w:jc w:val="both"/>
        <w:rPr>
          <w:rFonts w:cstheme="minorHAnsi"/>
        </w:rPr>
      </w:pPr>
    </w:p>
    <w:p w14:paraId="771FC33B" w14:textId="4DBB71FC" w:rsidR="00A40B56" w:rsidRDefault="00A40B56" w:rsidP="00FB5B91">
      <w:pPr>
        <w:pStyle w:val="Heading1"/>
      </w:pPr>
      <w:bookmarkStart w:id="1" w:name="_Toc156206873"/>
      <w:r w:rsidRPr="00C53B1E">
        <w:t>Local Context</w:t>
      </w:r>
      <w:bookmarkEnd w:id="1"/>
    </w:p>
    <w:p w14:paraId="2B10C164" w14:textId="77777777" w:rsidR="00A60808" w:rsidRPr="00A60808" w:rsidRDefault="00A60808" w:rsidP="00A60808"/>
    <w:p w14:paraId="0959A812" w14:textId="44B7BA65" w:rsidR="001E4ECB" w:rsidRPr="00C53B1E" w:rsidRDefault="00C07F32" w:rsidP="00C07F32">
      <w:pPr>
        <w:ind w:left="720" w:right="-58" w:hanging="720"/>
        <w:jc w:val="both"/>
        <w:rPr>
          <w:rFonts w:cstheme="minorHAnsi"/>
        </w:rPr>
      </w:pPr>
      <w:r>
        <w:rPr>
          <w:rFonts w:cstheme="minorHAnsi"/>
        </w:rPr>
        <w:t>1.5</w:t>
      </w:r>
      <w:r>
        <w:rPr>
          <w:rFonts w:cstheme="minorHAnsi"/>
        </w:rPr>
        <w:tab/>
      </w:r>
      <w:r w:rsidR="001E4ECB" w:rsidRPr="00C53B1E">
        <w:rPr>
          <w:rFonts w:cstheme="minorHAnsi"/>
        </w:rPr>
        <w:t>The 2021 Census results show that Nottingham City has 65,972 children and young people under the age of 18. The latest population of children aged between 10-17 years old is 28,894.</w:t>
      </w:r>
    </w:p>
    <w:p w14:paraId="4F917C9F" w14:textId="1015A4D5" w:rsidR="001E4ECB" w:rsidRPr="00C53B1E" w:rsidRDefault="00C07F32" w:rsidP="00C07F32">
      <w:pPr>
        <w:ind w:left="720" w:right="-58" w:hanging="720"/>
        <w:jc w:val="both"/>
        <w:rPr>
          <w:rFonts w:cstheme="minorHAnsi"/>
        </w:rPr>
      </w:pPr>
      <w:r>
        <w:rPr>
          <w:rFonts w:cstheme="minorHAnsi"/>
        </w:rPr>
        <w:t>1.6</w:t>
      </w:r>
      <w:r>
        <w:rPr>
          <w:rFonts w:cstheme="minorHAnsi"/>
        </w:rPr>
        <w:tab/>
      </w:r>
      <w:r w:rsidR="001E4ECB" w:rsidRPr="00C53B1E">
        <w:rPr>
          <w:rFonts w:cstheme="minorHAnsi"/>
        </w:rPr>
        <w:t>Deprivation affects a significant number of families in Nottingham. The Office for National Statistics (ONS) only supply partial information on deprivation which, in 2019, ranks the city as the 12</w:t>
      </w:r>
      <w:r w:rsidR="001E4ECB" w:rsidRPr="00C53B1E">
        <w:rPr>
          <w:rFonts w:cstheme="minorHAnsi"/>
          <w:vertAlign w:val="superscript"/>
        </w:rPr>
        <w:t>th</w:t>
      </w:r>
      <w:r w:rsidR="001E4ECB" w:rsidRPr="00C53B1E">
        <w:rPr>
          <w:rFonts w:cstheme="minorHAnsi"/>
        </w:rPr>
        <w:t xml:space="preserve"> most deprived, with 27% of those aged 16 and over and 39% of </w:t>
      </w:r>
      <w:proofErr w:type="gramStart"/>
      <w:r w:rsidR="001E4ECB" w:rsidRPr="00C53B1E">
        <w:rPr>
          <w:rFonts w:cstheme="minorHAnsi"/>
        </w:rPr>
        <w:t>0-15-year olds</w:t>
      </w:r>
      <w:proofErr w:type="gramEnd"/>
      <w:r w:rsidR="001E4ECB" w:rsidRPr="00C53B1E">
        <w:rPr>
          <w:rFonts w:cstheme="minorHAnsi"/>
        </w:rPr>
        <w:t xml:space="preserve"> living in neighbourhoods that fall into the 10% most deprived neighbours in the country.</w:t>
      </w:r>
    </w:p>
    <w:p w14:paraId="1B66B9EC" w14:textId="6540111A" w:rsidR="001E4ECB" w:rsidRPr="00C53B1E" w:rsidRDefault="00C07F32" w:rsidP="00C07F32">
      <w:pPr>
        <w:ind w:left="720" w:right="-58" w:hanging="720"/>
        <w:jc w:val="both"/>
        <w:rPr>
          <w:rFonts w:cstheme="minorHAnsi"/>
        </w:rPr>
      </w:pPr>
      <w:r>
        <w:rPr>
          <w:rFonts w:cstheme="minorHAnsi"/>
        </w:rPr>
        <w:lastRenderedPageBreak/>
        <w:t>1.7</w:t>
      </w:r>
      <w:r>
        <w:rPr>
          <w:rFonts w:cstheme="minorHAnsi"/>
        </w:rPr>
        <w:tab/>
      </w:r>
      <w:r w:rsidR="001E4ECB" w:rsidRPr="00C53B1E">
        <w:rPr>
          <w:rFonts w:cstheme="minorHAnsi"/>
        </w:rPr>
        <w:t>In the 12 months to April 2023, Nottingham City Youth Justice Service worked with 485 unique children. Of these 216 were White British, 27 Black/Black British, 18 Asian/Asian British, 98 Mixed Heritage, 19 Any Other White Background, including 5 East Europeans. The remaining do not have the ethnicity information known.</w:t>
      </w:r>
      <w:r w:rsidR="00217EE8">
        <w:rPr>
          <w:rFonts w:cstheme="minorHAnsi"/>
        </w:rPr>
        <w:t xml:space="preserve"> Some of the missing data may be as a result of the data migration and recording principles under the previous case management system, this is now a mandated recorded data set and subject to regular quality assurance and error reporting.</w:t>
      </w:r>
    </w:p>
    <w:p w14:paraId="011382DC" w14:textId="631BDD8B" w:rsidR="001E4ECB" w:rsidRPr="00C53B1E" w:rsidRDefault="00C07F32" w:rsidP="00C07F32">
      <w:pPr>
        <w:ind w:left="720" w:right="-58" w:hanging="720"/>
        <w:jc w:val="both"/>
        <w:rPr>
          <w:rFonts w:cstheme="minorHAnsi"/>
        </w:rPr>
      </w:pPr>
      <w:r>
        <w:rPr>
          <w:rFonts w:cstheme="minorHAnsi"/>
        </w:rPr>
        <w:t>1.8</w:t>
      </w:r>
      <w:r>
        <w:rPr>
          <w:rFonts w:cstheme="minorHAnsi"/>
        </w:rPr>
        <w:tab/>
      </w:r>
      <w:r w:rsidR="001E4ECB" w:rsidRPr="00C53B1E">
        <w:rPr>
          <w:rFonts w:cstheme="minorHAnsi"/>
        </w:rPr>
        <w:t>There were 109 children aged under 14 at the time of their YJS intervention and they can have more than one outcome/intervention during this time. 37 children had prevention cases (including 19 Turnaround programme), 135 received Out of Court Disposals (Out of court assessments, Community resolutions, Outcome 22 and YC/YCC), three received Divert Plus interventions, three Referral Orders, one Custody and one YRO.</w:t>
      </w:r>
    </w:p>
    <w:p w14:paraId="7F774AB1" w14:textId="30BDF988" w:rsidR="001E4ECB" w:rsidRPr="00C53B1E" w:rsidRDefault="00C07F32" w:rsidP="00B15E08">
      <w:pPr>
        <w:ind w:right="-58"/>
        <w:jc w:val="both"/>
        <w:rPr>
          <w:rFonts w:cstheme="minorHAnsi"/>
        </w:rPr>
      </w:pPr>
      <w:r>
        <w:rPr>
          <w:rFonts w:cstheme="minorHAnsi"/>
        </w:rPr>
        <w:t>1.9</w:t>
      </w:r>
      <w:r>
        <w:rPr>
          <w:rFonts w:cstheme="minorHAnsi"/>
        </w:rPr>
        <w:tab/>
      </w:r>
      <w:r w:rsidR="001E4ECB" w:rsidRPr="00C53B1E">
        <w:rPr>
          <w:rFonts w:cstheme="minorHAnsi"/>
        </w:rPr>
        <w:t>Reference is made later in this report to regional comparators.  For clarity, these are as follows:</w:t>
      </w:r>
    </w:p>
    <w:p w14:paraId="1E79528D" w14:textId="2CB238C6" w:rsidR="001E4ECB" w:rsidRPr="00C53B1E" w:rsidRDefault="001E4ECB" w:rsidP="00432F61">
      <w:pPr>
        <w:pStyle w:val="ListParagraph"/>
        <w:numPr>
          <w:ilvl w:val="0"/>
          <w:numId w:val="2"/>
        </w:numPr>
        <w:tabs>
          <w:tab w:val="clear" w:pos="360"/>
          <w:tab w:val="num" w:pos="1418"/>
          <w:tab w:val="num" w:pos="1800"/>
        </w:tabs>
        <w:autoSpaceDE w:val="0"/>
        <w:autoSpaceDN w:val="0"/>
        <w:adjustRightInd w:val="0"/>
        <w:spacing w:after="200" w:line="276" w:lineRule="auto"/>
        <w:ind w:left="1276" w:right="521" w:firstLine="0"/>
        <w:contextualSpacing/>
        <w:rPr>
          <w:rFonts w:asciiTheme="minorHAnsi" w:hAnsiTheme="minorHAnsi" w:cstheme="minorHAnsi"/>
          <w:sz w:val="22"/>
          <w:szCs w:val="22"/>
          <w:lang w:eastAsia="ja-JP"/>
        </w:rPr>
      </w:pPr>
      <w:r w:rsidRPr="00C53B1E">
        <w:rPr>
          <w:rFonts w:asciiTheme="minorHAnsi" w:hAnsiTheme="minorHAnsi" w:cstheme="minorHAnsi"/>
          <w:b/>
          <w:sz w:val="22"/>
          <w:szCs w:val="22"/>
          <w:lang w:eastAsia="ja-JP"/>
        </w:rPr>
        <w:t>Core Cities</w:t>
      </w:r>
      <w:r w:rsidRPr="00C53B1E">
        <w:rPr>
          <w:rFonts w:asciiTheme="minorHAnsi" w:hAnsiTheme="minorHAnsi" w:cstheme="minorHAnsi"/>
          <w:sz w:val="22"/>
          <w:szCs w:val="22"/>
          <w:lang w:eastAsia="ja-JP"/>
        </w:rPr>
        <w:t>: Birmingham, Bristol, Leeds, Liverpool, Manchester, Sheffield, Newcastle upon Tyne, Cardiff.</w:t>
      </w:r>
    </w:p>
    <w:p w14:paraId="2F60B494" w14:textId="7346E105" w:rsidR="001E4ECB" w:rsidRPr="00C53B1E" w:rsidRDefault="001E4ECB" w:rsidP="00432F61">
      <w:pPr>
        <w:pStyle w:val="ListParagraph"/>
        <w:numPr>
          <w:ilvl w:val="0"/>
          <w:numId w:val="2"/>
        </w:numPr>
        <w:tabs>
          <w:tab w:val="clear" w:pos="360"/>
          <w:tab w:val="num" w:pos="1418"/>
          <w:tab w:val="num" w:pos="1800"/>
        </w:tabs>
        <w:autoSpaceDE w:val="0"/>
        <w:autoSpaceDN w:val="0"/>
        <w:adjustRightInd w:val="0"/>
        <w:spacing w:after="200" w:line="276" w:lineRule="auto"/>
        <w:ind w:left="1276" w:right="521" w:firstLine="0"/>
        <w:contextualSpacing/>
        <w:rPr>
          <w:rFonts w:asciiTheme="minorHAnsi" w:hAnsiTheme="minorHAnsi" w:cstheme="minorHAnsi"/>
          <w:b/>
          <w:bCs/>
          <w:sz w:val="22"/>
          <w:szCs w:val="22"/>
          <w:lang w:val="en-US"/>
        </w:rPr>
      </w:pPr>
      <w:r w:rsidRPr="00C53B1E">
        <w:rPr>
          <w:rFonts w:asciiTheme="minorHAnsi" w:hAnsiTheme="minorHAnsi" w:cstheme="minorHAnsi"/>
          <w:b/>
          <w:sz w:val="22"/>
          <w:szCs w:val="22"/>
          <w:lang w:eastAsia="ja-JP"/>
        </w:rPr>
        <w:t xml:space="preserve">YJS Family: </w:t>
      </w:r>
      <w:r w:rsidRPr="00C53B1E">
        <w:rPr>
          <w:rFonts w:asciiTheme="minorHAnsi" w:hAnsiTheme="minorHAnsi" w:cstheme="minorHAnsi"/>
          <w:sz w:val="22"/>
          <w:szCs w:val="22"/>
          <w:lang w:eastAsia="ja-JP"/>
        </w:rPr>
        <w:t>Manchester, Wolverhampton, Sandwell, Southampton, Bristol, Coventry, Birmingham, Salford, Kingston-Upon-Hull, Portsmouth.</w:t>
      </w:r>
    </w:p>
    <w:p w14:paraId="4103680A" w14:textId="77777777" w:rsidR="00A60808" w:rsidRDefault="00A60808" w:rsidP="00B15E08">
      <w:pPr>
        <w:pStyle w:val="NoSpacing"/>
        <w:jc w:val="both"/>
        <w:rPr>
          <w:rStyle w:val="Heading1Char"/>
        </w:rPr>
      </w:pPr>
    </w:p>
    <w:p w14:paraId="5A9940CA" w14:textId="3CD7E1EF" w:rsidR="0079185B" w:rsidRPr="00FB5B91" w:rsidRDefault="0079185B" w:rsidP="00B15E08">
      <w:pPr>
        <w:pStyle w:val="NoSpacing"/>
        <w:jc w:val="both"/>
        <w:rPr>
          <w:rStyle w:val="Heading1Char"/>
        </w:rPr>
      </w:pPr>
      <w:bookmarkStart w:id="2" w:name="_Toc156206874"/>
      <w:r w:rsidRPr="00FB5B91">
        <w:rPr>
          <w:rStyle w:val="Heading1Char"/>
        </w:rPr>
        <w:t>Child First &amp; Voice of the child</w:t>
      </w:r>
      <w:bookmarkEnd w:id="2"/>
    </w:p>
    <w:p w14:paraId="7C4137DE" w14:textId="6B99586D" w:rsidR="007C743C" w:rsidRPr="00C53B1E" w:rsidRDefault="007C743C" w:rsidP="00B15E08">
      <w:pPr>
        <w:pStyle w:val="NoSpacing"/>
        <w:jc w:val="both"/>
        <w:rPr>
          <w:rFonts w:cstheme="minorHAnsi"/>
          <w:b/>
          <w:bCs/>
          <w:lang w:eastAsia="en-GB"/>
        </w:rPr>
      </w:pPr>
    </w:p>
    <w:p w14:paraId="1C6BED14" w14:textId="27893F10" w:rsidR="00827D99" w:rsidRPr="00C53B1E" w:rsidRDefault="00C07F32" w:rsidP="00C07F32">
      <w:pPr>
        <w:pStyle w:val="NoSpacing"/>
        <w:ind w:left="720" w:hanging="720"/>
        <w:jc w:val="both"/>
        <w:rPr>
          <w:rFonts w:cstheme="minorHAnsi"/>
        </w:rPr>
      </w:pPr>
      <w:r>
        <w:rPr>
          <w:rFonts w:eastAsiaTheme="majorEastAsia" w:cstheme="minorHAnsi"/>
        </w:rPr>
        <w:t>2.1</w:t>
      </w:r>
      <w:r>
        <w:rPr>
          <w:rFonts w:eastAsiaTheme="majorEastAsia" w:cstheme="minorHAnsi"/>
        </w:rPr>
        <w:tab/>
      </w:r>
      <w:r w:rsidR="00B51307" w:rsidRPr="00C53B1E">
        <w:rPr>
          <w:rFonts w:eastAsiaTheme="majorEastAsia" w:cstheme="minorHAnsi"/>
        </w:rPr>
        <w:t>Nottingham City YJS follows the four tenets of the Child First principles: to see children as children, develop pro-social identity for positive child outcomes, collaboration with children and to promote diversion.</w:t>
      </w:r>
      <w:r w:rsidR="00827D99" w:rsidRPr="00C53B1E">
        <w:rPr>
          <w:rFonts w:eastAsiaTheme="majorEastAsia" w:cstheme="minorHAnsi"/>
        </w:rPr>
        <w:t xml:space="preserve"> </w:t>
      </w:r>
      <w:r w:rsidR="00827D99" w:rsidRPr="00C53B1E">
        <w:rPr>
          <w:rFonts w:cstheme="minorHAnsi"/>
        </w:rPr>
        <w:t xml:space="preserve">Staff recognise that to be best placed to model pro-social norms and behaviours, a relationship of trust and respect must first be established. All staff develop functional relationships with the children, taking account of their need be that neurodiversity, age, trauma, and identity. </w:t>
      </w:r>
    </w:p>
    <w:p w14:paraId="76BF2728" w14:textId="77777777" w:rsidR="00652FE0" w:rsidRPr="00C53B1E" w:rsidRDefault="00652FE0" w:rsidP="00B15E08">
      <w:pPr>
        <w:pStyle w:val="NoSpacing"/>
        <w:jc w:val="both"/>
        <w:rPr>
          <w:rFonts w:cstheme="minorHAnsi"/>
        </w:rPr>
      </w:pPr>
    </w:p>
    <w:p w14:paraId="74E23525" w14:textId="053F7707" w:rsidR="006C5F68" w:rsidRPr="00C53B1E" w:rsidRDefault="00C07F32" w:rsidP="00C07F32">
      <w:pPr>
        <w:pStyle w:val="NoSpacing"/>
        <w:ind w:left="720" w:hanging="720"/>
        <w:jc w:val="both"/>
        <w:rPr>
          <w:rFonts w:cstheme="minorHAnsi"/>
          <w:b/>
          <w:bCs/>
          <w:lang w:eastAsia="en-GB"/>
        </w:rPr>
      </w:pPr>
      <w:r w:rsidRPr="00C07F32">
        <w:rPr>
          <w:rFonts w:cstheme="minorHAnsi"/>
        </w:rPr>
        <w:t>2.2</w:t>
      </w:r>
      <w:r w:rsidRPr="00C07F32">
        <w:rPr>
          <w:rFonts w:cstheme="minorHAnsi"/>
        </w:rPr>
        <w:tab/>
      </w:r>
      <w:r w:rsidR="006C5F68" w:rsidRPr="00C53B1E">
        <w:rPr>
          <w:rFonts w:cstheme="minorHAnsi"/>
          <w:b/>
          <w:bCs/>
        </w:rPr>
        <w:t>See children as children:</w:t>
      </w:r>
      <w:r w:rsidR="006C5F68" w:rsidRPr="00C53B1E">
        <w:rPr>
          <w:rFonts w:cstheme="minorHAnsi"/>
        </w:rPr>
        <w:t xml:space="preserve"> Prioritise the best interests of children, recognising their particular needs, capacities, rights, and potential. All work is child-focused and developmentally informed: Understanding the impact of Adverse Childhood Experiences (ACE) and Trauma is high on our agenda as we continue to aim to fully embed the ‘Child First’ principle into our service. </w:t>
      </w:r>
      <w:r w:rsidR="00217EE8">
        <w:rPr>
          <w:rFonts w:cstheme="minorHAnsi"/>
        </w:rPr>
        <w:t>Most</w:t>
      </w:r>
      <w:r w:rsidR="006C5F68" w:rsidRPr="00C53B1E">
        <w:rPr>
          <w:rFonts w:cstheme="minorHAnsi"/>
        </w:rPr>
        <w:t xml:space="preserve"> practitioners have undertaken ACE and trauma training</w:t>
      </w:r>
      <w:r w:rsidR="00217EE8">
        <w:rPr>
          <w:rFonts w:cstheme="minorHAnsi"/>
        </w:rPr>
        <w:t xml:space="preserve"> in the last three years when the Service received additional funding for this programme, however it is noted that the Service would benefit from a refresher as new research and practice is developed</w:t>
      </w:r>
      <w:r w:rsidR="006C5F68" w:rsidRPr="00C53B1E">
        <w:rPr>
          <w:rFonts w:cstheme="minorHAnsi"/>
        </w:rPr>
        <w:t>.</w:t>
      </w:r>
    </w:p>
    <w:p w14:paraId="036EA59F" w14:textId="34E8CFB6" w:rsidR="006C5F68" w:rsidRPr="00C53B1E" w:rsidRDefault="006C5F68" w:rsidP="00B15E08">
      <w:pPr>
        <w:pStyle w:val="NoSpacing"/>
        <w:jc w:val="both"/>
        <w:rPr>
          <w:rFonts w:cstheme="minorHAnsi"/>
          <w:b/>
          <w:bCs/>
          <w:lang w:eastAsia="en-GB"/>
        </w:rPr>
      </w:pPr>
    </w:p>
    <w:p w14:paraId="627539B4" w14:textId="6E821701" w:rsidR="00253767" w:rsidRPr="00C53B1E" w:rsidRDefault="00C07F32" w:rsidP="00C07F32">
      <w:pPr>
        <w:pStyle w:val="NoSpacing"/>
        <w:ind w:left="720" w:hanging="720"/>
        <w:jc w:val="both"/>
        <w:rPr>
          <w:rFonts w:cstheme="minorHAnsi"/>
        </w:rPr>
      </w:pPr>
      <w:r w:rsidRPr="00C07F32">
        <w:rPr>
          <w:rFonts w:cstheme="minorHAnsi"/>
        </w:rPr>
        <w:t>2.3</w:t>
      </w:r>
      <w:r w:rsidRPr="00C07F32">
        <w:rPr>
          <w:rFonts w:cstheme="minorHAnsi"/>
        </w:rPr>
        <w:tab/>
      </w:r>
      <w:r w:rsidR="00253767" w:rsidRPr="00C53B1E">
        <w:rPr>
          <w:rFonts w:cstheme="minorHAnsi"/>
          <w:b/>
          <w:bCs/>
        </w:rPr>
        <w:t>Develop pro-social identity for positive child outcomes:</w:t>
      </w:r>
      <w:r w:rsidR="00253767" w:rsidRPr="00C53B1E">
        <w:rPr>
          <w:rFonts w:cstheme="minorHAnsi"/>
        </w:rPr>
        <w:t xml:space="preserve"> Promote children’s individual strengths and capacities as a means of developing their pro-social identity for sustainable desistance, leading to safer communities and fewer victims. All work is constructive and future-focused, built on supportive relationships that empower children to fulfil their potential and make positive contributions to society.</w:t>
      </w:r>
      <w:r w:rsidR="00217EE8">
        <w:rPr>
          <w:rFonts w:cstheme="minorHAnsi"/>
        </w:rPr>
        <w:t xml:space="preserve"> All assessments are completed jointly with the child and their family and </w:t>
      </w:r>
      <w:proofErr w:type="gramStart"/>
      <w:r w:rsidR="00217EE8">
        <w:rPr>
          <w:rFonts w:cstheme="minorHAnsi"/>
        </w:rPr>
        <w:t>support</w:t>
      </w:r>
      <w:proofErr w:type="gramEnd"/>
      <w:r w:rsidR="00217EE8">
        <w:rPr>
          <w:rFonts w:cstheme="minorHAnsi"/>
        </w:rPr>
        <w:t xml:space="preserve"> and intervention plans are subsequently tailored to needs. </w:t>
      </w:r>
    </w:p>
    <w:p w14:paraId="2DCDE32B" w14:textId="4E90AF21" w:rsidR="00253767" w:rsidRPr="00C53B1E" w:rsidRDefault="00253767" w:rsidP="00B15E08">
      <w:pPr>
        <w:pStyle w:val="NoSpacing"/>
        <w:jc w:val="both"/>
        <w:rPr>
          <w:rFonts w:cstheme="minorHAnsi"/>
        </w:rPr>
      </w:pPr>
    </w:p>
    <w:p w14:paraId="1F9B5BE8" w14:textId="328220FA" w:rsidR="00253767" w:rsidRPr="00C53B1E" w:rsidRDefault="00C07F32" w:rsidP="00C07F32">
      <w:pPr>
        <w:pStyle w:val="NoSpacing"/>
        <w:ind w:left="720" w:hanging="720"/>
        <w:jc w:val="both"/>
        <w:rPr>
          <w:rFonts w:cstheme="minorHAnsi"/>
        </w:rPr>
      </w:pPr>
      <w:r>
        <w:rPr>
          <w:rFonts w:cstheme="minorHAnsi"/>
        </w:rPr>
        <w:t>2.4</w:t>
      </w:r>
      <w:r>
        <w:rPr>
          <w:rFonts w:cstheme="minorHAnsi"/>
        </w:rPr>
        <w:tab/>
      </w:r>
      <w:r w:rsidR="00253767" w:rsidRPr="00C53B1E">
        <w:rPr>
          <w:rFonts w:cstheme="minorHAnsi"/>
          <w:b/>
          <w:bCs/>
        </w:rPr>
        <w:t>Collaboration with children and their carers:</w:t>
      </w:r>
      <w:r w:rsidR="00253767" w:rsidRPr="00C53B1E">
        <w:rPr>
          <w:rFonts w:cstheme="minorHAnsi"/>
        </w:rPr>
        <w:t xml:space="preserve"> Encourage children’s active participation, engagement, and wider social inclusion. All work is a meaningful collaboration with children and their </w:t>
      </w:r>
      <w:proofErr w:type="spellStart"/>
      <w:r w:rsidR="00253767" w:rsidRPr="00C53B1E">
        <w:rPr>
          <w:rFonts w:cstheme="minorHAnsi"/>
        </w:rPr>
        <w:t>carers</w:t>
      </w:r>
      <w:proofErr w:type="spellEnd"/>
      <w:r w:rsidR="00253767" w:rsidRPr="00C53B1E">
        <w:rPr>
          <w:rFonts w:cstheme="minorHAnsi"/>
        </w:rPr>
        <w:t>.</w:t>
      </w:r>
    </w:p>
    <w:p w14:paraId="30E790FA" w14:textId="3EB1A00F" w:rsidR="00920A4A" w:rsidRPr="00C53B1E" w:rsidRDefault="00920A4A" w:rsidP="00B15E08">
      <w:pPr>
        <w:pStyle w:val="NoSpacing"/>
        <w:jc w:val="both"/>
        <w:rPr>
          <w:rFonts w:cstheme="minorHAnsi"/>
        </w:rPr>
      </w:pPr>
    </w:p>
    <w:p w14:paraId="1211E548" w14:textId="4B4EA91D" w:rsidR="00920A4A" w:rsidRPr="00C53B1E" w:rsidRDefault="00C07F32" w:rsidP="00C07F32">
      <w:pPr>
        <w:ind w:left="720" w:hanging="720"/>
        <w:jc w:val="both"/>
        <w:rPr>
          <w:rFonts w:cstheme="minorHAnsi"/>
        </w:rPr>
      </w:pPr>
      <w:r>
        <w:rPr>
          <w:rFonts w:cstheme="minorHAnsi"/>
        </w:rPr>
        <w:t>2.5</w:t>
      </w:r>
      <w:r>
        <w:rPr>
          <w:rFonts w:cstheme="minorHAnsi"/>
        </w:rPr>
        <w:tab/>
      </w:r>
      <w:r w:rsidR="00920A4A" w:rsidRPr="00C53B1E">
        <w:rPr>
          <w:rFonts w:cstheme="minorHAnsi"/>
        </w:rPr>
        <w:t>Over the last 12 months we have continued to develop our participation work with children</w:t>
      </w:r>
      <w:r w:rsidR="00AB1C36" w:rsidRPr="00C53B1E">
        <w:rPr>
          <w:rFonts w:cstheme="minorHAnsi"/>
        </w:rPr>
        <w:t xml:space="preserve">. </w:t>
      </w:r>
      <w:r w:rsidR="00920A4A" w:rsidRPr="00C53B1E">
        <w:rPr>
          <w:rFonts w:cstheme="minorHAnsi"/>
        </w:rPr>
        <w:t>We hold quarterly Participation meetings with a small staff group to develop new approaches and review process. These are chaired by an YJS Operations manager and championed by the Service Manager.</w:t>
      </w:r>
    </w:p>
    <w:p w14:paraId="1D7F68B2" w14:textId="5F19E7F7" w:rsidR="002010D8" w:rsidRPr="00C53B1E" w:rsidRDefault="00C07F32" w:rsidP="00C07F32">
      <w:pPr>
        <w:ind w:left="720" w:hanging="720"/>
        <w:jc w:val="both"/>
        <w:rPr>
          <w:rFonts w:cstheme="minorHAnsi"/>
        </w:rPr>
      </w:pPr>
      <w:r>
        <w:rPr>
          <w:rFonts w:cstheme="minorHAnsi"/>
        </w:rPr>
        <w:t>2.6</w:t>
      </w:r>
      <w:r>
        <w:rPr>
          <w:rFonts w:cstheme="minorHAnsi"/>
        </w:rPr>
        <w:tab/>
      </w:r>
      <w:r w:rsidR="00920A4A" w:rsidRPr="00C53B1E">
        <w:rPr>
          <w:rFonts w:cstheme="minorHAnsi"/>
        </w:rPr>
        <w:t xml:space="preserve">We have created questionnaires designed to help children explore their views and experiences of working with YJS, and the service they have received from us. This information is anonymised, compiled, and shared across the organisation to enable us to improve the process of incorporating children’s views into our practice improvement. </w:t>
      </w:r>
      <w:r w:rsidR="00217EE8">
        <w:rPr>
          <w:rFonts w:cstheme="minorHAnsi"/>
        </w:rPr>
        <w:t xml:space="preserve">Feedback from the cohort provided the below </w:t>
      </w:r>
      <w:r w:rsidR="00920A4A" w:rsidRPr="00C53B1E">
        <w:rPr>
          <w:rFonts w:cstheme="minorHAnsi"/>
        </w:rPr>
        <w:t>example</w:t>
      </w:r>
      <w:r w:rsidR="00217EE8">
        <w:rPr>
          <w:rFonts w:cstheme="minorHAnsi"/>
        </w:rPr>
        <w:t>s</w:t>
      </w:r>
      <w:r w:rsidR="00920A4A" w:rsidRPr="00C53B1E">
        <w:rPr>
          <w:rFonts w:cstheme="minorHAnsi"/>
        </w:rPr>
        <w:t>:</w:t>
      </w:r>
    </w:p>
    <w:p w14:paraId="68DC0783" w14:textId="2FF3EEFD" w:rsidR="00920A4A" w:rsidRPr="006D79AC" w:rsidRDefault="00920A4A" w:rsidP="00B15E08">
      <w:pPr>
        <w:pStyle w:val="NoSpacing"/>
        <w:numPr>
          <w:ilvl w:val="0"/>
          <w:numId w:val="11"/>
        </w:numPr>
        <w:jc w:val="both"/>
      </w:pPr>
      <w:r w:rsidRPr="006D79AC">
        <w:t>What do you think about the work you’ve been doing with your YJS workers?</w:t>
      </w:r>
    </w:p>
    <w:p w14:paraId="4C57963C" w14:textId="77777777" w:rsidR="00820A01" w:rsidRDefault="00820A01" w:rsidP="00B15E08">
      <w:pPr>
        <w:pStyle w:val="NoSpacing"/>
        <w:ind w:left="709" w:right="946"/>
        <w:jc w:val="both"/>
        <w:rPr>
          <w:i/>
          <w:iCs/>
        </w:rPr>
      </w:pPr>
    </w:p>
    <w:p w14:paraId="636B50FE" w14:textId="77777777" w:rsidR="006D79AC" w:rsidRPr="000E7797" w:rsidRDefault="006D79AC" w:rsidP="00217EE8">
      <w:pPr>
        <w:pStyle w:val="NoSpacing"/>
        <w:numPr>
          <w:ilvl w:val="0"/>
          <w:numId w:val="11"/>
        </w:numPr>
        <w:ind w:left="1418" w:right="946" w:hanging="142"/>
        <w:jc w:val="both"/>
        <w:rPr>
          <w:i/>
          <w:iCs/>
        </w:rPr>
      </w:pPr>
      <w:r w:rsidRPr="000E7797">
        <w:rPr>
          <w:i/>
          <w:iCs/>
        </w:rPr>
        <w:t>‘</w:t>
      </w:r>
      <w:proofErr w:type="gramStart"/>
      <w:r w:rsidRPr="000E7797">
        <w:rPr>
          <w:i/>
          <w:iCs/>
        </w:rPr>
        <w:t>explained</w:t>
      </w:r>
      <w:proofErr w:type="gramEnd"/>
      <w:r w:rsidRPr="000E7797">
        <w:rPr>
          <w:i/>
          <w:iCs/>
        </w:rPr>
        <w:t xml:space="preserve"> that I’d struggle in a group and so some work was done 1:1......some at the office...some at home.  Felt that the work has helped me to stay out of trouble.... learned new skills to keep out of trouble...work on knife crime was the most useful...’ </w:t>
      </w:r>
    </w:p>
    <w:p w14:paraId="2F2CD16A" w14:textId="04D7229D" w:rsidR="00820A01" w:rsidRDefault="00920A4A" w:rsidP="00217EE8">
      <w:pPr>
        <w:pStyle w:val="NoSpacing"/>
        <w:numPr>
          <w:ilvl w:val="0"/>
          <w:numId w:val="11"/>
        </w:numPr>
        <w:ind w:left="1418" w:right="946" w:hanging="142"/>
        <w:jc w:val="both"/>
        <w:rPr>
          <w:i/>
          <w:iCs/>
        </w:rPr>
      </w:pPr>
      <w:r w:rsidRPr="000E7797">
        <w:rPr>
          <w:i/>
          <w:iCs/>
        </w:rPr>
        <w:t>‘</w:t>
      </w:r>
      <w:proofErr w:type="gramStart"/>
      <w:r w:rsidRPr="000E7797">
        <w:rPr>
          <w:i/>
          <w:iCs/>
        </w:rPr>
        <w:t>reparation</w:t>
      </w:r>
      <w:proofErr w:type="gramEnd"/>
      <w:r w:rsidRPr="000E7797">
        <w:rPr>
          <w:i/>
          <w:iCs/>
        </w:rPr>
        <w:t xml:space="preserve"> sessions were most helpful in helping me stay out of trouble</w:t>
      </w:r>
      <w:r w:rsidR="00820A01">
        <w:rPr>
          <w:i/>
          <w:iCs/>
        </w:rPr>
        <w:t>’</w:t>
      </w:r>
    </w:p>
    <w:p w14:paraId="5C191AE2" w14:textId="1DB29F35" w:rsidR="00920A4A" w:rsidRPr="000E7797" w:rsidRDefault="00820A01" w:rsidP="00217EE8">
      <w:pPr>
        <w:pStyle w:val="NoSpacing"/>
        <w:numPr>
          <w:ilvl w:val="0"/>
          <w:numId w:val="11"/>
        </w:numPr>
        <w:ind w:left="1418" w:right="946" w:hanging="142"/>
        <w:jc w:val="both"/>
        <w:rPr>
          <w:i/>
          <w:iCs/>
        </w:rPr>
      </w:pPr>
      <w:r w:rsidRPr="000E7797">
        <w:rPr>
          <w:i/>
          <w:iCs/>
        </w:rPr>
        <w:t>‘</w:t>
      </w:r>
      <w:proofErr w:type="gramStart"/>
      <w:r w:rsidR="00920A4A" w:rsidRPr="000E7797">
        <w:rPr>
          <w:i/>
          <w:iCs/>
        </w:rPr>
        <w:t>occupied</w:t>
      </w:r>
      <w:proofErr w:type="gramEnd"/>
      <w:r w:rsidR="00920A4A" w:rsidRPr="000E7797">
        <w:rPr>
          <w:i/>
          <w:iCs/>
        </w:rPr>
        <w:t xml:space="preserve"> my time, so that could not spend this time getting into trouble’  </w:t>
      </w:r>
    </w:p>
    <w:p w14:paraId="489E7C3D" w14:textId="745A0957" w:rsidR="00920A4A" w:rsidRPr="000E7797" w:rsidRDefault="00920A4A" w:rsidP="00217EE8">
      <w:pPr>
        <w:pStyle w:val="NoSpacing"/>
        <w:numPr>
          <w:ilvl w:val="0"/>
          <w:numId w:val="11"/>
        </w:numPr>
        <w:ind w:left="1418" w:right="946" w:hanging="142"/>
        <w:jc w:val="both"/>
        <w:rPr>
          <w:i/>
          <w:iCs/>
        </w:rPr>
      </w:pPr>
      <w:r w:rsidRPr="000E7797">
        <w:rPr>
          <w:i/>
          <w:iCs/>
        </w:rPr>
        <w:t>‘</w:t>
      </w:r>
      <w:proofErr w:type="gramStart"/>
      <w:r w:rsidRPr="000E7797">
        <w:rPr>
          <w:i/>
          <w:iCs/>
        </w:rPr>
        <w:t>the</w:t>
      </w:r>
      <w:proofErr w:type="gramEnd"/>
      <w:r w:rsidRPr="000E7797">
        <w:rPr>
          <w:i/>
          <w:iCs/>
        </w:rPr>
        <w:t xml:space="preserve"> work I’ve been doing with the YJS is helpful, and I can </w:t>
      </w:r>
      <w:r w:rsidR="00194BEC" w:rsidRPr="000E7797">
        <w:rPr>
          <w:i/>
          <w:iCs/>
        </w:rPr>
        <w:t>talk with</w:t>
      </w:r>
      <w:r w:rsidRPr="000E7797">
        <w:rPr>
          <w:i/>
          <w:iCs/>
        </w:rPr>
        <w:t xml:space="preserve"> my worker...</w:t>
      </w:r>
      <w:r w:rsidR="002E4909" w:rsidRPr="000E7797">
        <w:rPr>
          <w:i/>
          <w:iCs/>
        </w:rPr>
        <w:t xml:space="preserve"> </w:t>
      </w:r>
      <w:r w:rsidRPr="000E7797">
        <w:rPr>
          <w:i/>
          <w:iCs/>
        </w:rPr>
        <w:t xml:space="preserve">work on helping with his family relationships was the most helpful’ </w:t>
      </w:r>
    </w:p>
    <w:p w14:paraId="03110A4E" w14:textId="572B5449" w:rsidR="00920A4A" w:rsidRDefault="00920A4A" w:rsidP="00217EE8">
      <w:pPr>
        <w:pStyle w:val="NoSpacing"/>
        <w:numPr>
          <w:ilvl w:val="0"/>
          <w:numId w:val="11"/>
        </w:numPr>
        <w:ind w:left="1418" w:right="946" w:hanging="142"/>
        <w:jc w:val="both"/>
        <w:rPr>
          <w:i/>
          <w:iCs/>
        </w:rPr>
      </w:pPr>
      <w:r w:rsidRPr="000E7797">
        <w:rPr>
          <w:i/>
          <w:iCs/>
        </w:rPr>
        <w:t>‘</w:t>
      </w:r>
      <w:r w:rsidR="002E4909" w:rsidRPr="000E7797">
        <w:rPr>
          <w:i/>
          <w:iCs/>
        </w:rPr>
        <w:t>T</w:t>
      </w:r>
      <w:r w:rsidRPr="000E7797">
        <w:rPr>
          <w:i/>
          <w:iCs/>
        </w:rPr>
        <w:t>imes and dates for appointments suited me well.  Most of the time, I meet with worker at NGY, but that there are also home visits… feel that the balance between the two works.</w:t>
      </w:r>
      <w:r w:rsidR="002E4909" w:rsidRPr="000E7797">
        <w:rPr>
          <w:i/>
          <w:iCs/>
        </w:rPr>
        <w:t>’</w:t>
      </w:r>
      <w:r w:rsidRPr="000E7797">
        <w:rPr>
          <w:i/>
          <w:iCs/>
        </w:rPr>
        <w:t xml:space="preserve">  </w:t>
      </w:r>
    </w:p>
    <w:p w14:paraId="344D6237" w14:textId="77777777" w:rsidR="00820A01" w:rsidRPr="000E7797" w:rsidRDefault="00820A01" w:rsidP="00B15E08">
      <w:pPr>
        <w:pStyle w:val="NoSpacing"/>
        <w:ind w:left="709" w:right="946"/>
        <w:jc w:val="both"/>
        <w:rPr>
          <w:i/>
          <w:iCs/>
        </w:rPr>
      </w:pPr>
    </w:p>
    <w:p w14:paraId="0083C56B" w14:textId="43DDC1CD" w:rsidR="00920A4A" w:rsidRPr="00C53B1E" w:rsidRDefault="00C07F32" w:rsidP="00C07F32">
      <w:pPr>
        <w:ind w:left="709" w:hanging="709"/>
        <w:jc w:val="both"/>
        <w:rPr>
          <w:rFonts w:cstheme="minorHAnsi"/>
        </w:rPr>
      </w:pPr>
      <w:r>
        <w:rPr>
          <w:rFonts w:cstheme="minorHAnsi"/>
        </w:rPr>
        <w:t>2.7</w:t>
      </w:r>
      <w:r>
        <w:rPr>
          <w:rFonts w:cstheme="minorHAnsi"/>
        </w:rPr>
        <w:tab/>
      </w:r>
      <w:r>
        <w:rPr>
          <w:rFonts w:cstheme="minorHAnsi"/>
        </w:rPr>
        <w:tab/>
      </w:r>
      <w:r w:rsidR="00920A4A" w:rsidRPr="00C53B1E">
        <w:rPr>
          <w:rFonts w:cstheme="minorHAnsi"/>
        </w:rPr>
        <w:t xml:space="preserve">Other questionnaires have been designed to help explore children’s views on local issues that affect them and their lives, such as knife crime and use of social media. This is a new approach and </w:t>
      </w:r>
      <w:r w:rsidR="00AE4417" w:rsidRPr="00C53B1E">
        <w:rPr>
          <w:rFonts w:cstheme="minorHAnsi"/>
        </w:rPr>
        <w:t>each quarter the questions will be reviewed and updated</w:t>
      </w:r>
      <w:r w:rsidR="00920A4A" w:rsidRPr="00C53B1E">
        <w:rPr>
          <w:rFonts w:cstheme="minorHAnsi"/>
        </w:rPr>
        <w:t>. It is intended that children will contribute to future questions for their peers and that this themed information will be shared across the partnership to enable children’s voices being heard by decision-makers</w:t>
      </w:r>
      <w:r w:rsidR="00217EE8">
        <w:rPr>
          <w:rFonts w:cstheme="minorHAnsi"/>
        </w:rPr>
        <w:t>. Feedback from the previous participation exercises has been shared at the board and the current feedback received recently will be shared at the Board and Service Meetings</w:t>
      </w:r>
      <w:r w:rsidR="00920A4A" w:rsidRPr="00C53B1E">
        <w:rPr>
          <w:rFonts w:cstheme="minorHAnsi"/>
        </w:rPr>
        <w:t xml:space="preserve">. </w:t>
      </w:r>
    </w:p>
    <w:p w14:paraId="5A394E79" w14:textId="77777777" w:rsidR="00920A4A" w:rsidRPr="00C53B1E" w:rsidRDefault="00920A4A" w:rsidP="00B15E08">
      <w:pPr>
        <w:pStyle w:val="NoSpacing"/>
        <w:numPr>
          <w:ilvl w:val="0"/>
          <w:numId w:val="6"/>
        </w:numPr>
        <w:jc w:val="both"/>
      </w:pPr>
      <w:r w:rsidRPr="00C53B1E">
        <w:t>Do you think knife crime is a problem in Nottingham?</w:t>
      </w:r>
    </w:p>
    <w:p w14:paraId="6384560F" w14:textId="051C73E4" w:rsidR="00920A4A" w:rsidRDefault="00920A4A" w:rsidP="00B15E08">
      <w:pPr>
        <w:pStyle w:val="NoSpacing"/>
        <w:numPr>
          <w:ilvl w:val="0"/>
          <w:numId w:val="6"/>
        </w:numPr>
        <w:jc w:val="both"/>
      </w:pPr>
      <w:r w:rsidRPr="00C53B1E">
        <w:t>What should YJS be doing to make things safer?</w:t>
      </w:r>
    </w:p>
    <w:p w14:paraId="2F96A11C" w14:textId="77777777" w:rsidR="00250246" w:rsidRPr="00C53B1E" w:rsidRDefault="00250246" w:rsidP="00B15E08">
      <w:pPr>
        <w:pStyle w:val="NoSpacing"/>
        <w:jc w:val="both"/>
      </w:pPr>
    </w:p>
    <w:p w14:paraId="66E66FF0" w14:textId="77777777" w:rsidR="00920A4A" w:rsidRPr="00250246" w:rsidRDefault="00920A4A" w:rsidP="00217EE8">
      <w:pPr>
        <w:pStyle w:val="NoSpacing"/>
        <w:numPr>
          <w:ilvl w:val="0"/>
          <w:numId w:val="6"/>
        </w:numPr>
        <w:ind w:left="1418" w:right="946" w:hanging="284"/>
        <w:jc w:val="both"/>
        <w:rPr>
          <w:b/>
          <w:bCs/>
          <w:i/>
          <w:iCs/>
        </w:rPr>
      </w:pPr>
      <w:r w:rsidRPr="00250246">
        <w:rPr>
          <w:i/>
          <w:iCs/>
        </w:rPr>
        <w:t>‘Yes, a big one because everyone wants to be a gangster. Supporting more young people’</w:t>
      </w:r>
    </w:p>
    <w:p w14:paraId="31613902" w14:textId="63F6963F" w:rsidR="00920A4A" w:rsidRPr="00250246" w:rsidRDefault="00920A4A" w:rsidP="00217EE8">
      <w:pPr>
        <w:pStyle w:val="NoSpacing"/>
        <w:numPr>
          <w:ilvl w:val="0"/>
          <w:numId w:val="6"/>
        </w:numPr>
        <w:ind w:left="1418" w:right="946" w:hanging="284"/>
        <w:jc w:val="both"/>
        <w:rPr>
          <w:i/>
          <w:iCs/>
        </w:rPr>
      </w:pPr>
      <w:r w:rsidRPr="00250246">
        <w:rPr>
          <w:i/>
          <w:iCs/>
        </w:rPr>
        <w:t>‘More Youth Clubs and more sessions on them’</w:t>
      </w:r>
    </w:p>
    <w:p w14:paraId="79D4CE00" w14:textId="05EED3E5" w:rsidR="00920A4A" w:rsidRPr="00250246" w:rsidRDefault="00920A4A" w:rsidP="00217EE8">
      <w:pPr>
        <w:pStyle w:val="NoSpacing"/>
        <w:numPr>
          <w:ilvl w:val="0"/>
          <w:numId w:val="6"/>
        </w:numPr>
        <w:ind w:left="1418" w:right="946" w:hanging="284"/>
        <w:jc w:val="both"/>
        <w:rPr>
          <w:i/>
          <w:iCs/>
        </w:rPr>
      </w:pPr>
      <w:r w:rsidRPr="00250246">
        <w:rPr>
          <w:i/>
          <w:iCs/>
        </w:rPr>
        <w:t xml:space="preserve">‘Knife crime – yes – big one. </w:t>
      </w:r>
    </w:p>
    <w:p w14:paraId="52752096" w14:textId="5D97B035" w:rsidR="00920A4A" w:rsidRPr="00250246" w:rsidRDefault="00920A4A" w:rsidP="00217EE8">
      <w:pPr>
        <w:pStyle w:val="NoSpacing"/>
        <w:numPr>
          <w:ilvl w:val="0"/>
          <w:numId w:val="6"/>
        </w:numPr>
        <w:ind w:left="1418" w:right="946" w:hanging="284"/>
        <w:jc w:val="both"/>
        <w:rPr>
          <w:i/>
          <w:iCs/>
        </w:rPr>
      </w:pPr>
      <w:r w:rsidRPr="00250246">
        <w:rPr>
          <w:i/>
          <w:iCs/>
        </w:rPr>
        <w:t>‘Yes. It’s easy to get a weapon</w:t>
      </w:r>
      <w:r w:rsidR="00974F03" w:rsidRPr="00250246">
        <w:rPr>
          <w:i/>
          <w:iCs/>
        </w:rPr>
        <w:t>’</w:t>
      </w:r>
    </w:p>
    <w:p w14:paraId="726FF8AD" w14:textId="77777777" w:rsidR="00920A4A" w:rsidRPr="00250246" w:rsidRDefault="00920A4A" w:rsidP="00217EE8">
      <w:pPr>
        <w:pStyle w:val="NoSpacing"/>
        <w:numPr>
          <w:ilvl w:val="0"/>
          <w:numId w:val="6"/>
        </w:numPr>
        <w:ind w:left="1418" w:right="946" w:hanging="284"/>
        <w:jc w:val="both"/>
        <w:rPr>
          <w:i/>
          <w:iCs/>
        </w:rPr>
      </w:pPr>
      <w:r w:rsidRPr="00250246">
        <w:rPr>
          <w:i/>
          <w:iCs/>
        </w:rPr>
        <w:t>‘Not really because I don’t see it’</w:t>
      </w:r>
    </w:p>
    <w:p w14:paraId="4CA3EB0D" w14:textId="511B6D22" w:rsidR="00920A4A" w:rsidRPr="00250246" w:rsidRDefault="00920A4A" w:rsidP="00217EE8">
      <w:pPr>
        <w:pStyle w:val="NoSpacing"/>
        <w:numPr>
          <w:ilvl w:val="0"/>
          <w:numId w:val="6"/>
        </w:numPr>
        <w:ind w:left="1418" w:right="946" w:hanging="284"/>
        <w:jc w:val="both"/>
        <w:rPr>
          <w:i/>
          <w:iCs/>
        </w:rPr>
      </w:pPr>
      <w:r w:rsidRPr="00250246">
        <w:rPr>
          <w:i/>
          <w:iCs/>
        </w:rPr>
        <w:t xml:space="preserve">‘100% yes. </w:t>
      </w:r>
      <w:proofErr w:type="gramStart"/>
      <w:r w:rsidR="006D79AC" w:rsidRPr="00250246">
        <w:rPr>
          <w:i/>
          <w:iCs/>
        </w:rPr>
        <w:t>14-17-year</w:t>
      </w:r>
      <w:r w:rsidRPr="00250246">
        <w:rPr>
          <w:i/>
          <w:iCs/>
        </w:rPr>
        <w:t xml:space="preserve"> olds</w:t>
      </w:r>
      <w:proofErr w:type="gramEnd"/>
      <w:r w:rsidRPr="00250246">
        <w:rPr>
          <w:i/>
          <w:iCs/>
        </w:rPr>
        <w:t xml:space="preserve"> are carrying knives – see this in my area. YJS could exchange knives for JD vouchers. Try and block the websites that sell the weapons. Educate young people on the laws and consequences’</w:t>
      </w:r>
    </w:p>
    <w:p w14:paraId="26989506" w14:textId="40710C0F" w:rsidR="00920A4A" w:rsidRPr="00250246" w:rsidRDefault="00920A4A" w:rsidP="00217EE8">
      <w:pPr>
        <w:pStyle w:val="NoSpacing"/>
        <w:numPr>
          <w:ilvl w:val="0"/>
          <w:numId w:val="6"/>
        </w:numPr>
        <w:ind w:left="1418" w:right="946" w:hanging="284"/>
        <w:jc w:val="both"/>
        <w:rPr>
          <w:b/>
          <w:bCs/>
          <w:i/>
          <w:iCs/>
        </w:rPr>
      </w:pPr>
      <w:r w:rsidRPr="00250246">
        <w:rPr>
          <w:i/>
          <w:iCs/>
        </w:rPr>
        <w:t xml:space="preserve">‘Knife crime is a problem in Nottingham because people are going around stabbing people.... could be reduced by having cameras in public places’  </w:t>
      </w:r>
    </w:p>
    <w:p w14:paraId="4699C67E" w14:textId="1BB4234F" w:rsidR="00920A4A" w:rsidRPr="00250246" w:rsidRDefault="00920A4A" w:rsidP="00217EE8">
      <w:pPr>
        <w:pStyle w:val="NoSpacing"/>
        <w:numPr>
          <w:ilvl w:val="0"/>
          <w:numId w:val="6"/>
        </w:numPr>
        <w:ind w:left="1418" w:right="946" w:hanging="284"/>
        <w:jc w:val="both"/>
        <w:rPr>
          <w:b/>
          <w:bCs/>
          <w:i/>
          <w:iCs/>
        </w:rPr>
      </w:pPr>
      <w:r w:rsidRPr="00250246">
        <w:rPr>
          <w:i/>
          <w:iCs/>
        </w:rPr>
        <w:t>‘Yes</w:t>
      </w:r>
      <w:r w:rsidR="00250246" w:rsidRPr="00250246">
        <w:rPr>
          <w:i/>
          <w:iCs/>
        </w:rPr>
        <w:t>,</w:t>
      </w:r>
      <w:r w:rsidRPr="00250246">
        <w:rPr>
          <w:i/>
          <w:iCs/>
        </w:rPr>
        <w:t xml:space="preserve"> you see it on the news people getting stabbed. YJS can do what we’re already doing, I don’t think nothing will change with knives and knife crime’</w:t>
      </w:r>
    </w:p>
    <w:p w14:paraId="1460BC46" w14:textId="5BC0A924" w:rsidR="00920A4A" w:rsidRDefault="00920A4A" w:rsidP="00217EE8">
      <w:pPr>
        <w:pStyle w:val="NoSpacing"/>
        <w:numPr>
          <w:ilvl w:val="0"/>
          <w:numId w:val="6"/>
        </w:numPr>
        <w:ind w:left="1418" w:right="946" w:hanging="284"/>
        <w:jc w:val="both"/>
        <w:rPr>
          <w:i/>
          <w:iCs/>
        </w:rPr>
      </w:pPr>
      <w:r w:rsidRPr="00250246">
        <w:rPr>
          <w:i/>
          <w:iCs/>
        </w:rPr>
        <w:lastRenderedPageBreak/>
        <w:t xml:space="preserve">‘Average. Less in other areas such as the countryside but it is worse in London. There is nothing you can do’ </w:t>
      </w:r>
    </w:p>
    <w:p w14:paraId="0925AAF7" w14:textId="77777777" w:rsidR="00250246" w:rsidRPr="00250246" w:rsidRDefault="00250246" w:rsidP="00B15E08">
      <w:pPr>
        <w:pStyle w:val="NoSpacing"/>
        <w:jc w:val="both"/>
        <w:rPr>
          <w:i/>
          <w:iCs/>
        </w:rPr>
      </w:pPr>
    </w:p>
    <w:p w14:paraId="1E343628" w14:textId="5958E5A5" w:rsidR="00920A4A" w:rsidRPr="00C53B1E" w:rsidRDefault="003151CC" w:rsidP="003151CC">
      <w:pPr>
        <w:ind w:left="709" w:hanging="709"/>
        <w:jc w:val="both"/>
        <w:rPr>
          <w:rFonts w:cstheme="minorHAnsi"/>
        </w:rPr>
      </w:pPr>
      <w:r>
        <w:rPr>
          <w:rFonts w:cstheme="minorHAnsi"/>
        </w:rPr>
        <w:t>2.8</w:t>
      </w:r>
      <w:r>
        <w:rPr>
          <w:rFonts w:cstheme="minorHAnsi"/>
        </w:rPr>
        <w:tab/>
      </w:r>
      <w:r w:rsidR="00920A4A" w:rsidRPr="00C53B1E">
        <w:rPr>
          <w:rFonts w:cstheme="minorHAnsi"/>
        </w:rPr>
        <w:t xml:space="preserve">Children have contributed to our recruitment processes, most recently for </w:t>
      </w:r>
      <w:r w:rsidR="00A06EC5" w:rsidRPr="00C53B1E">
        <w:rPr>
          <w:rFonts w:cstheme="minorHAnsi"/>
        </w:rPr>
        <w:t xml:space="preserve">Targeted Youth Support </w:t>
      </w:r>
      <w:r w:rsidR="00920A4A" w:rsidRPr="00C53B1E">
        <w:rPr>
          <w:rFonts w:cstheme="minorHAnsi"/>
        </w:rPr>
        <w:t xml:space="preserve">posts </w:t>
      </w:r>
      <w:r w:rsidR="00A06EC5" w:rsidRPr="00C53B1E">
        <w:rPr>
          <w:rFonts w:cstheme="minorHAnsi"/>
        </w:rPr>
        <w:t xml:space="preserve">within </w:t>
      </w:r>
      <w:r w:rsidR="00920A4A" w:rsidRPr="00C53B1E">
        <w:rPr>
          <w:rFonts w:cstheme="minorHAnsi"/>
        </w:rPr>
        <w:t xml:space="preserve">the new Turnaround Project. Here they conducted separate interviews with the candidates, supported by a staff member. </w:t>
      </w:r>
    </w:p>
    <w:p w14:paraId="540E6DC1" w14:textId="3A14028D" w:rsidR="00920A4A" w:rsidRPr="00C53B1E" w:rsidRDefault="003151CC" w:rsidP="003151CC">
      <w:pPr>
        <w:ind w:left="709" w:hanging="709"/>
        <w:jc w:val="both"/>
        <w:rPr>
          <w:rFonts w:cstheme="minorHAnsi"/>
        </w:rPr>
      </w:pPr>
      <w:r>
        <w:rPr>
          <w:rFonts w:cstheme="minorHAnsi"/>
        </w:rPr>
        <w:t>2.9</w:t>
      </w:r>
      <w:r>
        <w:rPr>
          <w:rFonts w:cstheme="minorHAnsi"/>
        </w:rPr>
        <w:tab/>
      </w:r>
      <w:r w:rsidR="00920A4A" w:rsidRPr="00C53B1E">
        <w:rPr>
          <w:rFonts w:cstheme="minorHAnsi"/>
        </w:rPr>
        <w:t>We continue to be linked with NCC’s Research, Engagement and Consultation (REC) team, the purpose of which is to enable the council to ensure children’s’ v</w:t>
      </w:r>
      <w:r w:rsidR="00A06EC5" w:rsidRPr="00C53B1E">
        <w:rPr>
          <w:rFonts w:cstheme="minorHAnsi"/>
        </w:rPr>
        <w:t>o</w:t>
      </w:r>
      <w:r w:rsidR="00920A4A" w:rsidRPr="00C53B1E">
        <w:rPr>
          <w:rFonts w:cstheme="minorHAnsi"/>
        </w:rPr>
        <w:t xml:space="preserve">ices are heard at every point of their journey with </w:t>
      </w:r>
      <w:r w:rsidR="00291D96" w:rsidRPr="00C53B1E">
        <w:rPr>
          <w:rFonts w:cstheme="minorHAnsi"/>
        </w:rPr>
        <w:t>us and</w:t>
      </w:r>
      <w:r w:rsidR="00920A4A" w:rsidRPr="00C53B1E">
        <w:rPr>
          <w:rFonts w:cstheme="minorHAnsi"/>
        </w:rPr>
        <w:t xml:space="preserve"> set the standard for all our work.</w:t>
      </w:r>
      <w:r w:rsidR="00291D96" w:rsidRPr="00C53B1E">
        <w:rPr>
          <w:rFonts w:cstheme="minorHAnsi"/>
        </w:rPr>
        <w:t xml:space="preserve"> YJS staff are also contributing to the city’s goals of being a UN Child Friendly City. </w:t>
      </w:r>
    </w:p>
    <w:p w14:paraId="4FF4BC23" w14:textId="1627622B" w:rsidR="00920A4A" w:rsidRDefault="003151CC" w:rsidP="003151CC">
      <w:pPr>
        <w:ind w:left="709" w:hanging="709"/>
        <w:jc w:val="both"/>
        <w:rPr>
          <w:rFonts w:cstheme="minorHAnsi"/>
        </w:rPr>
      </w:pPr>
      <w:r>
        <w:rPr>
          <w:rFonts w:cstheme="minorHAnsi"/>
        </w:rPr>
        <w:t>2.10</w:t>
      </w:r>
      <w:r>
        <w:rPr>
          <w:rFonts w:cstheme="minorHAnsi"/>
        </w:rPr>
        <w:tab/>
      </w:r>
      <w:r w:rsidR="00920A4A" w:rsidRPr="00C53B1E">
        <w:rPr>
          <w:rFonts w:cstheme="minorHAnsi"/>
        </w:rPr>
        <w:t>We hold participation group sessions at our Saturday Attendance Centre which will again follow a thematic approach.</w:t>
      </w:r>
      <w:r w:rsidR="00A06EC5" w:rsidRPr="00C53B1E">
        <w:rPr>
          <w:rFonts w:cstheme="minorHAnsi"/>
        </w:rPr>
        <w:t xml:space="preserve"> </w:t>
      </w:r>
      <w:r w:rsidR="00834F8B" w:rsidRPr="00C53B1E">
        <w:rPr>
          <w:rFonts w:cstheme="minorHAnsi"/>
        </w:rPr>
        <w:t xml:space="preserve">Future </w:t>
      </w:r>
      <w:r w:rsidR="00920A4A" w:rsidRPr="00C53B1E">
        <w:rPr>
          <w:rFonts w:cstheme="minorHAnsi"/>
        </w:rPr>
        <w:t>plan</w:t>
      </w:r>
      <w:r w:rsidR="00834F8B" w:rsidRPr="00C53B1E">
        <w:rPr>
          <w:rFonts w:cstheme="minorHAnsi"/>
        </w:rPr>
        <w:t>s involve</w:t>
      </w:r>
      <w:r w:rsidR="00920A4A" w:rsidRPr="00C53B1E">
        <w:rPr>
          <w:rFonts w:cstheme="minorHAnsi"/>
        </w:rPr>
        <w:t xml:space="preserve"> </w:t>
      </w:r>
      <w:r w:rsidR="00834F8B" w:rsidRPr="00C53B1E">
        <w:rPr>
          <w:rFonts w:cstheme="minorHAnsi"/>
        </w:rPr>
        <w:t xml:space="preserve">the </w:t>
      </w:r>
      <w:r w:rsidR="00920A4A" w:rsidRPr="00C53B1E">
        <w:rPr>
          <w:rFonts w:cstheme="minorHAnsi"/>
        </w:rPr>
        <w:t>develop</w:t>
      </w:r>
      <w:r w:rsidR="00834F8B" w:rsidRPr="00C53B1E">
        <w:rPr>
          <w:rFonts w:cstheme="minorHAnsi"/>
        </w:rPr>
        <w:t xml:space="preserve">ment of </w:t>
      </w:r>
      <w:r w:rsidR="00920A4A" w:rsidRPr="00C53B1E">
        <w:rPr>
          <w:rFonts w:cstheme="minorHAnsi"/>
        </w:rPr>
        <w:t>additional approaches to enable children to have access to decision-makers, such as drop-in sessions with the Service Manager, and work with the YJS board members to create representation at board meetings.</w:t>
      </w:r>
      <w:r>
        <w:rPr>
          <w:rFonts w:cstheme="minorHAnsi"/>
        </w:rPr>
        <w:t xml:space="preserve"> </w:t>
      </w:r>
      <w:r w:rsidR="00920A4A" w:rsidRPr="00C53B1E">
        <w:rPr>
          <w:rFonts w:cstheme="minorHAnsi"/>
        </w:rPr>
        <w:t>We also plan to embed participation further by involving parents</w:t>
      </w:r>
      <w:r w:rsidR="00834F8B" w:rsidRPr="00C53B1E">
        <w:rPr>
          <w:rFonts w:cstheme="minorHAnsi"/>
        </w:rPr>
        <w:t xml:space="preserve"> and </w:t>
      </w:r>
      <w:r w:rsidR="002E6E9A" w:rsidRPr="00C53B1E">
        <w:rPr>
          <w:rFonts w:cstheme="minorHAnsi"/>
        </w:rPr>
        <w:t>carers,</w:t>
      </w:r>
      <w:r w:rsidR="00920A4A" w:rsidRPr="00C53B1E">
        <w:rPr>
          <w:rFonts w:cstheme="minorHAnsi"/>
        </w:rPr>
        <w:t xml:space="preserve"> so they are able to contribute to future YJS developments. As a minimum, we plan for parents</w:t>
      </w:r>
      <w:r w:rsidR="00834F8B" w:rsidRPr="00C53B1E">
        <w:rPr>
          <w:rFonts w:cstheme="minorHAnsi"/>
        </w:rPr>
        <w:t xml:space="preserve"> and </w:t>
      </w:r>
      <w:r w:rsidR="00920A4A" w:rsidRPr="00C53B1E">
        <w:rPr>
          <w:rFonts w:cstheme="minorHAnsi"/>
        </w:rPr>
        <w:t xml:space="preserve">carers to be contacted by a YJS manager towards the end of every intervention to gather experiences and views with a view to service improvement. </w:t>
      </w:r>
    </w:p>
    <w:p w14:paraId="3BB12ADC" w14:textId="612C7177" w:rsidR="005A6600" w:rsidRDefault="003151CC" w:rsidP="003151CC">
      <w:pPr>
        <w:pStyle w:val="NoSpacing"/>
        <w:ind w:left="709" w:hanging="709"/>
        <w:jc w:val="both"/>
      </w:pPr>
      <w:r>
        <w:t>2.11</w:t>
      </w:r>
      <w:r>
        <w:tab/>
      </w:r>
      <w:r w:rsidR="005A6600">
        <w:t>Following</w:t>
      </w:r>
      <w:r w:rsidR="00D5035B">
        <w:t xml:space="preserve"> </w:t>
      </w:r>
      <w:r w:rsidR="002569ED">
        <w:t xml:space="preserve">a participation exercise reflecting upon children’s </w:t>
      </w:r>
      <w:r w:rsidR="008A7422">
        <w:t>experiences with their case manager</w:t>
      </w:r>
      <w:r w:rsidR="005A6082">
        <w:t xml:space="preserve">, the below </w:t>
      </w:r>
      <w:r w:rsidR="00603107">
        <w:t xml:space="preserve">word art was created demonstrating the positive regard case managers are held in by their children. </w:t>
      </w:r>
      <w:r w:rsidR="005A6600">
        <w:t xml:space="preserve"> </w:t>
      </w:r>
    </w:p>
    <w:p w14:paraId="1450699E" w14:textId="6BF09169" w:rsidR="005A6600" w:rsidRDefault="005A6600" w:rsidP="00B15E08">
      <w:pPr>
        <w:jc w:val="both"/>
        <w:rPr>
          <w:rFonts w:cstheme="minorHAnsi"/>
        </w:rPr>
      </w:pPr>
    </w:p>
    <w:p w14:paraId="07076022" w14:textId="3365172E" w:rsidR="005A6600" w:rsidRDefault="005A6600" w:rsidP="00B15E08">
      <w:pPr>
        <w:jc w:val="both"/>
        <w:rPr>
          <w:rFonts w:cstheme="minorHAnsi"/>
        </w:rPr>
      </w:pPr>
      <w:r>
        <w:rPr>
          <w:noProof/>
          <w:lang w:eastAsia="en-GB"/>
        </w:rPr>
        <w:drawing>
          <wp:inline distT="0" distB="0" distL="0" distR="0" wp14:anchorId="06E7F787" wp14:editId="15F46675">
            <wp:extent cx="5731510" cy="2632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632075"/>
                    </a:xfrm>
                    <a:prstGeom prst="rect">
                      <a:avLst/>
                    </a:prstGeom>
                    <a:noFill/>
                    <a:ln>
                      <a:noFill/>
                    </a:ln>
                  </pic:spPr>
                </pic:pic>
              </a:graphicData>
            </a:graphic>
          </wp:inline>
        </w:drawing>
      </w:r>
    </w:p>
    <w:p w14:paraId="4695E970" w14:textId="0DEBD42D" w:rsidR="007B0DBF" w:rsidRDefault="003151CC" w:rsidP="003151CC">
      <w:pPr>
        <w:pStyle w:val="NoSpacing"/>
        <w:ind w:left="720" w:hanging="720"/>
        <w:jc w:val="both"/>
        <w:rPr>
          <w:rFonts w:cstheme="minorHAnsi"/>
        </w:rPr>
      </w:pPr>
      <w:r w:rsidRPr="003151CC">
        <w:rPr>
          <w:rFonts w:cstheme="minorHAnsi"/>
        </w:rPr>
        <w:t>2.12</w:t>
      </w:r>
      <w:r w:rsidRPr="003151CC">
        <w:rPr>
          <w:rFonts w:cstheme="minorHAnsi"/>
        </w:rPr>
        <w:tab/>
      </w:r>
      <w:r w:rsidR="007B0DBF" w:rsidRPr="00C53B1E">
        <w:rPr>
          <w:rFonts w:cstheme="minorHAnsi"/>
          <w:b/>
          <w:bCs/>
        </w:rPr>
        <w:t xml:space="preserve">Promote diversion: </w:t>
      </w:r>
      <w:r w:rsidR="007B0DBF" w:rsidRPr="00C53B1E">
        <w:rPr>
          <w:rFonts w:cstheme="minorHAnsi"/>
        </w:rPr>
        <w:t>Working with the Police and the Courts, we seek to identify opportunities to divert children from the Youth Justice System whilst ensuring unmet needs are addressed by the appropriate partner agencies. This is exemplified by the membership and work of the Out of Court Panel and the excellent work completed by the Targeted Youth Support</w:t>
      </w:r>
      <w:r w:rsidR="007B0DBF">
        <w:rPr>
          <w:rFonts w:cstheme="minorHAnsi"/>
        </w:rPr>
        <w:t>.</w:t>
      </w:r>
    </w:p>
    <w:p w14:paraId="4D5E988C" w14:textId="578E1E15" w:rsidR="007B0DBF" w:rsidRDefault="007B0DBF" w:rsidP="00B15E08">
      <w:pPr>
        <w:pStyle w:val="NoSpacing"/>
        <w:jc w:val="both"/>
        <w:rPr>
          <w:rFonts w:cstheme="minorHAnsi"/>
        </w:rPr>
      </w:pPr>
    </w:p>
    <w:p w14:paraId="0224FF06" w14:textId="73B9F868" w:rsidR="00D663D6" w:rsidRPr="00EB00D4" w:rsidRDefault="003151CC" w:rsidP="003151CC">
      <w:pPr>
        <w:pStyle w:val="NoSpacing"/>
        <w:ind w:left="720" w:hanging="720"/>
        <w:jc w:val="both"/>
      </w:pPr>
      <w:r>
        <w:t>2.13</w:t>
      </w:r>
      <w:r>
        <w:tab/>
      </w:r>
      <w:r w:rsidR="00D663D6">
        <w:t xml:space="preserve">Nottingham City continue to have one of the highest First Time Entrant (FTE) </w:t>
      </w:r>
      <w:r w:rsidR="00CF0563">
        <w:t>rates</w:t>
      </w:r>
      <w:r w:rsidR="00D663D6">
        <w:t xml:space="preserve"> in the country and as such reducing FTEs into the CJS and promoting diversion has been and continues to be one of our strategic priorities.</w:t>
      </w:r>
      <w:r w:rsidR="00EB00D4">
        <w:t xml:space="preserve">  We have undertaken an extensive set of actions to support this priority, including working with partners </w:t>
      </w:r>
      <w:r w:rsidR="0062670A">
        <w:t xml:space="preserve">to review the </w:t>
      </w:r>
      <w:r w:rsidR="00EB00D4">
        <w:t xml:space="preserve">Inclusive Schools </w:t>
      </w:r>
      <w:r w:rsidR="0062670A">
        <w:t xml:space="preserve">policy, continuing to support the </w:t>
      </w:r>
      <w:r w:rsidR="00EB00D4">
        <w:t>AP strategy,</w:t>
      </w:r>
      <w:r w:rsidR="0062670A">
        <w:t xml:space="preserve"> and working with the Police and County YJS to review </w:t>
      </w:r>
      <w:r w:rsidR="0062670A">
        <w:lastRenderedPageBreak/>
        <w:t xml:space="preserve">the </w:t>
      </w:r>
      <w:r w:rsidR="00CF0563">
        <w:t>knife crime process as part of the Joint Out of Court policy</w:t>
      </w:r>
      <w:r w:rsidR="00EB00D4">
        <w:t>.</w:t>
      </w:r>
      <w:r w:rsidR="00217EE8">
        <w:t xml:space="preserve"> We anticipate these programmes and change processes to have significant impact upon our First Time Entrant cohort as we see decision-making for assessment and risk management placed in the hands of the YJS Case Managers. </w:t>
      </w:r>
    </w:p>
    <w:p w14:paraId="32895CD0" w14:textId="77777777" w:rsidR="00D663D6" w:rsidRDefault="00D663D6" w:rsidP="00B15E08">
      <w:pPr>
        <w:pStyle w:val="NoSpacing"/>
        <w:jc w:val="both"/>
        <w:rPr>
          <w:rFonts w:cstheme="minorHAnsi"/>
        </w:rPr>
      </w:pPr>
    </w:p>
    <w:p w14:paraId="602AFBFA" w14:textId="6C9341AC" w:rsidR="007B0DBF" w:rsidRDefault="003151CC" w:rsidP="003151CC">
      <w:pPr>
        <w:pStyle w:val="NoSpacing"/>
        <w:ind w:left="720" w:hanging="720"/>
        <w:jc w:val="both"/>
        <w:rPr>
          <w:rFonts w:cstheme="minorHAnsi"/>
        </w:rPr>
      </w:pPr>
      <w:r>
        <w:t>2.14</w:t>
      </w:r>
      <w:r>
        <w:tab/>
      </w:r>
      <w:r w:rsidR="007B0DBF">
        <w:t>Whilst one of our key strategic priorities is to continue to embed a child first youth justice service, the board are equally aware that we remain a Criminal Justice Agency and as such need to ensure that our child first principles does not detract from our ability to manage children’s presenting risk and vulnerabilities equally. Nottingham City YJS is committed to ensure that we protect victims and ensure that the voice of the victim continues to be heard across our system.</w:t>
      </w:r>
      <w:r w:rsidR="00217EE8">
        <w:t xml:space="preserve"> The recruitment of a new Victim and Restorative practitioner and the recording and monitoring of this data as part of the new Key Performance Indicators will allow us to better collate, analyse and share this information. </w:t>
      </w:r>
    </w:p>
    <w:p w14:paraId="48166268" w14:textId="77777777" w:rsidR="002010D8" w:rsidRDefault="002010D8" w:rsidP="00B15E08">
      <w:pPr>
        <w:pStyle w:val="NoSpacing"/>
        <w:jc w:val="both"/>
        <w:rPr>
          <w:rFonts w:cstheme="minorHAnsi"/>
          <w:b/>
          <w:bCs/>
          <w:sz w:val="24"/>
          <w:szCs w:val="24"/>
          <w:lang w:eastAsia="en-GB"/>
        </w:rPr>
      </w:pPr>
    </w:p>
    <w:p w14:paraId="363F84CE" w14:textId="77777777" w:rsidR="00A60808" w:rsidRDefault="00A60808" w:rsidP="00B15E08">
      <w:pPr>
        <w:pStyle w:val="NoSpacing"/>
        <w:jc w:val="both"/>
        <w:rPr>
          <w:rStyle w:val="Heading1Char"/>
        </w:rPr>
      </w:pPr>
    </w:p>
    <w:p w14:paraId="65D31A33" w14:textId="3ABB15C9" w:rsidR="0079185B" w:rsidRPr="00FB5B91" w:rsidRDefault="0079185B" w:rsidP="00B15E08">
      <w:pPr>
        <w:pStyle w:val="NoSpacing"/>
        <w:jc w:val="both"/>
        <w:rPr>
          <w:rStyle w:val="Heading1Char"/>
        </w:rPr>
      </w:pPr>
      <w:bookmarkStart w:id="3" w:name="_Toc156206875"/>
      <w:r w:rsidRPr="00FB5B91">
        <w:rPr>
          <w:rStyle w:val="Heading1Char"/>
        </w:rPr>
        <w:t>Governance, leadership, and partnership arrangements</w:t>
      </w:r>
      <w:bookmarkEnd w:id="3"/>
    </w:p>
    <w:p w14:paraId="6682D43E" w14:textId="41DAA997" w:rsidR="007C743C" w:rsidRPr="00C53B1E" w:rsidRDefault="007C743C" w:rsidP="00B15E08">
      <w:pPr>
        <w:pStyle w:val="NoSpacing"/>
        <w:jc w:val="both"/>
        <w:rPr>
          <w:rFonts w:cstheme="minorHAnsi"/>
          <w:b/>
          <w:bCs/>
          <w:lang w:eastAsia="en-GB"/>
        </w:rPr>
      </w:pPr>
    </w:p>
    <w:p w14:paraId="117D6C12" w14:textId="228AA9A0" w:rsidR="00BA1099" w:rsidRPr="00C53B1E" w:rsidRDefault="003151CC" w:rsidP="003151CC">
      <w:pPr>
        <w:pStyle w:val="NoSpacing"/>
        <w:ind w:left="720" w:hanging="720"/>
        <w:jc w:val="both"/>
        <w:rPr>
          <w:rFonts w:cstheme="minorHAnsi"/>
        </w:rPr>
      </w:pPr>
      <w:r>
        <w:rPr>
          <w:rFonts w:cstheme="minorHAnsi"/>
        </w:rPr>
        <w:t>3.1</w:t>
      </w:r>
      <w:r>
        <w:rPr>
          <w:rFonts w:cstheme="minorHAnsi"/>
        </w:rPr>
        <w:tab/>
      </w:r>
      <w:r w:rsidR="00BA1099" w:rsidRPr="00C53B1E">
        <w:rPr>
          <w:rFonts w:cstheme="minorHAnsi"/>
        </w:rPr>
        <w:t xml:space="preserve">The YJS sits within the Early Help service area as an integral part of Children’s Integrated Services (CIS), under the People’s directorate. </w:t>
      </w:r>
    </w:p>
    <w:p w14:paraId="13A7B6A0" w14:textId="77777777" w:rsidR="00BA1099" w:rsidRPr="00C53B1E" w:rsidRDefault="00BA1099" w:rsidP="00B15E08">
      <w:pPr>
        <w:pStyle w:val="NoSpacing"/>
        <w:jc w:val="both"/>
        <w:rPr>
          <w:rFonts w:cstheme="minorHAnsi"/>
        </w:rPr>
      </w:pPr>
    </w:p>
    <w:p w14:paraId="2415C190" w14:textId="0559C852" w:rsidR="00BA1099" w:rsidRDefault="003151CC" w:rsidP="003151CC">
      <w:pPr>
        <w:pStyle w:val="NoSpacing"/>
        <w:ind w:left="720" w:hanging="720"/>
        <w:jc w:val="both"/>
        <w:rPr>
          <w:rFonts w:cstheme="minorHAnsi"/>
        </w:rPr>
      </w:pPr>
      <w:r>
        <w:rPr>
          <w:rFonts w:cstheme="minorHAnsi"/>
        </w:rPr>
        <w:t>3.2</w:t>
      </w:r>
      <w:r>
        <w:rPr>
          <w:rFonts w:cstheme="minorHAnsi"/>
        </w:rPr>
        <w:tab/>
      </w:r>
      <w:r w:rsidR="00BA1099" w:rsidRPr="00C53B1E">
        <w:rPr>
          <w:rFonts w:cstheme="minorHAnsi"/>
        </w:rPr>
        <w:t>At the same time, the YJS retains its identity, management</w:t>
      </w:r>
      <w:r w:rsidR="007F703C" w:rsidRPr="00C53B1E">
        <w:rPr>
          <w:rFonts w:cstheme="minorHAnsi"/>
        </w:rPr>
        <w:t>,</w:t>
      </w:r>
      <w:r w:rsidR="00BA1099" w:rsidRPr="00C53B1E">
        <w:rPr>
          <w:rFonts w:cstheme="minorHAnsi"/>
        </w:rPr>
        <w:t xml:space="preserve"> and governance in accordance with YJB guidance. The location of the YJS within CIS ensures that children who offend or are at risk of offending are recognised as children and children in need, whose vulnerability is often expressed through offending behaviour. It also means the level of support needed for children can be escalated and de-escalated in accordance with need and risk. Through Early Help, the YJS has access to a range of universal, targeted and specialist services, including </w:t>
      </w:r>
      <w:r w:rsidR="00BA1099" w:rsidRPr="00770203">
        <w:rPr>
          <w:rFonts w:cstheme="minorHAnsi"/>
        </w:rPr>
        <w:t>Youth</w:t>
      </w:r>
      <w:r w:rsidR="00770203" w:rsidRPr="00770203">
        <w:rPr>
          <w:rFonts w:cstheme="minorHAnsi"/>
        </w:rPr>
        <w:t xml:space="preserve"> Service</w:t>
      </w:r>
      <w:r w:rsidR="007F703C" w:rsidRPr="00C53B1E">
        <w:rPr>
          <w:rFonts w:cstheme="minorHAnsi"/>
        </w:rPr>
        <w:t>;</w:t>
      </w:r>
      <w:r w:rsidR="00BA1099" w:rsidRPr="00C53B1E">
        <w:rPr>
          <w:rFonts w:cstheme="minorHAnsi"/>
        </w:rPr>
        <w:t xml:space="preserve"> Child and Adolescent Mental Health (CAMHS), Education, Supporting Families and Children’s Centres. </w:t>
      </w:r>
    </w:p>
    <w:p w14:paraId="021C5437" w14:textId="4B96BD1E" w:rsidR="00FA0FA4" w:rsidRDefault="00FA0FA4" w:rsidP="00B15E08">
      <w:pPr>
        <w:pStyle w:val="NoSpacing"/>
        <w:jc w:val="both"/>
        <w:rPr>
          <w:rFonts w:cstheme="minorHAnsi"/>
        </w:rPr>
      </w:pPr>
    </w:p>
    <w:p w14:paraId="1C4C367D" w14:textId="2EBC3BFE" w:rsidR="00B76B96" w:rsidRDefault="003151CC" w:rsidP="003151CC">
      <w:pPr>
        <w:pStyle w:val="NoSpacing"/>
        <w:ind w:left="720" w:hanging="720"/>
        <w:jc w:val="both"/>
      </w:pPr>
      <w:r>
        <w:t>3.3</w:t>
      </w:r>
      <w:r>
        <w:tab/>
      </w:r>
      <w:r w:rsidR="00FA0FA4">
        <w:t>Operational partnership support includes two police officers</w:t>
      </w:r>
      <w:r w:rsidR="005445C2">
        <w:t xml:space="preserve">, police administrative support, one PCSO, </w:t>
      </w:r>
      <w:r w:rsidR="00FA0FA4">
        <w:t>a part</w:t>
      </w:r>
      <w:r w:rsidR="005445C2">
        <w:t>-</w:t>
      </w:r>
      <w:r w:rsidR="00FA0FA4">
        <w:t>time Probation</w:t>
      </w:r>
      <w:r w:rsidR="005445C2">
        <w:t>,</w:t>
      </w:r>
      <w:r w:rsidR="00FA0FA4">
        <w:t xml:space="preserve"> </w:t>
      </w:r>
      <w:r w:rsidR="00DB0F51">
        <w:t>and Probation Service</w:t>
      </w:r>
      <w:r w:rsidR="005445C2">
        <w:t>,</w:t>
      </w:r>
      <w:r w:rsidR="00DB0F51">
        <w:t xml:space="preserve"> </w:t>
      </w:r>
      <w:r w:rsidR="00FA0FA4">
        <w:t xml:space="preserve">Officer. </w:t>
      </w:r>
      <w:r w:rsidR="00A43349">
        <w:t xml:space="preserve">With regards to </w:t>
      </w:r>
      <w:proofErr w:type="gramStart"/>
      <w:r w:rsidR="00A43349">
        <w:t>Health</w:t>
      </w:r>
      <w:proofErr w:type="gramEnd"/>
      <w:r w:rsidR="00A43349">
        <w:t xml:space="preserve"> we had a Learning Disability specialist </w:t>
      </w:r>
      <w:r w:rsidR="004A02E8">
        <w:t xml:space="preserve">nurse, two </w:t>
      </w:r>
      <w:r w:rsidR="002D1EB9">
        <w:t xml:space="preserve">specialist YJS </w:t>
      </w:r>
      <w:r w:rsidR="0016740A">
        <w:t>nurse</w:t>
      </w:r>
      <w:r w:rsidR="002D1EB9">
        <w:t xml:space="preserve">s and </w:t>
      </w:r>
      <w:r w:rsidR="0016740A">
        <w:t>a Futures employment specialist</w:t>
      </w:r>
      <w:r w:rsidR="002D1EB9">
        <w:t xml:space="preserve"> seconded to the Nottingham Works for You project. </w:t>
      </w:r>
      <w:r w:rsidR="006E6433">
        <w:t xml:space="preserve">We also have commissioned services provided by Change, Grow, Live substance use provision and CAMHS support. </w:t>
      </w:r>
    </w:p>
    <w:p w14:paraId="7DA1CC3B" w14:textId="4324F775" w:rsidR="008519DF" w:rsidRDefault="008519DF" w:rsidP="00B15E08">
      <w:pPr>
        <w:pStyle w:val="NoSpacing"/>
        <w:jc w:val="both"/>
      </w:pPr>
    </w:p>
    <w:p w14:paraId="7C361F70" w14:textId="175B9EC1" w:rsidR="008519DF" w:rsidRDefault="003151CC" w:rsidP="003151CC">
      <w:pPr>
        <w:pStyle w:val="NoSpacing"/>
        <w:ind w:left="720" w:hanging="720"/>
        <w:jc w:val="both"/>
      </w:pPr>
      <w:r>
        <w:t>3.4</w:t>
      </w:r>
      <w:r>
        <w:tab/>
      </w:r>
      <w:r w:rsidR="008519DF">
        <w:t xml:space="preserve">The YJS’ head of service role is </w:t>
      </w:r>
      <w:r w:rsidR="0018267F">
        <w:t xml:space="preserve">Head of Service of Early Help </w:t>
      </w:r>
      <w:r w:rsidR="008519DF">
        <w:t xml:space="preserve">at Assistant Director level. The roles other responsibilities include CAMHS, </w:t>
      </w:r>
      <w:r w:rsidR="00F625E5">
        <w:t>Early Help</w:t>
      </w:r>
      <w:r w:rsidR="0018267F">
        <w:t xml:space="preserve"> and Behaviour and Emotional Health, </w:t>
      </w:r>
      <w:r w:rsidR="001D5614">
        <w:t>Supported Families</w:t>
      </w:r>
      <w:r w:rsidR="00FF1C5B">
        <w:t xml:space="preserve"> and Family Intervention, </w:t>
      </w:r>
      <w:r w:rsidR="00770203">
        <w:t>and the Youth Service.</w:t>
      </w:r>
    </w:p>
    <w:p w14:paraId="71AF75F2" w14:textId="77777777" w:rsidR="00BA1099" w:rsidRPr="00C53B1E" w:rsidRDefault="00BA1099" w:rsidP="00B15E08">
      <w:pPr>
        <w:pStyle w:val="NoSpacing"/>
        <w:jc w:val="both"/>
        <w:rPr>
          <w:rFonts w:cstheme="minorHAnsi"/>
        </w:rPr>
      </w:pPr>
    </w:p>
    <w:p w14:paraId="734CAD70" w14:textId="606C01D5" w:rsidR="00BA1099" w:rsidRPr="00C53B1E" w:rsidRDefault="003151CC" w:rsidP="003151CC">
      <w:pPr>
        <w:pStyle w:val="NoSpacing"/>
        <w:ind w:left="720" w:hanging="720"/>
        <w:jc w:val="both"/>
        <w:rPr>
          <w:rFonts w:cstheme="minorHAnsi"/>
        </w:rPr>
      </w:pPr>
      <w:r>
        <w:rPr>
          <w:rFonts w:cstheme="minorHAnsi"/>
        </w:rPr>
        <w:t>3.5</w:t>
      </w:r>
      <w:r>
        <w:rPr>
          <w:rFonts w:cstheme="minorHAnsi"/>
        </w:rPr>
        <w:tab/>
      </w:r>
      <w:r w:rsidR="00BA1099" w:rsidRPr="00C53B1E">
        <w:rPr>
          <w:rFonts w:cstheme="minorHAnsi"/>
        </w:rPr>
        <w:t xml:space="preserve">Strategic direction, clear oversight and integrated strategic partnership working is critical to the success and effective delivery of youth justice services. The YJS Management Board is chaired by the Corporate Director for People and has representatives at an appropriate level of seniority from by all key statutory partners. The quarterly Board meetings provide robust challenge and oversight of performance and quality assurance against national and local performance indicators. </w:t>
      </w:r>
    </w:p>
    <w:p w14:paraId="5FA68A83" w14:textId="77777777" w:rsidR="00BA1099" w:rsidRPr="00C53B1E" w:rsidRDefault="00BA1099" w:rsidP="00B15E08">
      <w:pPr>
        <w:pStyle w:val="NoSpacing"/>
        <w:jc w:val="both"/>
        <w:rPr>
          <w:rFonts w:cstheme="minorHAnsi"/>
        </w:rPr>
      </w:pPr>
    </w:p>
    <w:p w14:paraId="131CA1ED" w14:textId="2A593251" w:rsidR="00BA1099" w:rsidRDefault="00256925" w:rsidP="00256925">
      <w:pPr>
        <w:pStyle w:val="NoSpacing"/>
        <w:ind w:left="720" w:hanging="720"/>
        <w:jc w:val="both"/>
        <w:rPr>
          <w:rFonts w:cstheme="minorHAnsi"/>
        </w:rPr>
      </w:pPr>
      <w:r>
        <w:rPr>
          <w:rFonts w:cstheme="minorHAnsi"/>
        </w:rPr>
        <w:t>3.6</w:t>
      </w:r>
      <w:r>
        <w:rPr>
          <w:rFonts w:cstheme="minorHAnsi"/>
        </w:rPr>
        <w:tab/>
      </w:r>
      <w:r w:rsidR="00BA1099" w:rsidRPr="00C53B1E">
        <w:rPr>
          <w:rFonts w:cstheme="minorHAnsi"/>
        </w:rPr>
        <w:t>The Board also ensures scrutiny of progress against the YJS plan, inspection reports, learning from key developments or serious incidents. The Board are also active in supporting partnership approaches, removing barriers, and ensuring effective communication between relevant services.</w:t>
      </w:r>
    </w:p>
    <w:p w14:paraId="01FED4F8" w14:textId="283CCF70" w:rsidR="005631BA" w:rsidRDefault="005631BA" w:rsidP="00B15E08">
      <w:pPr>
        <w:pStyle w:val="NoSpacing"/>
        <w:jc w:val="both"/>
        <w:rPr>
          <w:rFonts w:cstheme="minorHAnsi"/>
        </w:rPr>
      </w:pPr>
    </w:p>
    <w:p w14:paraId="47886FF8" w14:textId="3B92B41D" w:rsidR="005631BA" w:rsidRPr="00B51AFA" w:rsidRDefault="00256925" w:rsidP="00256925">
      <w:pPr>
        <w:pStyle w:val="NoSpacing"/>
        <w:ind w:left="720" w:hanging="720"/>
        <w:jc w:val="both"/>
      </w:pPr>
      <w:r>
        <w:t>3.7</w:t>
      </w:r>
      <w:r>
        <w:tab/>
      </w:r>
      <w:r w:rsidR="005631BA" w:rsidRPr="00B51AFA">
        <w:t xml:space="preserve">In this period, the Service has restructured the management team to better provide oversight, accountability, and quality assurance to the service. Following significant review, the change was implemented on the </w:t>
      </w:r>
      <w:proofErr w:type="gramStart"/>
      <w:r w:rsidR="005631BA" w:rsidRPr="00B51AFA">
        <w:t>1</w:t>
      </w:r>
      <w:r w:rsidR="005631BA" w:rsidRPr="00B51AFA">
        <w:rPr>
          <w:vertAlign w:val="superscript"/>
        </w:rPr>
        <w:t>st</w:t>
      </w:r>
      <w:proofErr w:type="gramEnd"/>
      <w:r w:rsidR="005631BA" w:rsidRPr="00B51AFA">
        <w:t xml:space="preserve"> January 2023</w:t>
      </w:r>
      <w:r w:rsidR="00B25DAE">
        <w:t xml:space="preserve">. The management team will shortly be undertaking further training and reflective workshops </w:t>
      </w:r>
      <w:r w:rsidR="00BD29EB">
        <w:t xml:space="preserve">to further </w:t>
      </w:r>
      <w:r w:rsidR="0092757D">
        <w:t xml:space="preserve">embed the changes. </w:t>
      </w:r>
    </w:p>
    <w:p w14:paraId="19DB69FA" w14:textId="684B46B1" w:rsidR="00BA1099" w:rsidRDefault="00BA1099" w:rsidP="00B15E08">
      <w:pPr>
        <w:pStyle w:val="NoSpacing"/>
        <w:jc w:val="both"/>
        <w:rPr>
          <w:rFonts w:cstheme="minorHAnsi"/>
          <w:b/>
          <w:bCs/>
          <w:lang w:eastAsia="en-GB"/>
        </w:rPr>
      </w:pPr>
    </w:p>
    <w:p w14:paraId="2AE3D1BD" w14:textId="00F2068C" w:rsidR="00217EE8" w:rsidRDefault="00217EE8" w:rsidP="00B15E08">
      <w:pPr>
        <w:pStyle w:val="NoSpacing"/>
        <w:jc w:val="both"/>
        <w:rPr>
          <w:rFonts w:cstheme="minorHAnsi"/>
          <w:b/>
          <w:bCs/>
          <w:lang w:eastAsia="en-GB"/>
        </w:rPr>
      </w:pPr>
    </w:p>
    <w:p w14:paraId="5FF1D5E4" w14:textId="5BA76C09" w:rsidR="00217EE8" w:rsidRDefault="00217EE8" w:rsidP="00B15E08">
      <w:pPr>
        <w:pStyle w:val="NoSpacing"/>
        <w:jc w:val="both"/>
        <w:rPr>
          <w:rFonts w:cstheme="minorHAnsi"/>
          <w:b/>
          <w:bCs/>
          <w:lang w:eastAsia="en-GB"/>
        </w:rPr>
      </w:pPr>
    </w:p>
    <w:p w14:paraId="40E88344" w14:textId="77777777" w:rsidR="00217EE8" w:rsidRPr="00C53B1E" w:rsidRDefault="00217EE8" w:rsidP="00B15E08">
      <w:pPr>
        <w:pStyle w:val="NoSpacing"/>
        <w:jc w:val="both"/>
        <w:rPr>
          <w:rFonts w:cstheme="minorHAnsi"/>
          <w:b/>
          <w:bCs/>
          <w:lang w:eastAsia="en-GB"/>
        </w:rPr>
      </w:pPr>
    </w:p>
    <w:p w14:paraId="0B395541" w14:textId="5C985344" w:rsidR="0079185B" w:rsidRPr="00C53B1E" w:rsidRDefault="0079185B" w:rsidP="00B15E08">
      <w:pPr>
        <w:pStyle w:val="NoSpacing"/>
        <w:jc w:val="both"/>
        <w:rPr>
          <w:rFonts w:cstheme="minorHAnsi"/>
          <w:b/>
          <w:bCs/>
          <w:sz w:val="24"/>
          <w:szCs w:val="24"/>
          <w:lang w:eastAsia="en-GB"/>
        </w:rPr>
      </w:pPr>
      <w:bookmarkStart w:id="4" w:name="_Toc156206876"/>
      <w:r w:rsidRPr="00FB5B91">
        <w:rPr>
          <w:rStyle w:val="Heading1Char"/>
        </w:rPr>
        <w:t>Board development</w:t>
      </w:r>
      <w:bookmarkEnd w:id="4"/>
    </w:p>
    <w:p w14:paraId="16E030D5" w14:textId="0BB5D18A" w:rsidR="007C743C" w:rsidRPr="00C53B1E" w:rsidRDefault="007C743C" w:rsidP="00B15E08">
      <w:pPr>
        <w:pStyle w:val="NoSpacing"/>
        <w:jc w:val="both"/>
        <w:rPr>
          <w:rFonts w:cstheme="minorHAnsi"/>
          <w:b/>
          <w:bCs/>
          <w:lang w:eastAsia="en-GB"/>
        </w:rPr>
      </w:pPr>
    </w:p>
    <w:p w14:paraId="69B5B57E" w14:textId="77777777" w:rsidR="00256925" w:rsidRDefault="00256925" w:rsidP="00256925">
      <w:pPr>
        <w:pStyle w:val="NoSpacing"/>
        <w:ind w:left="720" w:hanging="720"/>
        <w:jc w:val="both"/>
        <w:rPr>
          <w:rFonts w:cstheme="minorHAnsi"/>
          <w:lang w:eastAsia="en-GB"/>
        </w:rPr>
      </w:pPr>
      <w:r>
        <w:rPr>
          <w:rFonts w:cstheme="minorHAnsi"/>
          <w:lang w:eastAsia="en-GB"/>
        </w:rPr>
        <w:t>4.1</w:t>
      </w:r>
      <w:r>
        <w:rPr>
          <w:rFonts w:cstheme="minorHAnsi"/>
          <w:lang w:eastAsia="en-GB"/>
        </w:rPr>
        <w:tab/>
      </w:r>
      <w:r w:rsidR="0082131F" w:rsidRPr="00C53B1E">
        <w:rPr>
          <w:rFonts w:cstheme="minorHAnsi"/>
          <w:lang w:eastAsia="en-GB"/>
        </w:rPr>
        <w:t xml:space="preserve">In </w:t>
      </w:r>
      <w:r w:rsidR="00431CD4" w:rsidRPr="00C53B1E">
        <w:rPr>
          <w:rFonts w:cstheme="minorHAnsi"/>
          <w:lang w:eastAsia="en-GB"/>
        </w:rPr>
        <w:t xml:space="preserve">this year the Board has </w:t>
      </w:r>
      <w:r w:rsidR="00733154" w:rsidRPr="00C53B1E">
        <w:rPr>
          <w:rFonts w:cstheme="minorHAnsi"/>
          <w:lang w:eastAsia="en-GB"/>
        </w:rPr>
        <w:t xml:space="preserve">undertaken a reflective </w:t>
      </w:r>
      <w:r w:rsidR="00A80BB0" w:rsidRPr="00C53B1E">
        <w:rPr>
          <w:rFonts w:cstheme="minorHAnsi"/>
          <w:lang w:eastAsia="en-GB"/>
        </w:rPr>
        <w:t xml:space="preserve">workshop </w:t>
      </w:r>
      <w:r w:rsidR="00733154" w:rsidRPr="00C53B1E">
        <w:rPr>
          <w:rFonts w:cstheme="minorHAnsi"/>
          <w:lang w:eastAsia="en-GB"/>
        </w:rPr>
        <w:t>on board governance, purpose</w:t>
      </w:r>
      <w:r w:rsidR="00914DC9" w:rsidRPr="00C53B1E">
        <w:rPr>
          <w:rFonts w:cstheme="minorHAnsi"/>
          <w:lang w:eastAsia="en-GB"/>
        </w:rPr>
        <w:t>,</w:t>
      </w:r>
      <w:r w:rsidR="00733154" w:rsidRPr="00C53B1E">
        <w:rPr>
          <w:rFonts w:cstheme="minorHAnsi"/>
          <w:lang w:eastAsia="en-GB"/>
        </w:rPr>
        <w:t xml:space="preserve"> and direction</w:t>
      </w:r>
      <w:r w:rsidR="001E0D71" w:rsidRPr="00C53B1E">
        <w:rPr>
          <w:rFonts w:cstheme="minorHAnsi"/>
          <w:lang w:eastAsia="en-GB"/>
        </w:rPr>
        <w:t xml:space="preserve">. </w:t>
      </w:r>
      <w:r w:rsidR="00A80BB0" w:rsidRPr="00C53B1E">
        <w:rPr>
          <w:rFonts w:cstheme="minorHAnsi"/>
          <w:lang w:eastAsia="en-GB"/>
        </w:rPr>
        <w:t xml:space="preserve">Exercises were completed </w:t>
      </w:r>
      <w:r w:rsidR="0044575B" w:rsidRPr="00C53B1E">
        <w:rPr>
          <w:rFonts w:cstheme="minorHAnsi"/>
          <w:lang w:eastAsia="en-GB"/>
        </w:rPr>
        <w:t xml:space="preserve">addressing understanding the location of the YJS within the wider </w:t>
      </w:r>
      <w:r w:rsidR="003B2B7E" w:rsidRPr="00C53B1E">
        <w:rPr>
          <w:rFonts w:cstheme="minorHAnsi"/>
          <w:lang w:eastAsia="en-GB"/>
        </w:rPr>
        <w:t>systems</w:t>
      </w:r>
      <w:r w:rsidR="00007BFB" w:rsidRPr="00C53B1E">
        <w:rPr>
          <w:rFonts w:cstheme="minorHAnsi"/>
          <w:lang w:eastAsia="en-GB"/>
        </w:rPr>
        <w:t xml:space="preserve">. </w:t>
      </w:r>
      <w:r w:rsidR="00E501B2" w:rsidRPr="00C53B1E">
        <w:rPr>
          <w:rFonts w:cstheme="minorHAnsi"/>
          <w:lang w:eastAsia="en-GB"/>
        </w:rPr>
        <w:t>Board members recognise</w:t>
      </w:r>
      <w:r w:rsidR="00007BFB" w:rsidRPr="00C53B1E">
        <w:rPr>
          <w:rFonts w:cstheme="minorHAnsi"/>
          <w:lang w:eastAsia="en-GB"/>
        </w:rPr>
        <w:t>d</w:t>
      </w:r>
      <w:r w:rsidR="00E501B2" w:rsidRPr="00C53B1E">
        <w:rPr>
          <w:rFonts w:cstheme="minorHAnsi"/>
          <w:lang w:eastAsia="en-GB"/>
        </w:rPr>
        <w:t xml:space="preserve"> </w:t>
      </w:r>
      <w:r w:rsidR="0065525B" w:rsidRPr="00C53B1E">
        <w:rPr>
          <w:rFonts w:cstheme="minorHAnsi"/>
          <w:lang w:eastAsia="en-GB"/>
        </w:rPr>
        <w:t xml:space="preserve">that the issues faced by children </w:t>
      </w:r>
      <w:r w:rsidR="002830DA" w:rsidRPr="00C53B1E">
        <w:rPr>
          <w:rFonts w:cstheme="minorHAnsi"/>
          <w:lang w:eastAsia="en-GB"/>
        </w:rPr>
        <w:t xml:space="preserve">who are at risk of offending </w:t>
      </w:r>
      <w:r w:rsidR="0065525B" w:rsidRPr="00C53B1E">
        <w:rPr>
          <w:rFonts w:cstheme="minorHAnsi"/>
          <w:lang w:eastAsia="en-GB"/>
        </w:rPr>
        <w:t>are not solely</w:t>
      </w:r>
      <w:r w:rsidR="002830DA" w:rsidRPr="00C53B1E">
        <w:rPr>
          <w:rFonts w:cstheme="minorHAnsi"/>
          <w:lang w:eastAsia="en-GB"/>
        </w:rPr>
        <w:t xml:space="preserve"> the responsibility of the YJS but </w:t>
      </w:r>
      <w:r w:rsidR="00ED67CD" w:rsidRPr="00C53B1E">
        <w:rPr>
          <w:rFonts w:cstheme="minorHAnsi"/>
          <w:lang w:eastAsia="en-GB"/>
        </w:rPr>
        <w:t>require a wider system response.</w:t>
      </w:r>
    </w:p>
    <w:p w14:paraId="60067EAF" w14:textId="77777777" w:rsidR="00256925" w:rsidRDefault="00256925" w:rsidP="00256925">
      <w:pPr>
        <w:pStyle w:val="NoSpacing"/>
        <w:ind w:left="720" w:hanging="720"/>
        <w:jc w:val="both"/>
        <w:rPr>
          <w:rFonts w:cstheme="minorHAnsi"/>
          <w:lang w:eastAsia="en-GB"/>
        </w:rPr>
      </w:pPr>
    </w:p>
    <w:p w14:paraId="59344E1F" w14:textId="4D7F34A9" w:rsidR="00882CE5" w:rsidRPr="00C53B1E" w:rsidRDefault="00256925" w:rsidP="00256925">
      <w:pPr>
        <w:pStyle w:val="NoSpacing"/>
        <w:ind w:left="720" w:hanging="720"/>
        <w:jc w:val="both"/>
        <w:rPr>
          <w:rFonts w:cstheme="minorHAnsi"/>
          <w:lang w:eastAsia="en-GB"/>
        </w:rPr>
      </w:pPr>
      <w:r>
        <w:rPr>
          <w:rFonts w:cstheme="minorHAnsi"/>
          <w:lang w:eastAsia="en-GB"/>
        </w:rPr>
        <w:t>4.2</w:t>
      </w:r>
      <w:r>
        <w:rPr>
          <w:rFonts w:cstheme="minorHAnsi"/>
          <w:lang w:eastAsia="en-GB"/>
        </w:rPr>
        <w:tab/>
      </w:r>
      <w:r w:rsidR="001E0D71" w:rsidRPr="00C53B1E">
        <w:rPr>
          <w:rFonts w:cstheme="minorHAnsi"/>
          <w:lang w:eastAsia="en-GB"/>
        </w:rPr>
        <w:t>We have retained the leadership</w:t>
      </w:r>
      <w:r w:rsidR="00AB2F52" w:rsidRPr="00C53B1E">
        <w:rPr>
          <w:rFonts w:cstheme="minorHAnsi"/>
          <w:lang w:eastAsia="en-GB"/>
        </w:rPr>
        <w:t xml:space="preserve"> and</w:t>
      </w:r>
      <w:r w:rsidR="001E0D71" w:rsidRPr="00C53B1E">
        <w:rPr>
          <w:rFonts w:cstheme="minorHAnsi"/>
          <w:lang w:eastAsia="en-GB"/>
        </w:rPr>
        <w:t xml:space="preserve"> extended</w:t>
      </w:r>
      <w:r w:rsidR="00914DC9" w:rsidRPr="00C53B1E">
        <w:rPr>
          <w:rFonts w:cstheme="minorHAnsi"/>
          <w:lang w:eastAsia="en-GB"/>
        </w:rPr>
        <w:t xml:space="preserve"> the membership to </w:t>
      </w:r>
      <w:r w:rsidR="009C5933" w:rsidRPr="00C53B1E">
        <w:rPr>
          <w:rFonts w:cstheme="minorHAnsi"/>
          <w:lang w:eastAsia="en-GB"/>
        </w:rPr>
        <w:t xml:space="preserve">include greater representation from </w:t>
      </w:r>
      <w:r w:rsidR="006F40AC" w:rsidRPr="00C53B1E">
        <w:rPr>
          <w:rFonts w:cstheme="minorHAnsi"/>
          <w:lang w:eastAsia="en-GB"/>
        </w:rPr>
        <w:t xml:space="preserve">across </w:t>
      </w:r>
      <w:r w:rsidR="009C5933" w:rsidRPr="00C53B1E">
        <w:rPr>
          <w:rFonts w:cstheme="minorHAnsi"/>
          <w:lang w:eastAsia="en-GB"/>
        </w:rPr>
        <w:t xml:space="preserve">Children’s Social Care </w:t>
      </w:r>
      <w:r w:rsidR="006F40AC" w:rsidRPr="00C53B1E">
        <w:rPr>
          <w:rFonts w:cstheme="minorHAnsi"/>
          <w:lang w:eastAsia="en-GB"/>
        </w:rPr>
        <w:t xml:space="preserve">with </w:t>
      </w:r>
      <w:r w:rsidR="00721BD8" w:rsidRPr="00C53B1E">
        <w:rPr>
          <w:rFonts w:cstheme="minorHAnsi"/>
          <w:lang w:eastAsia="en-GB"/>
        </w:rPr>
        <w:t xml:space="preserve">both the Director of Children’s Services and the Head of Service of </w:t>
      </w:r>
      <w:r w:rsidR="009C5933" w:rsidRPr="00C53B1E">
        <w:rPr>
          <w:rFonts w:cstheme="minorHAnsi"/>
          <w:lang w:eastAsia="en-GB"/>
        </w:rPr>
        <w:t xml:space="preserve">First Response </w:t>
      </w:r>
      <w:r w:rsidR="006F40AC" w:rsidRPr="00C53B1E">
        <w:rPr>
          <w:rFonts w:cstheme="minorHAnsi"/>
          <w:lang w:eastAsia="en-GB"/>
        </w:rPr>
        <w:t xml:space="preserve">in attendance. </w:t>
      </w:r>
    </w:p>
    <w:p w14:paraId="10459B96" w14:textId="77777777" w:rsidR="00D14866" w:rsidRPr="00C53B1E" w:rsidRDefault="00D14866" w:rsidP="00B15E08">
      <w:pPr>
        <w:pStyle w:val="NoSpacing"/>
        <w:jc w:val="both"/>
        <w:rPr>
          <w:rFonts w:cstheme="minorHAnsi"/>
          <w:lang w:eastAsia="en-GB"/>
        </w:rPr>
      </w:pPr>
    </w:p>
    <w:p w14:paraId="2A7CA4B2" w14:textId="15FDE67F" w:rsidR="00D14866" w:rsidRPr="00C53B1E" w:rsidRDefault="00256925" w:rsidP="00256925">
      <w:pPr>
        <w:pStyle w:val="NoSpacing"/>
        <w:ind w:left="720" w:hanging="720"/>
        <w:jc w:val="both"/>
        <w:rPr>
          <w:rFonts w:cstheme="minorHAnsi"/>
          <w:lang w:eastAsia="en-GB"/>
        </w:rPr>
      </w:pPr>
      <w:r>
        <w:rPr>
          <w:rFonts w:cstheme="minorHAnsi"/>
          <w:lang w:eastAsia="en-GB"/>
        </w:rPr>
        <w:t>4.3</w:t>
      </w:r>
      <w:r>
        <w:rPr>
          <w:rFonts w:cstheme="minorHAnsi"/>
          <w:lang w:eastAsia="en-GB"/>
        </w:rPr>
        <w:tab/>
      </w:r>
      <w:r w:rsidR="00D14866" w:rsidRPr="00C53B1E">
        <w:rPr>
          <w:rFonts w:cstheme="minorHAnsi"/>
          <w:lang w:eastAsia="en-GB"/>
        </w:rPr>
        <w:t xml:space="preserve">The impact of the above workshop has seen now greater focus on the role of board members within their own organisations and the representation and impact they can bring to bear upon the YJS cohort within the broader systems. This Board is seeking to bring together greater alignment across the range of boards that members represent, again ensuring the voice of the child is central to partnership agendas. </w:t>
      </w:r>
      <w:r w:rsidR="0045245F">
        <w:rPr>
          <w:rFonts w:cstheme="minorHAnsi"/>
          <w:lang w:eastAsia="en-GB"/>
        </w:rPr>
        <w:t>The induction for Board members</w:t>
      </w:r>
      <w:r w:rsidR="00921116">
        <w:rPr>
          <w:rFonts w:cstheme="minorHAnsi"/>
          <w:lang w:eastAsia="en-GB"/>
        </w:rPr>
        <w:t xml:space="preserve">, information sharing, and observations included during this process have </w:t>
      </w:r>
      <w:r w:rsidR="00717EFE">
        <w:rPr>
          <w:rFonts w:cstheme="minorHAnsi"/>
          <w:lang w:eastAsia="en-GB"/>
        </w:rPr>
        <w:t xml:space="preserve">provided greater understanding and engagement for both Board members and those staff who have met with them during this process. </w:t>
      </w:r>
    </w:p>
    <w:p w14:paraId="5E860A1A" w14:textId="77777777" w:rsidR="00D06B44" w:rsidRPr="00C53B1E" w:rsidRDefault="00D06B44" w:rsidP="00B15E08">
      <w:pPr>
        <w:pStyle w:val="NoSpacing"/>
        <w:jc w:val="both"/>
        <w:rPr>
          <w:rFonts w:cstheme="minorHAnsi"/>
          <w:lang w:eastAsia="en-GB"/>
        </w:rPr>
      </w:pPr>
    </w:p>
    <w:p w14:paraId="55EC5C65" w14:textId="1609C99E" w:rsidR="006F40AC" w:rsidRPr="00C53B1E" w:rsidRDefault="00256925" w:rsidP="00256925">
      <w:pPr>
        <w:pStyle w:val="NoSpacing"/>
        <w:ind w:left="720" w:hanging="720"/>
        <w:jc w:val="both"/>
        <w:rPr>
          <w:rFonts w:cstheme="minorHAnsi"/>
          <w:lang w:eastAsia="en-GB"/>
        </w:rPr>
      </w:pPr>
      <w:r>
        <w:rPr>
          <w:rFonts w:cstheme="minorHAnsi"/>
          <w:lang w:eastAsia="en-GB"/>
        </w:rPr>
        <w:t>4.4</w:t>
      </w:r>
      <w:r>
        <w:rPr>
          <w:rFonts w:cstheme="minorHAnsi"/>
          <w:lang w:eastAsia="en-GB"/>
        </w:rPr>
        <w:tab/>
      </w:r>
      <w:r w:rsidR="006E06F9" w:rsidRPr="00C53B1E">
        <w:rPr>
          <w:rFonts w:cstheme="minorHAnsi"/>
          <w:lang w:eastAsia="en-GB"/>
        </w:rPr>
        <w:t xml:space="preserve">In order to further develop the Board and its engagement with the strategic direction setting of the service, in this period we have designed three </w:t>
      </w:r>
      <w:r w:rsidR="006F40AC" w:rsidRPr="00C53B1E">
        <w:rPr>
          <w:rFonts w:cstheme="minorHAnsi"/>
          <w:lang w:eastAsia="en-GB"/>
        </w:rPr>
        <w:t>sub-committees</w:t>
      </w:r>
      <w:r w:rsidR="002E005F" w:rsidRPr="00C53B1E">
        <w:rPr>
          <w:rFonts w:cstheme="minorHAnsi"/>
          <w:lang w:eastAsia="en-GB"/>
        </w:rPr>
        <w:t>. These will provide</w:t>
      </w:r>
      <w:r w:rsidR="006F40AC" w:rsidRPr="00C53B1E">
        <w:rPr>
          <w:rFonts w:cstheme="minorHAnsi"/>
          <w:lang w:eastAsia="en-GB"/>
        </w:rPr>
        <w:t xml:space="preserve"> greater operational oversight and providing a link between strategy</w:t>
      </w:r>
      <w:r w:rsidR="002E005F" w:rsidRPr="00C53B1E">
        <w:rPr>
          <w:rFonts w:cstheme="minorHAnsi"/>
          <w:lang w:eastAsia="en-GB"/>
        </w:rPr>
        <w:t>, the board</w:t>
      </w:r>
      <w:r w:rsidR="008D4956" w:rsidRPr="00C53B1E">
        <w:rPr>
          <w:rFonts w:cstheme="minorHAnsi"/>
          <w:lang w:eastAsia="en-GB"/>
        </w:rPr>
        <w:t>,</w:t>
      </w:r>
      <w:r w:rsidR="006F40AC" w:rsidRPr="00C53B1E">
        <w:rPr>
          <w:rFonts w:cstheme="minorHAnsi"/>
          <w:lang w:eastAsia="en-GB"/>
        </w:rPr>
        <w:t xml:space="preserve"> and </w:t>
      </w:r>
      <w:r w:rsidR="00057E3E" w:rsidRPr="00C53B1E">
        <w:rPr>
          <w:rFonts w:cstheme="minorHAnsi"/>
          <w:lang w:eastAsia="en-GB"/>
        </w:rPr>
        <w:t xml:space="preserve">front-line staff. </w:t>
      </w:r>
      <w:r w:rsidR="008D4956" w:rsidRPr="00C53B1E">
        <w:rPr>
          <w:rFonts w:cstheme="minorHAnsi"/>
          <w:lang w:eastAsia="en-GB"/>
        </w:rPr>
        <w:t>They are a</w:t>
      </w:r>
      <w:r w:rsidR="00057E3E" w:rsidRPr="00C53B1E">
        <w:rPr>
          <w:rFonts w:cstheme="minorHAnsi"/>
          <w:lang w:eastAsia="en-GB"/>
        </w:rPr>
        <w:t>ction and task focussed</w:t>
      </w:r>
      <w:r w:rsidR="008D4956" w:rsidRPr="00C53B1E">
        <w:rPr>
          <w:rFonts w:cstheme="minorHAnsi"/>
          <w:lang w:eastAsia="en-GB"/>
        </w:rPr>
        <w:t xml:space="preserve"> and cover Disproportionality, Data</w:t>
      </w:r>
      <w:r w:rsidR="00921116">
        <w:rPr>
          <w:rFonts w:cstheme="minorHAnsi"/>
          <w:lang w:eastAsia="en-GB"/>
        </w:rPr>
        <w:t>,</w:t>
      </w:r>
      <w:r w:rsidR="008D4956" w:rsidRPr="00C53B1E">
        <w:rPr>
          <w:rFonts w:cstheme="minorHAnsi"/>
          <w:lang w:eastAsia="en-GB"/>
        </w:rPr>
        <w:t xml:space="preserve"> and Inspection Readiness</w:t>
      </w:r>
      <w:r w:rsidR="00D14866" w:rsidRPr="00C53B1E">
        <w:rPr>
          <w:rFonts w:cstheme="minorHAnsi"/>
          <w:lang w:eastAsia="en-GB"/>
        </w:rPr>
        <w:t>, three long-term key areas for the service.</w:t>
      </w:r>
    </w:p>
    <w:p w14:paraId="1331D0A3" w14:textId="77777777" w:rsidR="00D06B44" w:rsidRPr="00C53B1E" w:rsidRDefault="00D06B44" w:rsidP="00B15E08">
      <w:pPr>
        <w:pStyle w:val="NoSpacing"/>
        <w:jc w:val="both"/>
        <w:rPr>
          <w:rFonts w:cstheme="minorHAnsi"/>
          <w:lang w:eastAsia="en-GB"/>
        </w:rPr>
      </w:pPr>
    </w:p>
    <w:p w14:paraId="6E358B54" w14:textId="77777777" w:rsidR="00A60808" w:rsidRDefault="00A60808" w:rsidP="00B15E08">
      <w:pPr>
        <w:pStyle w:val="NoSpacing"/>
        <w:jc w:val="both"/>
        <w:rPr>
          <w:rStyle w:val="Heading1Char"/>
        </w:rPr>
      </w:pPr>
    </w:p>
    <w:p w14:paraId="59DD0FF6" w14:textId="3DD6A2EF" w:rsidR="0079185B" w:rsidRPr="00FB5B91" w:rsidRDefault="0079185B" w:rsidP="00B15E08">
      <w:pPr>
        <w:pStyle w:val="NoSpacing"/>
        <w:jc w:val="both"/>
        <w:rPr>
          <w:rStyle w:val="Heading1Char"/>
        </w:rPr>
      </w:pPr>
      <w:bookmarkStart w:id="5" w:name="_Toc156206877"/>
      <w:r w:rsidRPr="00FB5B91">
        <w:rPr>
          <w:rStyle w:val="Heading1Char"/>
        </w:rPr>
        <w:t>Progress on previous plan</w:t>
      </w:r>
      <w:bookmarkEnd w:id="5"/>
    </w:p>
    <w:p w14:paraId="4FEC1F02" w14:textId="1F067DF4" w:rsidR="007C743C" w:rsidRPr="00C53B1E" w:rsidRDefault="007C743C" w:rsidP="00B15E08">
      <w:pPr>
        <w:pStyle w:val="NoSpacing"/>
        <w:jc w:val="both"/>
        <w:rPr>
          <w:rFonts w:cstheme="minorHAnsi"/>
          <w:b/>
          <w:bCs/>
          <w:lang w:eastAsia="en-GB"/>
        </w:rPr>
      </w:pPr>
    </w:p>
    <w:p w14:paraId="571AB057" w14:textId="5012B1C5" w:rsidR="00C50219" w:rsidRPr="00C53B1E" w:rsidRDefault="00256925" w:rsidP="00256925">
      <w:pPr>
        <w:pStyle w:val="NoSpacing"/>
        <w:ind w:left="720" w:hanging="720"/>
        <w:jc w:val="both"/>
        <w:rPr>
          <w:rFonts w:cstheme="minorHAnsi"/>
          <w:lang w:eastAsia="en-GB"/>
        </w:rPr>
      </w:pPr>
      <w:r>
        <w:rPr>
          <w:rFonts w:cstheme="minorHAnsi"/>
          <w:lang w:eastAsia="en-GB"/>
        </w:rPr>
        <w:t>5.1</w:t>
      </w:r>
      <w:r>
        <w:rPr>
          <w:rFonts w:cstheme="minorHAnsi"/>
          <w:lang w:eastAsia="en-GB"/>
        </w:rPr>
        <w:tab/>
      </w:r>
      <w:r w:rsidR="00ED50E4" w:rsidRPr="00C53B1E">
        <w:rPr>
          <w:rFonts w:cstheme="minorHAnsi"/>
          <w:lang w:eastAsia="en-GB"/>
        </w:rPr>
        <w:t xml:space="preserve">As stated above, this is </w:t>
      </w:r>
      <w:r w:rsidR="006D441D" w:rsidRPr="00C53B1E">
        <w:rPr>
          <w:rFonts w:cstheme="minorHAnsi"/>
          <w:lang w:eastAsia="en-GB"/>
        </w:rPr>
        <w:t>second final review of a three</w:t>
      </w:r>
      <w:r w:rsidR="008E6138" w:rsidRPr="00C53B1E">
        <w:rPr>
          <w:rFonts w:cstheme="minorHAnsi"/>
          <w:lang w:eastAsia="en-GB"/>
        </w:rPr>
        <w:t>-</w:t>
      </w:r>
      <w:r w:rsidR="006D441D" w:rsidRPr="00C53B1E">
        <w:rPr>
          <w:rFonts w:cstheme="minorHAnsi"/>
          <w:lang w:eastAsia="en-GB"/>
        </w:rPr>
        <w:t xml:space="preserve">year plan set out in 2021. </w:t>
      </w:r>
      <w:r w:rsidR="008E6138" w:rsidRPr="00C53B1E">
        <w:rPr>
          <w:rFonts w:cstheme="minorHAnsi"/>
          <w:lang w:eastAsia="en-GB"/>
        </w:rPr>
        <w:t xml:space="preserve">The strategic targets of which came from the HMIP inspection report </w:t>
      </w:r>
      <w:r w:rsidR="00F667BB" w:rsidRPr="00C53B1E">
        <w:rPr>
          <w:rFonts w:cstheme="minorHAnsi"/>
          <w:lang w:eastAsia="en-GB"/>
        </w:rPr>
        <w:t>of 2019. The plan has 13 key priorities</w:t>
      </w:r>
      <w:r w:rsidR="00F21AEB" w:rsidRPr="00C53B1E">
        <w:rPr>
          <w:rFonts w:cstheme="minorHAnsi"/>
          <w:lang w:eastAsia="en-GB"/>
        </w:rPr>
        <w:t xml:space="preserve"> including addressing Disproportionality, Child Criminal Exploitation, Out of Court Disposals, </w:t>
      </w:r>
      <w:r w:rsidR="00012B01" w:rsidRPr="00C53B1E">
        <w:rPr>
          <w:rFonts w:cstheme="minorHAnsi"/>
          <w:lang w:eastAsia="en-GB"/>
        </w:rPr>
        <w:t xml:space="preserve">Serious Youth Violence, Participation, Education, Quality Assurance and Victims. </w:t>
      </w:r>
    </w:p>
    <w:p w14:paraId="41D8D4E9" w14:textId="366CC111" w:rsidR="00012B01" w:rsidRPr="00C53B1E" w:rsidRDefault="00012B01" w:rsidP="00B15E08">
      <w:pPr>
        <w:pStyle w:val="NoSpacing"/>
        <w:jc w:val="both"/>
        <w:rPr>
          <w:rFonts w:cstheme="minorHAnsi"/>
          <w:lang w:eastAsia="en-GB"/>
        </w:rPr>
      </w:pPr>
    </w:p>
    <w:p w14:paraId="05377B87" w14:textId="5F8F081E" w:rsidR="00012B01" w:rsidRDefault="00256925" w:rsidP="00256925">
      <w:pPr>
        <w:pStyle w:val="NoSpacing"/>
        <w:ind w:left="720" w:hanging="720"/>
        <w:jc w:val="both"/>
        <w:rPr>
          <w:rFonts w:cstheme="minorHAnsi"/>
          <w:lang w:eastAsia="en-GB"/>
        </w:rPr>
      </w:pPr>
      <w:r>
        <w:rPr>
          <w:rFonts w:cstheme="minorHAnsi"/>
          <w:lang w:eastAsia="en-GB"/>
        </w:rPr>
        <w:t>5.2</w:t>
      </w:r>
      <w:r>
        <w:rPr>
          <w:rFonts w:cstheme="minorHAnsi"/>
          <w:lang w:eastAsia="en-GB"/>
        </w:rPr>
        <w:tab/>
      </w:r>
      <w:r w:rsidR="00073EBC" w:rsidRPr="00C53B1E">
        <w:rPr>
          <w:rFonts w:cstheme="minorHAnsi"/>
          <w:lang w:eastAsia="en-GB"/>
        </w:rPr>
        <w:t xml:space="preserve">On a quarterly basis the Board approves progress against the Operational Delivery Plan and notes ongoing priorities and targets for completion. </w:t>
      </w:r>
      <w:r w:rsidR="00917481">
        <w:rPr>
          <w:rFonts w:cstheme="minorHAnsi"/>
          <w:lang w:eastAsia="en-GB"/>
        </w:rPr>
        <w:t xml:space="preserve">Some of the key </w:t>
      </w:r>
      <w:r w:rsidR="0021770A">
        <w:rPr>
          <w:rFonts w:cstheme="minorHAnsi"/>
          <w:lang w:eastAsia="en-GB"/>
        </w:rPr>
        <w:t xml:space="preserve">activities this year include the introduction of a new Case Management system and the training that has gone alongside this, the commissioning of a Peer Review, the introduction of new </w:t>
      </w:r>
      <w:r w:rsidR="00215C86">
        <w:rPr>
          <w:rFonts w:cstheme="minorHAnsi"/>
          <w:lang w:eastAsia="en-GB"/>
        </w:rPr>
        <w:t>prevention and early intervention work, including the Turnaround and YEF funded, Another Way, programme, the ongoing delivery of the AP Taskforce and Divert Plus</w:t>
      </w:r>
      <w:r w:rsidR="008E5591">
        <w:rPr>
          <w:rFonts w:cstheme="minorHAnsi"/>
          <w:lang w:eastAsia="en-GB"/>
        </w:rPr>
        <w:t xml:space="preserve"> and the ongoing </w:t>
      </w:r>
      <w:r w:rsidR="00EE5593">
        <w:rPr>
          <w:rFonts w:cstheme="minorHAnsi"/>
          <w:lang w:eastAsia="en-GB"/>
        </w:rPr>
        <w:t xml:space="preserve">participation activities </w:t>
      </w:r>
      <w:r w:rsidR="00EE5593">
        <w:rPr>
          <w:rFonts w:cstheme="minorHAnsi"/>
          <w:lang w:eastAsia="en-GB"/>
        </w:rPr>
        <w:lastRenderedPageBreak/>
        <w:t xml:space="preserve">and </w:t>
      </w:r>
      <w:r w:rsidR="008E5591">
        <w:rPr>
          <w:rFonts w:cstheme="minorHAnsi"/>
          <w:lang w:eastAsia="en-GB"/>
        </w:rPr>
        <w:t xml:space="preserve">review of interventions used by staff in the service. </w:t>
      </w:r>
      <w:r w:rsidR="003E29E0">
        <w:rPr>
          <w:rFonts w:cstheme="minorHAnsi"/>
          <w:lang w:eastAsia="en-GB"/>
        </w:rPr>
        <w:t>Most of the planned targets for this three</w:t>
      </w:r>
      <w:r w:rsidR="00B45BA4">
        <w:rPr>
          <w:rFonts w:cstheme="minorHAnsi"/>
          <w:lang w:eastAsia="en-GB"/>
        </w:rPr>
        <w:t>-</w:t>
      </w:r>
      <w:r w:rsidR="003E29E0">
        <w:rPr>
          <w:rFonts w:cstheme="minorHAnsi"/>
          <w:lang w:eastAsia="en-GB"/>
        </w:rPr>
        <w:t xml:space="preserve">year plan have now been achieved, with </w:t>
      </w:r>
      <w:r w:rsidR="00B45BA4">
        <w:rPr>
          <w:rFonts w:cstheme="minorHAnsi"/>
          <w:lang w:eastAsia="en-GB"/>
        </w:rPr>
        <w:t xml:space="preserve">a number of activities now being business as </w:t>
      </w:r>
      <w:r w:rsidR="00B45BA4" w:rsidRPr="00B66A48">
        <w:rPr>
          <w:rFonts w:cstheme="minorHAnsi"/>
          <w:lang w:eastAsia="en-GB"/>
        </w:rPr>
        <w:t xml:space="preserve">usual and </w:t>
      </w:r>
      <w:r w:rsidR="00CA5D36" w:rsidRPr="00B66A48">
        <w:rPr>
          <w:rFonts w:cstheme="minorHAnsi"/>
          <w:lang w:eastAsia="en-GB"/>
        </w:rPr>
        <w:t xml:space="preserve">embedded within service delivery. </w:t>
      </w:r>
    </w:p>
    <w:p w14:paraId="0B30C404" w14:textId="6C203517" w:rsidR="005527F9" w:rsidRDefault="005527F9" w:rsidP="00B15E08">
      <w:pPr>
        <w:pStyle w:val="NoSpacing"/>
        <w:jc w:val="both"/>
        <w:rPr>
          <w:rFonts w:cstheme="minorHAnsi"/>
          <w:lang w:eastAsia="en-GB"/>
        </w:rPr>
      </w:pPr>
    </w:p>
    <w:p w14:paraId="2AA1A8D8" w14:textId="729EADB7" w:rsidR="005527F9" w:rsidRPr="00C53B1E" w:rsidRDefault="00256925" w:rsidP="00256925">
      <w:pPr>
        <w:pStyle w:val="NoSpacing"/>
        <w:ind w:left="720" w:hanging="720"/>
        <w:jc w:val="both"/>
        <w:rPr>
          <w:rFonts w:cstheme="minorHAnsi"/>
          <w:lang w:eastAsia="en-GB"/>
        </w:rPr>
      </w:pPr>
      <w:r>
        <w:rPr>
          <w:rFonts w:cstheme="minorHAnsi"/>
          <w:lang w:eastAsia="en-GB"/>
        </w:rPr>
        <w:t>5.3</w:t>
      </w:r>
      <w:r>
        <w:rPr>
          <w:rFonts w:cstheme="minorHAnsi"/>
          <w:lang w:eastAsia="en-GB"/>
        </w:rPr>
        <w:tab/>
      </w:r>
      <w:r w:rsidR="005527F9">
        <w:rPr>
          <w:rFonts w:cstheme="minorHAnsi"/>
          <w:lang w:eastAsia="en-GB"/>
        </w:rPr>
        <w:t xml:space="preserve">The Operational Delivery plan monitors progress on the plan and </w:t>
      </w:r>
      <w:r w:rsidR="008150CF">
        <w:rPr>
          <w:rFonts w:cstheme="minorHAnsi"/>
          <w:lang w:eastAsia="en-GB"/>
        </w:rPr>
        <w:t xml:space="preserve">highlights areas of ongoing development and need, attached as Appendix </w:t>
      </w:r>
      <w:r w:rsidR="00BC5D8E">
        <w:rPr>
          <w:rFonts w:cstheme="minorHAnsi"/>
          <w:lang w:eastAsia="en-GB"/>
        </w:rPr>
        <w:t>Four</w:t>
      </w:r>
      <w:r w:rsidR="008150CF">
        <w:rPr>
          <w:rFonts w:cstheme="minorHAnsi"/>
          <w:lang w:eastAsia="en-GB"/>
        </w:rPr>
        <w:t>.</w:t>
      </w:r>
    </w:p>
    <w:p w14:paraId="343DE106" w14:textId="77777777" w:rsidR="00C50219" w:rsidRPr="00C53B1E" w:rsidRDefault="00C50219" w:rsidP="00B15E08">
      <w:pPr>
        <w:pStyle w:val="NoSpacing"/>
        <w:jc w:val="both"/>
        <w:rPr>
          <w:rFonts w:cstheme="minorHAnsi"/>
          <w:b/>
          <w:bCs/>
          <w:sz w:val="24"/>
          <w:szCs w:val="24"/>
          <w:lang w:eastAsia="en-GB"/>
        </w:rPr>
      </w:pPr>
    </w:p>
    <w:p w14:paraId="041C08B3" w14:textId="77777777" w:rsidR="00A60808" w:rsidRDefault="00A60808" w:rsidP="00B15E08">
      <w:pPr>
        <w:pStyle w:val="NoSpacing"/>
        <w:jc w:val="both"/>
        <w:rPr>
          <w:rStyle w:val="Heading1Char"/>
        </w:rPr>
      </w:pPr>
    </w:p>
    <w:p w14:paraId="3B110B3E" w14:textId="172F13EC" w:rsidR="0079185B" w:rsidRPr="00C53B1E" w:rsidRDefault="0079185B" w:rsidP="00B15E08">
      <w:pPr>
        <w:pStyle w:val="NoSpacing"/>
        <w:jc w:val="both"/>
        <w:rPr>
          <w:rFonts w:cstheme="minorHAnsi"/>
          <w:b/>
          <w:bCs/>
          <w:sz w:val="24"/>
          <w:szCs w:val="24"/>
          <w:lang w:eastAsia="en-GB"/>
        </w:rPr>
      </w:pPr>
      <w:bookmarkStart w:id="6" w:name="_Toc156206878"/>
      <w:r w:rsidRPr="00FB5B91">
        <w:rPr>
          <w:rStyle w:val="Heading1Char"/>
        </w:rPr>
        <w:t>Resources and services</w:t>
      </w:r>
      <w:bookmarkEnd w:id="6"/>
    </w:p>
    <w:p w14:paraId="7C6CD72C" w14:textId="566219DC" w:rsidR="007C743C" w:rsidRPr="00C53B1E" w:rsidRDefault="007C743C" w:rsidP="00B15E08">
      <w:pPr>
        <w:pStyle w:val="NoSpacing"/>
        <w:jc w:val="both"/>
        <w:rPr>
          <w:rFonts w:cstheme="minorHAnsi"/>
          <w:b/>
          <w:bCs/>
          <w:lang w:eastAsia="en-GB"/>
        </w:rPr>
      </w:pPr>
    </w:p>
    <w:p w14:paraId="4DF374C1" w14:textId="6F5F45C6" w:rsidR="00CA70DE" w:rsidRDefault="00256925" w:rsidP="00242EA7">
      <w:pPr>
        <w:pStyle w:val="NoSpacing"/>
        <w:ind w:left="720" w:hanging="720"/>
        <w:jc w:val="both"/>
      </w:pPr>
      <w:r>
        <w:t>6.1</w:t>
      </w:r>
      <w:r>
        <w:tab/>
      </w:r>
      <w:r w:rsidR="00CA70DE" w:rsidRPr="00C53B1E">
        <w:t>Nottingham City YJS is compliant with the YJB requirement to meet their grant conditions.</w:t>
      </w:r>
      <w:r w:rsidR="00242EA7">
        <w:t xml:space="preserve"> </w:t>
      </w:r>
      <w:r w:rsidR="00CA70DE" w:rsidRPr="00C53B1E">
        <w:t>To enable the YJS to balance its budget, the financial contributions to the service comprise of local authority core funding and the Ministry of Justice (</w:t>
      </w:r>
      <w:proofErr w:type="spellStart"/>
      <w:r w:rsidR="00CA70DE" w:rsidRPr="00C53B1E">
        <w:t>MoJ</w:t>
      </w:r>
      <w:proofErr w:type="spellEnd"/>
      <w:r w:rsidR="00CA70DE" w:rsidRPr="00C53B1E">
        <w:t>)/YJB Grant. This is supplemented by partner contributions in kind or cash in accordance with their statutory responsibility. The contributions reflect the continuing commitment from funding partners to the YJS. The YJS also seeks additional grant funding opportunities through collaborative working with appropriate partners. In 202</w:t>
      </w:r>
      <w:r w:rsidR="00A46237" w:rsidRPr="00C53B1E">
        <w:t>3</w:t>
      </w:r>
      <w:r w:rsidR="00CA70DE" w:rsidRPr="00C53B1E">
        <w:t>/2</w:t>
      </w:r>
      <w:r w:rsidR="00A46237" w:rsidRPr="00C53B1E">
        <w:t>4</w:t>
      </w:r>
      <w:r w:rsidR="00CA70DE" w:rsidRPr="00C53B1E">
        <w:t xml:space="preserve"> the YJB’s contribution </w:t>
      </w:r>
      <w:r w:rsidR="00732817">
        <w:t xml:space="preserve">is expected to </w:t>
      </w:r>
      <w:r w:rsidR="00CA70DE" w:rsidRPr="00C53B1E">
        <w:t>include a</w:t>
      </w:r>
      <w:r w:rsidR="00732817">
        <w:t>n</w:t>
      </w:r>
      <w:r w:rsidR="00CA70DE" w:rsidRPr="00C53B1E">
        <w:t xml:space="preserve"> uplift </w:t>
      </w:r>
      <w:r w:rsidR="00732817">
        <w:t>as in the previous years, but this has not yet been confirmed</w:t>
      </w:r>
      <w:r w:rsidR="00CA70DE" w:rsidRPr="00C53B1E">
        <w:t xml:space="preserve">. The YJS spends its budget as follows, 72% on staffing, 4% on IT and infrastructure, 1% on Buildings and 23% on intervention delivery and support to children. </w:t>
      </w:r>
    </w:p>
    <w:p w14:paraId="72C1C36D" w14:textId="77777777" w:rsidR="00242EA7" w:rsidRPr="00C53B1E" w:rsidRDefault="00242EA7" w:rsidP="00242EA7">
      <w:pPr>
        <w:pStyle w:val="NoSpacing"/>
        <w:ind w:left="720" w:hanging="720"/>
        <w:jc w:val="both"/>
      </w:pPr>
    </w:p>
    <w:p w14:paraId="2AE4561D" w14:textId="17434DE7" w:rsidR="00CA70DE" w:rsidRDefault="00242EA7" w:rsidP="00242EA7">
      <w:pPr>
        <w:ind w:left="720" w:hanging="720"/>
        <w:jc w:val="both"/>
        <w:rPr>
          <w:rFonts w:cstheme="minorHAnsi"/>
        </w:rPr>
      </w:pPr>
      <w:r>
        <w:rPr>
          <w:rFonts w:cstheme="minorHAnsi"/>
        </w:rPr>
        <w:t>6.2</w:t>
      </w:r>
      <w:r>
        <w:rPr>
          <w:rFonts w:cstheme="minorHAnsi"/>
        </w:rPr>
        <w:tab/>
      </w:r>
      <w:r w:rsidR="00CA70DE" w:rsidRPr="00C53B1E">
        <w:rPr>
          <w:rFonts w:cstheme="minorHAnsi"/>
        </w:rPr>
        <w:t>Other partner agencies’ contributions from the Police and Nottingham &amp; Nottinghamshire Clinical Commissioning Group (CCG) have been maintained at the same level since 2018/19. The exception to this is the National Probation Service (NPS) whose financial contribution reduced by 25% in 2020/21. The reduced contribution from the NPS is reflected in the national agreement for contributions to all YJSs. Staff secondments from NPS and Nottingham &amp; Nottinghamshire CCG also demonstrate an important commitment from partners and provides the YJS with critical expertise, resources and diverse staff knowledge and experience.</w:t>
      </w:r>
    </w:p>
    <w:p w14:paraId="0A49E3D8" w14:textId="70483DCC" w:rsidR="00D2751E" w:rsidRPr="00C53B1E" w:rsidRDefault="00D2751E" w:rsidP="00B15E08">
      <w:pPr>
        <w:jc w:val="both"/>
        <w:rPr>
          <w:rFonts w:eastAsia="MS Mincho" w:cstheme="minorHAnsi"/>
          <w:b/>
          <w:lang w:eastAsia="ja-JP"/>
        </w:rPr>
      </w:pPr>
      <w:r w:rsidRPr="00C53B1E">
        <w:rPr>
          <w:rFonts w:eastAsia="MS Mincho" w:cstheme="minorHAnsi"/>
          <w:b/>
          <w:lang w:eastAsia="ja-JP"/>
        </w:rPr>
        <w:t>Table 1: Financial contributions of YJS partners as of 1</w:t>
      </w:r>
      <w:r w:rsidRPr="00C53B1E">
        <w:rPr>
          <w:rFonts w:eastAsia="MS Mincho" w:cstheme="minorHAnsi"/>
          <w:b/>
          <w:vertAlign w:val="superscript"/>
          <w:lang w:eastAsia="ja-JP"/>
        </w:rPr>
        <w:t>st</w:t>
      </w:r>
      <w:r w:rsidRPr="00C53B1E">
        <w:rPr>
          <w:rFonts w:eastAsia="MS Mincho" w:cstheme="minorHAnsi"/>
          <w:b/>
          <w:lang w:eastAsia="ja-JP"/>
        </w:rPr>
        <w:t xml:space="preserve"> April 2023 (£)</w:t>
      </w:r>
    </w:p>
    <w:tbl>
      <w:tblPr>
        <w:tblW w:w="7620" w:type="dxa"/>
        <w:tblLook w:val="04A0" w:firstRow="1" w:lastRow="0" w:firstColumn="1" w:lastColumn="0" w:noHBand="0" w:noVBand="1"/>
      </w:tblPr>
      <w:tblGrid>
        <w:gridCol w:w="1416"/>
        <w:gridCol w:w="1418"/>
        <w:gridCol w:w="1208"/>
        <w:gridCol w:w="1208"/>
        <w:gridCol w:w="1154"/>
        <w:gridCol w:w="1216"/>
      </w:tblGrid>
      <w:tr w:rsidR="00D2751E" w:rsidRPr="00C53B1E" w14:paraId="116C2D92" w14:textId="5796AA65" w:rsidTr="00D2751E">
        <w:trPr>
          <w:trHeight w:val="320"/>
        </w:trPr>
        <w:tc>
          <w:tcPr>
            <w:tcW w:w="1436"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4FB69B3A" w14:textId="77777777" w:rsidR="00D2751E" w:rsidRPr="00C53B1E" w:rsidRDefault="00D2751E" w:rsidP="00B15E08">
            <w:pPr>
              <w:jc w:val="both"/>
              <w:rPr>
                <w:rFonts w:cstheme="minorHAnsi"/>
                <w:b/>
                <w:bCs/>
                <w:color w:val="000000"/>
                <w:lang w:eastAsia="en-GB"/>
              </w:rPr>
            </w:pPr>
            <w:r w:rsidRPr="00C53B1E">
              <w:rPr>
                <w:rFonts w:eastAsia="MS Mincho" w:cstheme="minorHAnsi"/>
                <w:b/>
                <w:bCs/>
                <w:color w:val="000000"/>
                <w:lang w:eastAsia="ja-JP"/>
              </w:rPr>
              <w:t>Partner</w:t>
            </w:r>
          </w:p>
        </w:tc>
        <w:tc>
          <w:tcPr>
            <w:tcW w:w="1418" w:type="dxa"/>
            <w:tcBorders>
              <w:top w:val="single" w:sz="8" w:space="0" w:color="auto"/>
              <w:left w:val="nil"/>
              <w:bottom w:val="single" w:sz="8" w:space="0" w:color="auto"/>
              <w:right w:val="single" w:sz="4" w:space="0" w:color="auto"/>
            </w:tcBorders>
            <w:shd w:val="clear" w:color="000000" w:fill="FFF2CC"/>
            <w:noWrap/>
            <w:vAlign w:val="center"/>
            <w:hideMark/>
          </w:tcPr>
          <w:p w14:paraId="30EBAA34"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19/20</w:t>
            </w:r>
          </w:p>
        </w:tc>
        <w:tc>
          <w:tcPr>
            <w:tcW w:w="1223" w:type="dxa"/>
            <w:tcBorders>
              <w:top w:val="single" w:sz="8" w:space="0" w:color="auto"/>
              <w:left w:val="nil"/>
              <w:bottom w:val="single" w:sz="8" w:space="0" w:color="auto"/>
              <w:right w:val="single" w:sz="4" w:space="0" w:color="auto"/>
            </w:tcBorders>
            <w:shd w:val="clear" w:color="000000" w:fill="FFF2CC"/>
            <w:vAlign w:val="center"/>
            <w:hideMark/>
          </w:tcPr>
          <w:p w14:paraId="5BED69CD"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20/21</w:t>
            </w:r>
          </w:p>
        </w:tc>
        <w:tc>
          <w:tcPr>
            <w:tcW w:w="1223" w:type="dxa"/>
            <w:tcBorders>
              <w:top w:val="single" w:sz="8" w:space="0" w:color="auto"/>
              <w:left w:val="nil"/>
              <w:bottom w:val="single" w:sz="8" w:space="0" w:color="auto"/>
              <w:right w:val="single" w:sz="4" w:space="0" w:color="auto"/>
            </w:tcBorders>
            <w:shd w:val="clear" w:color="000000" w:fill="FFF2CC"/>
            <w:vAlign w:val="center"/>
            <w:hideMark/>
          </w:tcPr>
          <w:p w14:paraId="3E00C04E"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21/22</w:t>
            </w:r>
          </w:p>
        </w:tc>
        <w:tc>
          <w:tcPr>
            <w:tcW w:w="1160" w:type="dxa"/>
            <w:tcBorders>
              <w:top w:val="single" w:sz="8" w:space="0" w:color="auto"/>
              <w:left w:val="nil"/>
              <w:bottom w:val="single" w:sz="8" w:space="0" w:color="auto"/>
              <w:right w:val="single" w:sz="8" w:space="0" w:color="auto"/>
            </w:tcBorders>
            <w:shd w:val="clear" w:color="000000" w:fill="FFF2CC"/>
            <w:vAlign w:val="center"/>
            <w:hideMark/>
          </w:tcPr>
          <w:p w14:paraId="3DDE3A37"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22/23</w:t>
            </w:r>
          </w:p>
        </w:tc>
        <w:tc>
          <w:tcPr>
            <w:tcW w:w="1160" w:type="dxa"/>
            <w:tcBorders>
              <w:top w:val="single" w:sz="8" w:space="0" w:color="auto"/>
              <w:left w:val="nil"/>
              <w:bottom w:val="single" w:sz="8" w:space="0" w:color="auto"/>
              <w:right w:val="single" w:sz="8" w:space="0" w:color="auto"/>
            </w:tcBorders>
            <w:shd w:val="clear" w:color="000000" w:fill="FFF2CC"/>
          </w:tcPr>
          <w:p w14:paraId="4A13C3A0" w14:textId="7969492A" w:rsidR="00D2751E" w:rsidRPr="00C53B1E" w:rsidRDefault="00D2751E" w:rsidP="00B15E08">
            <w:pPr>
              <w:jc w:val="both"/>
              <w:rPr>
                <w:rFonts w:eastAsia="MS Mincho" w:cstheme="minorHAnsi"/>
                <w:b/>
                <w:bCs/>
                <w:lang w:eastAsia="ja-JP"/>
              </w:rPr>
            </w:pPr>
            <w:r w:rsidRPr="00C53B1E">
              <w:rPr>
                <w:rFonts w:eastAsia="MS Mincho" w:cstheme="minorHAnsi"/>
                <w:b/>
                <w:bCs/>
                <w:lang w:eastAsia="ja-JP"/>
              </w:rPr>
              <w:t>23/24</w:t>
            </w:r>
          </w:p>
        </w:tc>
      </w:tr>
      <w:tr w:rsidR="00D2751E" w:rsidRPr="00C53B1E" w14:paraId="636AE707" w14:textId="7FC7821E" w:rsidTr="00D2751E">
        <w:trPr>
          <w:trHeight w:val="31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7E1CE87E"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Notts Police</w:t>
            </w:r>
          </w:p>
        </w:tc>
        <w:tc>
          <w:tcPr>
            <w:tcW w:w="1418" w:type="dxa"/>
            <w:tcBorders>
              <w:top w:val="nil"/>
              <w:left w:val="nil"/>
              <w:bottom w:val="single" w:sz="4" w:space="0" w:color="auto"/>
              <w:right w:val="single" w:sz="4" w:space="0" w:color="auto"/>
            </w:tcBorders>
            <w:shd w:val="clear" w:color="auto" w:fill="auto"/>
            <w:noWrap/>
            <w:vAlign w:val="center"/>
            <w:hideMark/>
          </w:tcPr>
          <w:p w14:paraId="22F3C6EB"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53,180</w:t>
            </w:r>
          </w:p>
        </w:tc>
        <w:tc>
          <w:tcPr>
            <w:tcW w:w="1223" w:type="dxa"/>
            <w:tcBorders>
              <w:top w:val="nil"/>
              <w:left w:val="nil"/>
              <w:bottom w:val="single" w:sz="4" w:space="0" w:color="auto"/>
              <w:right w:val="single" w:sz="4" w:space="0" w:color="auto"/>
            </w:tcBorders>
            <w:shd w:val="clear" w:color="auto" w:fill="auto"/>
            <w:vAlign w:val="center"/>
            <w:hideMark/>
          </w:tcPr>
          <w:p w14:paraId="7D22E176"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53,180</w:t>
            </w:r>
          </w:p>
        </w:tc>
        <w:tc>
          <w:tcPr>
            <w:tcW w:w="1223" w:type="dxa"/>
            <w:tcBorders>
              <w:top w:val="nil"/>
              <w:left w:val="nil"/>
              <w:bottom w:val="single" w:sz="4" w:space="0" w:color="auto"/>
              <w:right w:val="single" w:sz="4" w:space="0" w:color="auto"/>
            </w:tcBorders>
            <w:shd w:val="clear" w:color="auto" w:fill="auto"/>
            <w:vAlign w:val="center"/>
            <w:hideMark/>
          </w:tcPr>
          <w:p w14:paraId="3E305FA2"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53,180</w:t>
            </w:r>
          </w:p>
        </w:tc>
        <w:tc>
          <w:tcPr>
            <w:tcW w:w="1160" w:type="dxa"/>
            <w:tcBorders>
              <w:top w:val="nil"/>
              <w:left w:val="nil"/>
              <w:bottom w:val="single" w:sz="4" w:space="0" w:color="auto"/>
              <w:right w:val="single" w:sz="8" w:space="0" w:color="auto"/>
            </w:tcBorders>
            <w:shd w:val="clear" w:color="auto" w:fill="auto"/>
            <w:vAlign w:val="center"/>
            <w:hideMark/>
          </w:tcPr>
          <w:p w14:paraId="60D195C1"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53,180</w:t>
            </w:r>
          </w:p>
        </w:tc>
        <w:tc>
          <w:tcPr>
            <w:tcW w:w="1160" w:type="dxa"/>
            <w:tcBorders>
              <w:top w:val="nil"/>
              <w:left w:val="nil"/>
              <w:bottom w:val="single" w:sz="4" w:space="0" w:color="auto"/>
              <w:right w:val="single" w:sz="8" w:space="0" w:color="auto"/>
            </w:tcBorders>
          </w:tcPr>
          <w:p w14:paraId="23D7A8B2" w14:textId="03ACB19E" w:rsidR="00D2751E" w:rsidRPr="00C53B1E" w:rsidRDefault="00CA4D10" w:rsidP="00B15E08">
            <w:pPr>
              <w:jc w:val="both"/>
              <w:rPr>
                <w:rFonts w:eastAsia="MS Mincho" w:cstheme="minorHAnsi"/>
                <w:color w:val="000000"/>
                <w:lang w:eastAsia="ja-JP"/>
              </w:rPr>
            </w:pPr>
            <w:r w:rsidRPr="00C53B1E">
              <w:rPr>
                <w:rFonts w:eastAsia="MS Mincho" w:cstheme="minorHAnsi"/>
                <w:color w:val="000000"/>
                <w:lang w:eastAsia="ja-JP"/>
              </w:rPr>
              <w:t>53,180</w:t>
            </w:r>
          </w:p>
        </w:tc>
      </w:tr>
      <w:tr w:rsidR="00D2751E" w:rsidRPr="00C53B1E" w14:paraId="580A1858" w14:textId="08258CB5" w:rsidTr="00D2751E">
        <w:trPr>
          <w:trHeight w:val="31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172DD030"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Notts CCG</w:t>
            </w:r>
          </w:p>
        </w:tc>
        <w:tc>
          <w:tcPr>
            <w:tcW w:w="1418" w:type="dxa"/>
            <w:tcBorders>
              <w:top w:val="nil"/>
              <w:left w:val="nil"/>
              <w:bottom w:val="single" w:sz="4" w:space="0" w:color="auto"/>
              <w:right w:val="single" w:sz="4" w:space="0" w:color="auto"/>
            </w:tcBorders>
            <w:shd w:val="clear" w:color="auto" w:fill="auto"/>
            <w:noWrap/>
            <w:vAlign w:val="center"/>
            <w:hideMark/>
          </w:tcPr>
          <w:p w14:paraId="1A1AAE92"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32,225</w:t>
            </w:r>
          </w:p>
        </w:tc>
        <w:tc>
          <w:tcPr>
            <w:tcW w:w="1223" w:type="dxa"/>
            <w:tcBorders>
              <w:top w:val="nil"/>
              <w:left w:val="nil"/>
              <w:bottom w:val="single" w:sz="4" w:space="0" w:color="auto"/>
              <w:right w:val="single" w:sz="4" w:space="0" w:color="auto"/>
            </w:tcBorders>
            <w:shd w:val="clear" w:color="auto" w:fill="auto"/>
            <w:vAlign w:val="center"/>
            <w:hideMark/>
          </w:tcPr>
          <w:p w14:paraId="0CA7DF46"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32,225</w:t>
            </w:r>
          </w:p>
        </w:tc>
        <w:tc>
          <w:tcPr>
            <w:tcW w:w="1223" w:type="dxa"/>
            <w:tcBorders>
              <w:top w:val="nil"/>
              <w:left w:val="nil"/>
              <w:bottom w:val="single" w:sz="4" w:space="0" w:color="auto"/>
              <w:right w:val="single" w:sz="4" w:space="0" w:color="auto"/>
            </w:tcBorders>
            <w:shd w:val="clear" w:color="auto" w:fill="auto"/>
            <w:vAlign w:val="center"/>
            <w:hideMark/>
          </w:tcPr>
          <w:p w14:paraId="1F2D37CE"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32,225</w:t>
            </w:r>
          </w:p>
        </w:tc>
        <w:tc>
          <w:tcPr>
            <w:tcW w:w="1160" w:type="dxa"/>
            <w:tcBorders>
              <w:top w:val="nil"/>
              <w:left w:val="nil"/>
              <w:bottom w:val="single" w:sz="4" w:space="0" w:color="auto"/>
              <w:right w:val="single" w:sz="8" w:space="0" w:color="auto"/>
            </w:tcBorders>
            <w:shd w:val="clear" w:color="auto" w:fill="auto"/>
            <w:vAlign w:val="center"/>
            <w:hideMark/>
          </w:tcPr>
          <w:p w14:paraId="24C2963B"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32,225</w:t>
            </w:r>
          </w:p>
        </w:tc>
        <w:tc>
          <w:tcPr>
            <w:tcW w:w="1160" w:type="dxa"/>
            <w:tcBorders>
              <w:top w:val="nil"/>
              <w:left w:val="nil"/>
              <w:bottom w:val="single" w:sz="4" w:space="0" w:color="auto"/>
              <w:right w:val="single" w:sz="8" w:space="0" w:color="auto"/>
            </w:tcBorders>
          </w:tcPr>
          <w:p w14:paraId="2393A51E" w14:textId="3A0F9AA6" w:rsidR="00D2751E" w:rsidRPr="00C53B1E" w:rsidRDefault="00CA4D10" w:rsidP="00B15E08">
            <w:pPr>
              <w:jc w:val="both"/>
              <w:rPr>
                <w:rFonts w:eastAsia="MS Mincho" w:cstheme="minorHAnsi"/>
                <w:color w:val="000000"/>
                <w:lang w:eastAsia="ja-JP"/>
              </w:rPr>
            </w:pPr>
            <w:r w:rsidRPr="00C53B1E">
              <w:rPr>
                <w:rFonts w:eastAsia="MS Mincho" w:cstheme="minorHAnsi"/>
                <w:color w:val="000000"/>
                <w:lang w:eastAsia="ja-JP"/>
              </w:rPr>
              <w:t>32,225</w:t>
            </w:r>
          </w:p>
        </w:tc>
      </w:tr>
      <w:tr w:rsidR="00D2751E" w:rsidRPr="00C53B1E" w14:paraId="579FF5AD" w14:textId="5D587487" w:rsidTr="00D2751E">
        <w:trPr>
          <w:trHeight w:val="62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1654C9AE"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 xml:space="preserve">National Probation  </w:t>
            </w:r>
          </w:p>
        </w:tc>
        <w:tc>
          <w:tcPr>
            <w:tcW w:w="1418" w:type="dxa"/>
            <w:tcBorders>
              <w:top w:val="nil"/>
              <w:left w:val="nil"/>
              <w:bottom w:val="single" w:sz="4" w:space="0" w:color="auto"/>
              <w:right w:val="single" w:sz="4" w:space="0" w:color="auto"/>
            </w:tcBorders>
            <w:shd w:val="clear" w:color="auto" w:fill="auto"/>
            <w:noWrap/>
            <w:vAlign w:val="center"/>
            <w:hideMark/>
          </w:tcPr>
          <w:p w14:paraId="50C8F9EC"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10,000</w:t>
            </w:r>
          </w:p>
        </w:tc>
        <w:tc>
          <w:tcPr>
            <w:tcW w:w="1223" w:type="dxa"/>
            <w:tcBorders>
              <w:top w:val="nil"/>
              <w:left w:val="nil"/>
              <w:bottom w:val="single" w:sz="4" w:space="0" w:color="auto"/>
              <w:right w:val="single" w:sz="4" w:space="0" w:color="auto"/>
            </w:tcBorders>
            <w:shd w:val="clear" w:color="auto" w:fill="auto"/>
            <w:vAlign w:val="center"/>
            <w:hideMark/>
          </w:tcPr>
          <w:p w14:paraId="4928A1EF"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7,500</w:t>
            </w:r>
          </w:p>
        </w:tc>
        <w:tc>
          <w:tcPr>
            <w:tcW w:w="1223" w:type="dxa"/>
            <w:tcBorders>
              <w:top w:val="nil"/>
              <w:left w:val="nil"/>
              <w:bottom w:val="single" w:sz="4" w:space="0" w:color="auto"/>
              <w:right w:val="single" w:sz="4" w:space="0" w:color="auto"/>
            </w:tcBorders>
            <w:shd w:val="clear" w:color="auto" w:fill="auto"/>
            <w:vAlign w:val="center"/>
            <w:hideMark/>
          </w:tcPr>
          <w:p w14:paraId="36D92770"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7,500</w:t>
            </w:r>
          </w:p>
        </w:tc>
        <w:tc>
          <w:tcPr>
            <w:tcW w:w="1160" w:type="dxa"/>
            <w:tcBorders>
              <w:top w:val="nil"/>
              <w:left w:val="nil"/>
              <w:bottom w:val="single" w:sz="4" w:space="0" w:color="auto"/>
              <w:right w:val="single" w:sz="8" w:space="0" w:color="auto"/>
            </w:tcBorders>
            <w:shd w:val="clear" w:color="auto" w:fill="auto"/>
            <w:vAlign w:val="center"/>
            <w:hideMark/>
          </w:tcPr>
          <w:p w14:paraId="43CAD6D1"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7,500</w:t>
            </w:r>
          </w:p>
        </w:tc>
        <w:tc>
          <w:tcPr>
            <w:tcW w:w="1160" w:type="dxa"/>
            <w:tcBorders>
              <w:top w:val="nil"/>
              <w:left w:val="nil"/>
              <w:bottom w:val="single" w:sz="4" w:space="0" w:color="auto"/>
              <w:right w:val="single" w:sz="8" w:space="0" w:color="auto"/>
            </w:tcBorders>
          </w:tcPr>
          <w:p w14:paraId="257B47CB" w14:textId="3B9CB5F7" w:rsidR="00D2751E" w:rsidRPr="00C53B1E" w:rsidRDefault="00CA4D10" w:rsidP="00B15E08">
            <w:pPr>
              <w:jc w:val="both"/>
              <w:rPr>
                <w:rFonts w:eastAsia="MS Mincho" w:cstheme="minorHAnsi"/>
                <w:color w:val="000000"/>
                <w:lang w:eastAsia="ja-JP"/>
              </w:rPr>
            </w:pPr>
            <w:r w:rsidRPr="00C53B1E">
              <w:rPr>
                <w:rFonts w:eastAsia="MS Mincho" w:cstheme="minorHAnsi"/>
                <w:color w:val="000000"/>
                <w:lang w:eastAsia="ja-JP"/>
              </w:rPr>
              <w:t>7,500</w:t>
            </w:r>
          </w:p>
        </w:tc>
      </w:tr>
      <w:tr w:rsidR="00D2751E" w:rsidRPr="00C53B1E" w14:paraId="4B3A8D76" w14:textId="609E405D" w:rsidTr="00D2751E">
        <w:trPr>
          <w:trHeight w:val="93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2EA0E150"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Youth Justice Board</w:t>
            </w:r>
          </w:p>
        </w:tc>
        <w:tc>
          <w:tcPr>
            <w:tcW w:w="1418" w:type="dxa"/>
            <w:tcBorders>
              <w:top w:val="nil"/>
              <w:left w:val="nil"/>
              <w:bottom w:val="single" w:sz="4" w:space="0" w:color="auto"/>
              <w:right w:val="single" w:sz="4" w:space="0" w:color="auto"/>
            </w:tcBorders>
            <w:shd w:val="clear" w:color="auto" w:fill="auto"/>
            <w:noWrap/>
            <w:vAlign w:val="center"/>
            <w:hideMark/>
          </w:tcPr>
          <w:p w14:paraId="63DFBCAB" w14:textId="77777777" w:rsidR="00D2751E" w:rsidRPr="00C53B1E" w:rsidRDefault="00D2751E" w:rsidP="00B15E08">
            <w:pPr>
              <w:jc w:val="both"/>
              <w:rPr>
                <w:rFonts w:cstheme="minorHAnsi"/>
                <w:color w:val="000000"/>
                <w:lang w:eastAsia="en-GB"/>
              </w:rPr>
            </w:pPr>
            <w:r w:rsidRPr="00C53B1E">
              <w:rPr>
                <w:rFonts w:eastAsia="Calibri" w:cstheme="minorHAnsi"/>
                <w:noProof/>
                <w:color w:val="000000"/>
                <w:lang w:eastAsia="en-GB"/>
              </w:rPr>
              <w:t>746,607.00</w:t>
            </w:r>
          </w:p>
        </w:tc>
        <w:tc>
          <w:tcPr>
            <w:tcW w:w="1223" w:type="dxa"/>
            <w:tcBorders>
              <w:top w:val="nil"/>
              <w:left w:val="nil"/>
              <w:bottom w:val="single" w:sz="4" w:space="0" w:color="auto"/>
              <w:right w:val="single" w:sz="4" w:space="0" w:color="auto"/>
            </w:tcBorders>
            <w:shd w:val="clear" w:color="auto" w:fill="auto"/>
            <w:vAlign w:val="center"/>
            <w:hideMark/>
          </w:tcPr>
          <w:p w14:paraId="1955C776"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843,122*</w:t>
            </w:r>
          </w:p>
        </w:tc>
        <w:tc>
          <w:tcPr>
            <w:tcW w:w="1223" w:type="dxa"/>
            <w:tcBorders>
              <w:top w:val="nil"/>
              <w:left w:val="nil"/>
              <w:bottom w:val="single" w:sz="4" w:space="0" w:color="auto"/>
              <w:right w:val="single" w:sz="4" w:space="0" w:color="auto"/>
            </w:tcBorders>
            <w:shd w:val="clear" w:color="auto" w:fill="auto"/>
            <w:vAlign w:val="center"/>
            <w:hideMark/>
          </w:tcPr>
          <w:p w14:paraId="0AD1BD75"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917,447</w:t>
            </w:r>
          </w:p>
        </w:tc>
        <w:tc>
          <w:tcPr>
            <w:tcW w:w="1160" w:type="dxa"/>
            <w:tcBorders>
              <w:top w:val="nil"/>
              <w:left w:val="nil"/>
              <w:bottom w:val="single" w:sz="4" w:space="0" w:color="auto"/>
              <w:right w:val="single" w:sz="8" w:space="0" w:color="auto"/>
            </w:tcBorders>
            <w:shd w:val="clear" w:color="auto" w:fill="auto"/>
            <w:vAlign w:val="center"/>
            <w:hideMark/>
          </w:tcPr>
          <w:p w14:paraId="2B5DDED6" w14:textId="60187AD9" w:rsidR="00D2751E" w:rsidRPr="00BD77DA" w:rsidRDefault="00C92B4D" w:rsidP="00B15E08">
            <w:pPr>
              <w:jc w:val="both"/>
              <w:rPr>
                <w:rFonts w:cstheme="minorHAnsi"/>
                <w:color w:val="FF0000"/>
                <w:lang w:eastAsia="en-GB"/>
              </w:rPr>
            </w:pPr>
            <w:r w:rsidRPr="00E4604C">
              <w:rPr>
                <w:noProof/>
              </w:rPr>
              <w:t>1,016,783</w:t>
            </w:r>
          </w:p>
        </w:tc>
        <w:tc>
          <w:tcPr>
            <w:tcW w:w="1160" w:type="dxa"/>
            <w:tcBorders>
              <w:top w:val="nil"/>
              <w:left w:val="nil"/>
              <w:bottom w:val="single" w:sz="4" w:space="0" w:color="auto"/>
              <w:right w:val="single" w:sz="8" w:space="0" w:color="auto"/>
            </w:tcBorders>
          </w:tcPr>
          <w:p w14:paraId="21A28473" w14:textId="77777777" w:rsidR="00D2751E" w:rsidRPr="00BD77DA" w:rsidRDefault="00D2751E" w:rsidP="00B15E08">
            <w:pPr>
              <w:jc w:val="both"/>
              <w:rPr>
                <w:rFonts w:eastAsia="MS Mincho" w:cstheme="minorHAnsi"/>
                <w:color w:val="FF0000"/>
                <w:lang w:eastAsia="ja-JP"/>
              </w:rPr>
            </w:pPr>
          </w:p>
          <w:p w14:paraId="321817A3" w14:textId="35355C30" w:rsidR="00744692" w:rsidRPr="00BD77DA" w:rsidRDefault="00C92B4D" w:rsidP="00B15E08">
            <w:pPr>
              <w:jc w:val="both"/>
              <w:rPr>
                <w:rFonts w:eastAsia="MS Mincho" w:cstheme="minorHAnsi"/>
                <w:color w:val="FF0000"/>
                <w:lang w:eastAsia="ja-JP"/>
              </w:rPr>
            </w:pPr>
            <w:r w:rsidRPr="00E4604C">
              <w:rPr>
                <w:noProof/>
              </w:rPr>
              <w:t>1,016,783*</w:t>
            </w:r>
          </w:p>
        </w:tc>
      </w:tr>
      <w:tr w:rsidR="00D2751E" w:rsidRPr="00C53B1E" w14:paraId="23194310" w14:textId="6FC901A4" w:rsidTr="00D2751E">
        <w:trPr>
          <w:trHeight w:val="62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2051B9EA" w14:textId="77777777" w:rsidR="00D2751E" w:rsidRPr="00C53B1E" w:rsidRDefault="00D2751E" w:rsidP="00B15E08">
            <w:pPr>
              <w:jc w:val="both"/>
              <w:rPr>
                <w:rFonts w:cstheme="minorHAnsi"/>
                <w:b/>
                <w:bCs/>
                <w:color w:val="000000"/>
                <w:lang w:eastAsia="en-GB"/>
              </w:rPr>
            </w:pPr>
            <w:proofErr w:type="spellStart"/>
            <w:r w:rsidRPr="00C53B1E">
              <w:rPr>
                <w:rFonts w:eastAsia="MS Mincho" w:cstheme="minorHAnsi"/>
                <w:b/>
                <w:bCs/>
                <w:lang w:eastAsia="ja-JP"/>
              </w:rPr>
              <w:t>Nottm</w:t>
            </w:r>
            <w:proofErr w:type="spellEnd"/>
            <w:r w:rsidRPr="00C53B1E">
              <w:rPr>
                <w:rFonts w:eastAsia="MS Mincho" w:cstheme="minorHAnsi"/>
                <w:b/>
                <w:bCs/>
                <w:lang w:eastAsia="ja-JP"/>
              </w:rPr>
              <w:t>. City Council</w:t>
            </w:r>
          </w:p>
        </w:tc>
        <w:tc>
          <w:tcPr>
            <w:tcW w:w="1418" w:type="dxa"/>
            <w:tcBorders>
              <w:top w:val="nil"/>
              <w:left w:val="nil"/>
              <w:bottom w:val="single" w:sz="4" w:space="0" w:color="auto"/>
              <w:right w:val="single" w:sz="4" w:space="0" w:color="auto"/>
            </w:tcBorders>
            <w:shd w:val="clear" w:color="auto" w:fill="auto"/>
            <w:noWrap/>
            <w:vAlign w:val="center"/>
            <w:hideMark/>
          </w:tcPr>
          <w:p w14:paraId="5478405B"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837,957</w:t>
            </w:r>
          </w:p>
        </w:tc>
        <w:tc>
          <w:tcPr>
            <w:tcW w:w="1223" w:type="dxa"/>
            <w:tcBorders>
              <w:top w:val="nil"/>
              <w:left w:val="nil"/>
              <w:bottom w:val="single" w:sz="4" w:space="0" w:color="auto"/>
              <w:right w:val="single" w:sz="4" w:space="0" w:color="auto"/>
            </w:tcBorders>
            <w:shd w:val="clear" w:color="auto" w:fill="auto"/>
            <w:vAlign w:val="center"/>
            <w:hideMark/>
          </w:tcPr>
          <w:p w14:paraId="2449D720"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961,841</w:t>
            </w:r>
          </w:p>
        </w:tc>
        <w:tc>
          <w:tcPr>
            <w:tcW w:w="1223" w:type="dxa"/>
            <w:tcBorders>
              <w:top w:val="nil"/>
              <w:left w:val="nil"/>
              <w:bottom w:val="single" w:sz="4" w:space="0" w:color="auto"/>
              <w:right w:val="single" w:sz="4" w:space="0" w:color="auto"/>
            </w:tcBorders>
            <w:shd w:val="clear" w:color="auto" w:fill="auto"/>
            <w:vAlign w:val="center"/>
            <w:hideMark/>
          </w:tcPr>
          <w:p w14:paraId="3FCEA7F6"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956,958</w:t>
            </w:r>
          </w:p>
        </w:tc>
        <w:tc>
          <w:tcPr>
            <w:tcW w:w="1160" w:type="dxa"/>
            <w:tcBorders>
              <w:top w:val="nil"/>
              <w:left w:val="nil"/>
              <w:bottom w:val="single" w:sz="4" w:space="0" w:color="auto"/>
              <w:right w:val="single" w:sz="8" w:space="0" w:color="auto"/>
            </w:tcBorders>
            <w:shd w:val="clear" w:color="auto" w:fill="auto"/>
            <w:vAlign w:val="center"/>
            <w:hideMark/>
          </w:tcPr>
          <w:p w14:paraId="760E7130" w14:textId="0391DFCE"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1,178,000</w:t>
            </w:r>
          </w:p>
        </w:tc>
        <w:tc>
          <w:tcPr>
            <w:tcW w:w="1160" w:type="dxa"/>
            <w:tcBorders>
              <w:top w:val="nil"/>
              <w:left w:val="nil"/>
              <w:bottom w:val="single" w:sz="4" w:space="0" w:color="auto"/>
              <w:right w:val="single" w:sz="8" w:space="0" w:color="auto"/>
            </w:tcBorders>
          </w:tcPr>
          <w:p w14:paraId="0D50DC54" w14:textId="69631C10" w:rsidR="00D2751E" w:rsidRPr="00C53B1E" w:rsidRDefault="00EB7453" w:rsidP="00B15E08">
            <w:pPr>
              <w:jc w:val="both"/>
              <w:rPr>
                <w:rFonts w:eastAsia="MS Mincho" w:cstheme="minorHAnsi"/>
                <w:color w:val="000000"/>
                <w:lang w:eastAsia="ja-JP"/>
              </w:rPr>
            </w:pPr>
            <w:r w:rsidRPr="00C53B1E">
              <w:rPr>
                <w:rFonts w:cstheme="minorHAnsi"/>
                <w:color w:val="000000"/>
                <w:lang w:eastAsia="ja-JP"/>
              </w:rPr>
              <w:t>1,043,024</w:t>
            </w:r>
          </w:p>
        </w:tc>
      </w:tr>
      <w:tr w:rsidR="00D2751E" w:rsidRPr="00C53B1E" w14:paraId="5E1D47A1" w14:textId="01E17C16" w:rsidTr="00D2751E">
        <w:trPr>
          <w:trHeight w:val="93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1B2E83C6"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Recoup from Notts CC</w:t>
            </w:r>
          </w:p>
        </w:tc>
        <w:tc>
          <w:tcPr>
            <w:tcW w:w="1418" w:type="dxa"/>
            <w:tcBorders>
              <w:top w:val="nil"/>
              <w:left w:val="nil"/>
              <w:bottom w:val="single" w:sz="4" w:space="0" w:color="auto"/>
              <w:right w:val="single" w:sz="4" w:space="0" w:color="auto"/>
            </w:tcBorders>
            <w:shd w:val="clear" w:color="auto" w:fill="auto"/>
            <w:noWrap/>
            <w:vAlign w:val="center"/>
            <w:hideMark/>
          </w:tcPr>
          <w:p w14:paraId="2EEAE48D"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5,000</w:t>
            </w:r>
          </w:p>
        </w:tc>
        <w:tc>
          <w:tcPr>
            <w:tcW w:w="1223" w:type="dxa"/>
            <w:tcBorders>
              <w:top w:val="nil"/>
              <w:left w:val="nil"/>
              <w:bottom w:val="single" w:sz="4" w:space="0" w:color="auto"/>
              <w:right w:val="single" w:sz="4" w:space="0" w:color="auto"/>
            </w:tcBorders>
            <w:shd w:val="clear" w:color="auto" w:fill="auto"/>
            <w:vAlign w:val="center"/>
            <w:hideMark/>
          </w:tcPr>
          <w:p w14:paraId="044EB1C5"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5,000</w:t>
            </w:r>
          </w:p>
        </w:tc>
        <w:tc>
          <w:tcPr>
            <w:tcW w:w="1223" w:type="dxa"/>
            <w:tcBorders>
              <w:top w:val="nil"/>
              <w:left w:val="nil"/>
              <w:bottom w:val="single" w:sz="4" w:space="0" w:color="auto"/>
              <w:right w:val="single" w:sz="4" w:space="0" w:color="auto"/>
            </w:tcBorders>
            <w:shd w:val="clear" w:color="auto" w:fill="auto"/>
            <w:vAlign w:val="center"/>
            <w:hideMark/>
          </w:tcPr>
          <w:p w14:paraId="5A067D0D"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5,000</w:t>
            </w:r>
          </w:p>
        </w:tc>
        <w:tc>
          <w:tcPr>
            <w:tcW w:w="1160" w:type="dxa"/>
            <w:tcBorders>
              <w:top w:val="nil"/>
              <w:left w:val="nil"/>
              <w:bottom w:val="single" w:sz="4" w:space="0" w:color="auto"/>
              <w:right w:val="single" w:sz="8" w:space="0" w:color="auto"/>
            </w:tcBorders>
            <w:shd w:val="clear" w:color="auto" w:fill="auto"/>
            <w:vAlign w:val="center"/>
            <w:hideMark/>
          </w:tcPr>
          <w:p w14:paraId="45F83530" w14:textId="77777777" w:rsidR="00D2751E" w:rsidRPr="00C53B1E" w:rsidRDefault="00D2751E" w:rsidP="00B15E08">
            <w:pPr>
              <w:jc w:val="both"/>
              <w:rPr>
                <w:rFonts w:cstheme="minorHAnsi"/>
                <w:color w:val="000000"/>
                <w:lang w:eastAsia="en-GB"/>
              </w:rPr>
            </w:pPr>
            <w:r w:rsidRPr="00C53B1E">
              <w:rPr>
                <w:rFonts w:eastAsia="MS Mincho" w:cstheme="minorHAnsi"/>
                <w:color w:val="000000"/>
                <w:lang w:eastAsia="ja-JP"/>
              </w:rPr>
              <w:t>5,000</w:t>
            </w:r>
          </w:p>
        </w:tc>
        <w:tc>
          <w:tcPr>
            <w:tcW w:w="1160" w:type="dxa"/>
            <w:tcBorders>
              <w:top w:val="nil"/>
              <w:left w:val="nil"/>
              <w:bottom w:val="single" w:sz="4" w:space="0" w:color="auto"/>
              <w:right w:val="single" w:sz="8" w:space="0" w:color="auto"/>
            </w:tcBorders>
          </w:tcPr>
          <w:p w14:paraId="42620E64" w14:textId="29B4FA13" w:rsidR="00D2751E" w:rsidRPr="00C53B1E" w:rsidRDefault="00744692" w:rsidP="00B15E08">
            <w:pPr>
              <w:jc w:val="both"/>
              <w:rPr>
                <w:rFonts w:eastAsia="MS Mincho" w:cstheme="minorHAnsi"/>
                <w:color w:val="000000"/>
                <w:lang w:eastAsia="ja-JP"/>
              </w:rPr>
            </w:pPr>
            <w:r w:rsidRPr="00C53B1E">
              <w:rPr>
                <w:rFonts w:eastAsia="MS Mincho" w:cstheme="minorHAnsi"/>
                <w:color w:val="000000"/>
                <w:lang w:eastAsia="ja-JP"/>
              </w:rPr>
              <w:t>5,000</w:t>
            </w:r>
          </w:p>
        </w:tc>
      </w:tr>
      <w:tr w:rsidR="00D2751E" w:rsidRPr="00C53B1E" w14:paraId="6677612A" w14:textId="73287E5F" w:rsidTr="00D2751E">
        <w:trPr>
          <w:trHeight w:val="1240"/>
        </w:trPr>
        <w:tc>
          <w:tcPr>
            <w:tcW w:w="1436" w:type="dxa"/>
            <w:tcBorders>
              <w:top w:val="nil"/>
              <w:left w:val="single" w:sz="8" w:space="0" w:color="auto"/>
              <w:bottom w:val="single" w:sz="4" w:space="0" w:color="auto"/>
              <w:right w:val="single" w:sz="8" w:space="0" w:color="auto"/>
            </w:tcBorders>
            <w:shd w:val="clear" w:color="000000" w:fill="FFF2CC"/>
            <w:vAlign w:val="center"/>
            <w:hideMark/>
          </w:tcPr>
          <w:p w14:paraId="2451D97C"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lastRenderedPageBreak/>
              <w:t>Junior Attendance Centre</w:t>
            </w:r>
          </w:p>
        </w:tc>
        <w:tc>
          <w:tcPr>
            <w:tcW w:w="1418" w:type="dxa"/>
            <w:tcBorders>
              <w:top w:val="nil"/>
              <w:left w:val="nil"/>
              <w:bottom w:val="single" w:sz="4" w:space="0" w:color="auto"/>
              <w:right w:val="single" w:sz="4" w:space="0" w:color="auto"/>
            </w:tcBorders>
            <w:shd w:val="clear" w:color="auto" w:fill="auto"/>
            <w:noWrap/>
            <w:vAlign w:val="center"/>
            <w:hideMark/>
          </w:tcPr>
          <w:p w14:paraId="7660C46A" w14:textId="77777777" w:rsidR="00D2751E" w:rsidRPr="00C53B1E" w:rsidRDefault="00D2751E" w:rsidP="00B15E08">
            <w:pPr>
              <w:jc w:val="both"/>
              <w:rPr>
                <w:rFonts w:cstheme="minorHAnsi"/>
                <w:color w:val="000000"/>
                <w:lang w:eastAsia="en-GB"/>
              </w:rPr>
            </w:pPr>
            <w:r w:rsidRPr="00C53B1E">
              <w:rPr>
                <w:rFonts w:eastAsia="Calibri" w:cstheme="minorHAnsi"/>
                <w:noProof/>
                <w:color w:val="000000"/>
                <w:lang w:eastAsia="en-GB"/>
              </w:rPr>
              <w:t>79,983</w:t>
            </w:r>
          </w:p>
        </w:tc>
        <w:tc>
          <w:tcPr>
            <w:tcW w:w="1223" w:type="dxa"/>
            <w:tcBorders>
              <w:top w:val="nil"/>
              <w:left w:val="nil"/>
              <w:bottom w:val="single" w:sz="4" w:space="0" w:color="auto"/>
              <w:right w:val="single" w:sz="4" w:space="0" w:color="auto"/>
            </w:tcBorders>
            <w:shd w:val="clear" w:color="auto" w:fill="auto"/>
            <w:vAlign w:val="center"/>
            <w:hideMark/>
          </w:tcPr>
          <w:p w14:paraId="795BFCEE" w14:textId="0E43A619" w:rsidR="00D2751E" w:rsidRPr="00C53B1E" w:rsidRDefault="00D2751E" w:rsidP="00B15E08">
            <w:pPr>
              <w:jc w:val="both"/>
              <w:rPr>
                <w:rFonts w:cstheme="minorHAnsi"/>
                <w:color w:val="000000"/>
                <w:lang w:eastAsia="en-GB"/>
              </w:rPr>
            </w:pPr>
            <w:r w:rsidRPr="00C53B1E">
              <w:rPr>
                <w:rFonts w:eastAsia="Arial" w:cstheme="minorHAnsi"/>
                <w:color w:val="000000"/>
                <w:lang w:eastAsia="ja-JP"/>
              </w:rPr>
              <w:t>Now within YJB Grant</w:t>
            </w:r>
          </w:p>
        </w:tc>
        <w:tc>
          <w:tcPr>
            <w:tcW w:w="1223" w:type="dxa"/>
            <w:tcBorders>
              <w:top w:val="nil"/>
              <w:left w:val="nil"/>
              <w:bottom w:val="single" w:sz="4" w:space="0" w:color="auto"/>
              <w:right w:val="single" w:sz="4" w:space="0" w:color="auto"/>
            </w:tcBorders>
            <w:shd w:val="clear" w:color="auto" w:fill="auto"/>
            <w:vAlign w:val="center"/>
            <w:hideMark/>
          </w:tcPr>
          <w:p w14:paraId="5903425A" w14:textId="1550D7AB" w:rsidR="00D2751E" w:rsidRPr="00C53B1E" w:rsidRDefault="00D2751E" w:rsidP="00B15E08">
            <w:pPr>
              <w:jc w:val="both"/>
              <w:rPr>
                <w:rFonts w:cstheme="minorHAnsi"/>
                <w:color w:val="000000"/>
                <w:lang w:eastAsia="en-GB"/>
              </w:rPr>
            </w:pPr>
            <w:r w:rsidRPr="00C53B1E">
              <w:rPr>
                <w:rFonts w:cstheme="minorHAnsi"/>
                <w:color w:val="000000"/>
                <w:lang w:eastAsia="en-GB"/>
              </w:rPr>
              <w:t>-</w:t>
            </w:r>
          </w:p>
        </w:tc>
        <w:tc>
          <w:tcPr>
            <w:tcW w:w="1160" w:type="dxa"/>
            <w:tcBorders>
              <w:top w:val="nil"/>
              <w:left w:val="nil"/>
              <w:bottom w:val="single" w:sz="4" w:space="0" w:color="auto"/>
              <w:right w:val="single" w:sz="8" w:space="0" w:color="auto"/>
            </w:tcBorders>
            <w:shd w:val="clear" w:color="auto" w:fill="auto"/>
            <w:vAlign w:val="center"/>
            <w:hideMark/>
          </w:tcPr>
          <w:p w14:paraId="6D155554" w14:textId="77777777" w:rsidR="00D2751E" w:rsidRPr="00C53B1E" w:rsidRDefault="00D2751E" w:rsidP="00B15E08">
            <w:pPr>
              <w:jc w:val="both"/>
              <w:rPr>
                <w:rFonts w:cstheme="minorHAnsi"/>
                <w:color w:val="000000"/>
                <w:lang w:eastAsia="en-GB"/>
              </w:rPr>
            </w:pPr>
            <w:r w:rsidRPr="00C53B1E">
              <w:rPr>
                <w:rFonts w:cstheme="minorHAnsi"/>
                <w:color w:val="000000"/>
                <w:lang w:eastAsia="en-GB"/>
              </w:rPr>
              <w:t>-</w:t>
            </w:r>
          </w:p>
        </w:tc>
        <w:tc>
          <w:tcPr>
            <w:tcW w:w="1160" w:type="dxa"/>
            <w:tcBorders>
              <w:top w:val="nil"/>
              <w:left w:val="nil"/>
              <w:bottom w:val="single" w:sz="4" w:space="0" w:color="auto"/>
              <w:right w:val="single" w:sz="8" w:space="0" w:color="auto"/>
            </w:tcBorders>
          </w:tcPr>
          <w:p w14:paraId="5777CE72" w14:textId="77777777" w:rsidR="009C1F9F" w:rsidRPr="00C53B1E" w:rsidRDefault="009C1F9F" w:rsidP="00B15E08">
            <w:pPr>
              <w:jc w:val="both"/>
              <w:rPr>
                <w:rFonts w:cstheme="minorHAnsi"/>
                <w:color w:val="000000"/>
                <w:lang w:eastAsia="en-GB"/>
              </w:rPr>
            </w:pPr>
          </w:p>
          <w:p w14:paraId="7384FBD1" w14:textId="3A728C29" w:rsidR="00D2751E" w:rsidRPr="00C53B1E" w:rsidRDefault="009C1F9F" w:rsidP="00B15E08">
            <w:pPr>
              <w:jc w:val="both"/>
              <w:rPr>
                <w:rFonts w:cstheme="minorHAnsi"/>
                <w:color w:val="000000"/>
                <w:lang w:eastAsia="en-GB"/>
              </w:rPr>
            </w:pPr>
            <w:r w:rsidRPr="00C53B1E">
              <w:rPr>
                <w:rFonts w:cstheme="minorHAnsi"/>
                <w:color w:val="000000"/>
                <w:lang w:eastAsia="en-GB"/>
              </w:rPr>
              <w:t>-</w:t>
            </w:r>
          </w:p>
        </w:tc>
      </w:tr>
      <w:tr w:rsidR="00D2751E" w:rsidRPr="00C53B1E" w14:paraId="2869F61B" w14:textId="1196B849" w:rsidTr="00D2751E">
        <w:trPr>
          <w:trHeight w:val="320"/>
        </w:trPr>
        <w:tc>
          <w:tcPr>
            <w:tcW w:w="1436" w:type="dxa"/>
            <w:tcBorders>
              <w:top w:val="nil"/>
              <w:left w:val="single" w:sz="8" w:space="0" w:color="auto"/>
              <w:bottom w:val="single" w:sz="8" w:space="0" w:color="auto"/>
              <w:right w:val="single" w:sz="8" w:space="0" w:color="auto"/>
            </w:tcBorders>
            <w:shd w:val="clear" w:color="000000" w:fill="FFF2CC"/>
            <w:vAlign w:val="center"/>
            <w:hideMark/>
          </w:tcPr>
          <w:p w14:paraId="0CD76699" w14:textId="77777777" w:rsidR="00D2751E" w:rsidRPr="00C53B1E" w:rsidRDefault="00D2751E" w:rsidP="00B15E08">
            <w:pPr>
              <w:jc w:val="both"/>
              <w:rPr>
                <w:rFonts w:cstheme="minorHAnsi"/>
                <w:b/>
                <w:bCs/>
                <w:color w:val="000000"/>
                <w:lang w:eastAsia="en-GB"/>
              </w:rPr>
            </w:pPr>
            <w:r w:rsidRPr="00C53B1E">
              <w:rPr>
                <w:rFonts w:eastAsia="MS Mincho" w:cstheme="minorHAnsi"/>
                <w:b/>
                <w:bCs/>
                <w:lang w:eastAsia="ja-JP"/>
              </w:rPr>
              <w:t>TOTAL</w:t>
            </w:r>
          </w:p>
        </w:tc>
        <w:tc>
          <w:tcPr>
            <w:tcW w:w="1418" w:type="dxa"/>
            <w:tcBorders>
              <w:top w:val="nil"/>
              <w:left w:val="nil"/>
              <w:bottom w:val="single" w:sz="8" w:space="0" w:color="auto"/>
              <w:right w:val="single" w:sz="4" w:space="0" w:color="auto"/>
            </w:tcBorders>
            <w:shd w:val="clear" w:color="auto" w:fill="auto"/>
            <w:noWrap/>
            <w:vAlign w:val="center"/>
            <w:hideMark/>
          </w:tcPr>
          <w:p w14:paraId="7484D8F1" w14:textId="77777777" w:rsidR="00D2751E" w:rsidRPr="00C53B1E" w:rsidRDefault="00D2751E" w:rsidP="00B15E08">
            <w:pPr>
              <w:jc w:val="both"/>
              <w:rPr>
                <w:rFonts w:cstheme="minorHAnsi"/>
                <w:b/>
                <w:bCs/>
                <w:color w:val="000000"/>
                <w:lang w:eastAsia="en-GB"/>
              </w:rPr>
            </w:pPr>
            <w:r w:rsidRPr="00C53B1E">
              <w:rPr>
                <w:rFonts w:eastAsia="MS Mincho" w:cstheme="minorHAnsi"/>
                <w:b/>
                <w:bCs/>
                <w:color w:val="000000"/>
                <w:lang w:eastAsia="ja-JP"/>
              </w:rPr>
              <w:t>1,764,952</w:t>
            </w:r>
          </w:p>
        </w:tc>
        <w:tc>
          <w:tcPr>
            <w:tcW w:w="1223" w:type="dxa"/>
            <w:tcBorders>
              <w:top w:val="nil"/>
              <w:left w:val="nil"/>
              <w:bottom w:val="single" w:sz="8" w:space="0" w:color="auto"/>
              <w:right w:val="single" w:sz="4" w:space="0" w:color="auto"/>
            </w:tcBorders>
            <w:shd w:val="clear" w:color="auto" w:fill="auto"/>
            <w:vAlign w:val="center"/>
            <w:hideMark/>
          </w:tcPr>
          <w:p w14:paraId="27837A42" w14:textId="77777777" w:rsidR="00D2751E" w:rsidRPr="00C53B1E" w:rsidRDefault="00D2751E" w:rsidP="00B15E08">
            <w:pPr>
              <w:jc w:val="both"/>
              <w:rPr>
                <w:rFonts w:cstheme="minorHAnsi"/>
                <w:b/>
                <w:bCs/>
                <w:color w:val="000000"/>
                <w:lang w:eastAsia="en-GB"/>
              </w:rPr>
            </w:pPr>
            <w:r w:rsidRPr="00C53B1E">
              <w:rPr>
                <w:rFonts w:eastAsia="MS Mincho" w:cstheme="minorHAnsi"/>
                <w:b/>
                <w:bCs/>
                <w:color w:val="000000"/>
                <w:lang w:eastAsia="ja-JP"/>
              </w:rPr>
              <w:t>1,902,788</w:t>
            </w:r>
          </w:p>
        </w:tc>
        <w:tc>
          <w:tcPr>
            <w:tcW w:w="1223" w:type="dxa"/>
            <w:tcBorders>
              <w:top w:val="nil"/>
              <w:left w:val="nil"/>
              <w:bottom w:val="single" w:sz="8" w:space="0" w:color="auto"/>
              <w:right w:val="single" w:sz="4" w:space="0" w:color="auto"/>
            </w:tcBorders>
            <w:shd w:val="clear" w:color="auto" w:fill="auto"/>
            <w:vAlign w:val="center"/>
            <w:hideMark/>
          </w:tcPr>
          <w:p w14:paraId="79F5EE3F" w14:textId="77777777" w:rsidR="00D2751E" w:rsidRPr="00C53B1E" w:rsidRDefault="00D2751E" w:rsidP="00B15E08">
            <w:pPr>
              <w:jc w:val="both"/>
              <w:rPr>
                <w:rFonts w:cstheme="minorHAnsi"/>
                <w:b/>
                <w:bCs/>
                <w:color w:val="000000"/>
                <w:lang w:eastAsia="en-GB"/>
              </w:rPr>
            </w:pPr>
            <w:r w:rsidRPr="00C53B1E">
              <w:rPr>
                <w:rFonts w:eastAsia="MS Mincho" w:cstheme="minorHAnsi"/>
                <w:b/>
                <w:bCs/>
                <w:color w:val="000000"/>
                <w:lang w:eastAsia="ja-JP"/>
              </w:rPr>
              <w:t>1,972,230</w:t>
            </w:r>
          </w:p>
        </w:tc>
        <w:tc>
          <w:tcPr>
            <w:tcW w:w="1160" w:type="dxa"/>
            <w:tcBorders>
              <w:top w:val="nil"/>
              <w:left w:val="nil"/>
              <w:bottom w:val="single" w:sz="8" w:space="0" w:color="auto"/>
              <w:right w:val="single" w:sz="8" w:space="0" w:color="auto"/>
            </w:tcBorders>
            <w:shd w:val="clear" w:color="auto" w:fill="auto"/>
            <w:vAlign w:val="center"/>
            <w:hideMark/>
          </w:tcPr>
          <w:p w14:paraId="6AC1D089" w14:textId="596E7B1C" w:rsidR="00D2751E" w:rsidRPr="00C53B1E" w:rsidRDefault="00D2751E" w:rsidP="00B15E08">
            <w:pPr>
              <w:jc w:val="both"/>
              <w:rPr>
                <w:rFonts w:cstheme="minorHAnsi"/>
                <w:b/>
                <w:bCs/>
                <w:color w:val="000000"/>
                <w:lang w:eastAsia="en-GB"/>
              </w:rPr>
            </w:pPr>
            <w:r w:rsidRPr="00C53B1E">
              <w:rPr>
                <w:rFonts w:eastAsia="MS Mincho" w:cstheme="minorHAnsi"/>
                <w:b/>
                <w:bCs/>
                <w:color w:val="000000"/>
                <w:lang w:eastAsia="ja-JP"/>
              </w:rPr>
              <w:t>2,119,027</w:t>
            </w:r>
          </w:p>
        </w:tc>
        <w:tc>
          <w:tcPr>
            <w:tcW w:w="1160" w:type="dxa"/>
            <w:tcBorders>
              <w:top w:val="nil"/>
              <w:left w:val="nil"/>
              <w:bottom w:val="single" w:sz="8" w:space="0" w:color="auto"/>
              <w:right w:val="single" w:sz="8" w:space="0" w:color="auto"/>
            </w:tcBorders>
          </w:tcPr>
          <w:p w14:paraId="5E287B3F" w14:textId="77777777" w:rsidR="00D2751E" w:rsidRPr="00C53B1E" w:rsidRDefault="00D2751E" w:rsidP="00B15E08">
            <w:pPr>
              <w:jc w:val="both"/>
              <w:rPr>
                <w:rFonts w:eastAsia="MS Mincho" w:cstheme="minorHAnsi"/>
                <w:b/>
                <w:bCs/>
                <w:color w:val="000000"/>
                <w:lang w:eastAsia="ja-JP"/>
              </w:rPr>
            </w:pPr>
          </w:p>
        </w:tc>
      </w:tr>
    </w:tbl>
    <w:p w14:paraId="039A275B" w14:textId="5C1DB62D" w:rsidR="002E3996" w:rsidRPr="00C53B1E" w:rsidRDefault="00744692" w:rsidP="00B15E08">
      <w:pPr>
        <w:pStyle w:val="NoSpacing"/>
        <w:jc w:val="both"/>
        <w:rPr>
          <w:rFonts w:cstheme="minorHAnsi"/>
          <w:b/>
          <w:bCs/>
          <w:lang w:eastAsia="en-GB"/>
        </w:rPr>
      </w:pPr>
      <w:r w:rsidRPr="00C53B1E">
        <w:rPr>
          <w:rFonts w:cstheme="minorHAnsi"/>
          <w:b/>
          <w:bCs/>
          <w:lang w:eastAsia="en-GB"/>
        </w:rPr>
        <w:t>*To be confirmed</w:t>
      </w:r>
    </w:p>
    <w:p w14:paraId="38D74D38" w14:textId="77777777" w:rsidR="00A60808" w:rsidRDefault="00A60808" w:rsidP="00B15E08">
      <w:pPr>
        <w:pStyle w:val="NoSpacing"/>
        <w:jc w:val="both"/>
        <w:rPr>
          <w:rStyle w:val="Heading1Char"/>
        </w:rPr>
      </w:pPr>
    </w:p>
    <w:p w14:paraId="147771BF" w14:textId="428664D6" w:rsidR="0079185B" w:rsidRPr="00FB5B91" w:rsidRDefault="0079185B" w:rsidP="00B15E08">
      <w:pPr>
        <w:pStyle w:val="NoSpacing"/>
        <w:jc w:val="both"/>
        <w:rPr>
          <w:rStyle w:val="Heading1Char"/>
        </w:rPr>
      </w:pPr>
      <w:bookmarkStart w:id="7" w:name="_Toc156206879"/>
      <w:r w:rsidRPr="00FB5B91">
        <w:rPr>
          <w:rStyle w:val="Heading1Char"/>
        </w:rPr>
        <w:t>Performance</w:t>
      </w:r>
      <w:bookmarkEnd w:id="7"/>
    </w:p>
    <w:p w14:paraId="39A6272F" w14:textId="363A0EA4" w:rsidR="00516854" w:rsidRPr="00C53B1E" w:rsidRDefault="00516854" w:rsidP="00B15E08">
      <w:pPr>
        <w:pStyle w:val="NoSpacing"/>
        <w:jc w:val="both"/>
        <w:rPr>
          <w:rFonts w:cstheme="minorHAnsi"/>
          <w:b/>
          <w:bCs/>
          <w:lang w:eastAsia="en-GB"/>
        </w:rPr>
      </w:pPr>
    </w:p>
    <w:p w14:paraId="4246C206" w14:textId="6EC19974" w:rsidR="00B3210D" w:rsidRPr="00C53B1E" w:rsidRDefault="00242EA7" w:rsidP="00242EA7">
      <w:pPr>
        <w:ind w:left="720" w:hanging="720"/>
        <w:jc w:val="both"/>
        <w:rPr>
          <w:rFonts w:cstheme="minorHAnsi"/>
        </w:rPr>
      </w:pPr>
      <w:r>
        <w:rPr>
          <w:rFonts w:cstheme="minorHAnsi"/>
        </w:rPr>
        <w:t>7.1</w:t>
      </w:r>
      <w:r>
        <w:rPr>
          <w:rFonts w:cstheme="minorHAnsi"/>
        </w:rPr>
        <w:tab/>
      </w:r>
      <w:r w:rsidR="00B3210D" w:rsidRPr="00C53B1E">
        <w:rPr>
          <w:rFonts w:cstheme="minorHAnsi"/>
        </w:rPr>
        <w:t>This section provides an overview of key performance data with descriptions of current performance against nationally measured targets. Comparative and local performance data is also presented where relevant in relation to Nottingham City YJS’s aim to reduce the number of first-time entrants (FTEs), reoffending, and in the use of custody (in both remand and sentencing).</w:t>
      </w:r>
    </w:p>
    <w:p w14:paraId="23B145FA" w14:textId="67FF6C5E" w:rsidR="00B3210D" w:rsidRPr="00C53B1E" w:rsidRDefault="00B3210D" w:rsidP="00B15E08">
      <w:pPr>
        <w:jc w:val="both"/>
        <w:rPr>
          <w:rFonts w:cstheme="minorHAnsi"/>
          <w:b/>
          <w:bCs/>
          <w:lang w:val="en-US"/>
        </w:rPr>
      </w:pPr>
      <w:r w:rsidRPr="00C53B1E">
        <w:rPr>
          <w:rFonts w:cstheme="minorHAnsi"/>
          <w:b/>
          <w:bCs/>
        </w:rPr>
        <w:t xml:space="preserve">Table </w:t>
      </w:r>
      <w:r w:rsidR="008150CF">
        <w:rPr>
          <w:rFonts w:cstheme="minorHAnsi"/>
          <w:b/>
          <w:bCs/>
        </w:rPr>
        <w:t>2</w:t>
      </w:r>
      <w:r w:rsidRPr="00C53B1E">
        <w:rPr>
          <w:rFonts w:cstheme="minorHAnsi"/>
          <w:b/>
          <w:bCs/>
        </w:rPr>
        <w:t xml:space="preserve">: </w:t>
      </w:r>
      <w:r w:rsidRPr="00C53B1E">
        <w:rPr>
          <w:rFonts w:cstheme="minorHAnsi"/>
          <w:b/>
          <w:bCs/>
          <w:lang w:val="en-US"/>
        </w:rPr>
        <w:t>Re-offending after 12 months (</w:t>
      </w:r>
      <w:proofErr w:type="spellStart"/>
      <w:r w:rsidRPr="00C53B1E">
        <w:rPr>
          <w:rFonts w:cstheme="minorHAnsi"/>
          <w:b/>
          <w:bCs/>
          <w:lang w:val="en-US"/>
        </w:rPr>
        <w:t>MoJ</w:t>
      </w:r>
      <w:proofErr w:type="spellEnd"/>
      <w:r w:rsidRPr="00C53B1E">
        <w:rPr>
          <w:rFonts w:cstheme="minorHAnsi"/>
          <w:b/>
          <w:bCs/>
          <w:lang w:val="en-US"/>
        </w:rPr>
        <w:t xml:space="preserve"> data from PNC)</w:t>
      </w:r>
    </w:p>
    <w:tbl>
      <w:tblPr>
        <w:tblW w:w="8648" w:type="dxa"/>
        <w:jc w:val="center"/>
        <w:tblLook w:val="04A0" w:firstRow="1" w:lastRow="0" w:firstColumn="1" w:lastColumn="0" w:noHBand="0" w:noVBand="1"/>
      </w:tblPr>
      <w:tblGrid>
        <w:gridCol w:w="2727"/>
        <w:gridCol w:w="1906"/>
        <w:gridCol w:w="1166"/>
        <w:gridCol w:w="20"/>
        <w:gridCol w:w="1340"/>
        <w:gridCol w:w="10"/>
        <w:gridCol w:w="1479"/>
      </w:tblGrid>
      <w:tr w:rsidR="00B3210D" w:rsidRPr="00C53B1E" w14:paraId="5F0795C1" w14:textId="77777777" w:rsidTr="00217EE8">
        <w:trPr>
          <w:trHeight w:val="694"/>
          <w:jc w:val="center"/>
        </w:trPr>
        <w:tc>
          <w:tcPr>
            <w:tcW w:w="27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62D63CCB" w14:textId="77777777" w:rsidR="00B3210D" w:rsidRPr="00C53B1E" w:rsidRDefault="00B3210D" w:rsidP="00B15E08">
            <w:pPr>
              <w:jc w:val="both"/>
              <w:rPr>
                <w:rFonts w:cstheme="minorHAnsi"/>
                <w:b/>
                <w:bCs/>
                <w:lang w:eastAsia="en-GB"/>
              </w:rPr>
            </w:pPr>
            <w:r w:rsidRPr="00C53B1E">
              <w:rPr>
                <w:rFonts w:cstheme="minorHAnsi"/>
                <w:b/>
                <w:bCs/>
                <w:lang w:val="en-US" w:eastAsia="en-GB"/>
              </w:rPr>
              <w:t>Area </w:t>
            </w:r>
          </w:p>
        </w:tc>
        <w:tc>
          <w:tcPr>
            <w:tcW w:w="1906"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4FE721B2" w14:textId="77777777" w:rsidR="00B3210D" w:rsidRPr="00C53B1E" w:rsidRDefault="00B3210D" w:rsidP="00B15E08">
            <w:pPr>
              <w:jc w:val="both"/>
              <w:rPr>
                <w:rFonts w:cstheme="minorHAnsi"/>
                <w:b/>
                <w:bCs/>
                <w:lang w:eastAsia="en-GB"/>
              </w:rPr>
            </w:pPr>
            <w:r w:rsidRPr="00C53B1E">
              <w:rPr>
                <w:rFonts w:cstheme="minorHAnsi"/>
                <w:b/>
                <w:bCs/>
                <w:lang w:eastAsia="en-GB"/>
              </w:rPr>
              <w:t>Original Caution / Conviction</w:t>
            </w:r>
          </w:p>
          <w:p w14:paraId="71047D5B" w14:textId="77777777" w:rsidR="00B3210D" w:rsidRPr="00C53B1E" w:rsidRDefault="00B3210D" w:rsidP="00B15E08">
            <w:pPr>
              <w:jc w:val="both"/>
              <w:rPr>
                <w:rFonts w:cstheme="minorHAnsi"/>
                <w:b/>
                <w:bCs/>
                <w:lang w:eastAsia="en-GB"/>
              </w:rPr>
            </w:pPr>
            <w:r w:rsidRPr="00C53B1E">
              <w:rPr>
                <w:rFonts w:cstheme="minorHAnsi"/>
                <w:b/>
                <w:bCs/>
                <w:lang w:eastAsia="en-GB"/>
              </w:rPr>
              <w:t>Dates</w:t>
            </w:r>
          </w:p>
        </w:tc>
        <w:tc>
          <w:tcPr>
            <w:tcW w:w="1166"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544A0824" w14:textId="77777777" w:rsidR="00B3210D" w:rsidRPr="00C53B1E" w:rsidRDefault="00B3210D" w:rsidP="00B15E08">
            <w:pPr>
              <w:jc w:val="both"/>
              <w:rPr>
                <w:rFonts w:cstheme="minorHAnsi"/>
                <w:b/>
                <w:bCs/>
                <w:lang w:eastAsia="en-GB"/>
              </w:rPr>
            </w:pPr>
            <w:r w:rsidRPr="00C53B1E">
              <w:rPr>
                <w:rFonts w:cstheme="minorHAnsi"/>
                <w:b/>
                <w:bCs/>
                <w:lang w:val="en-US" w:eastAsia="en-GB"/>
              </w:rPr>
              <w:t>Average number of re-offences</w:t>
            </w:r>
          </w:p>
        </w:tc>
        <w:tc>
          <w:tcPr>
            <w:tcW w:w="1360" w:type="dxa"/>
            <w:gridSpan w:val="2"/>
            <w:tcBorders>
              <w:top w:val="double" w:sz="6" w:space="0" w:color="auto"/>
              <w:left w:val="double" w:sz="6" w:space="0" w:color="auto"/>
              <w:bottom w:val="double" w:sz="6" w:space="0" w:color="auto"/>
              <w:right w:val="double" w:sz="6" w:space="0" w:color="auto"/>
            </w:tcBorders>
            <w:shd w:val="clear" w:color="auto" w:fill="FFF2CC" w:themeFill="accent4" w:themeFillTint="33"/>
          </w:tcPr>
          <w:p w14:paraId="37271F20"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Average number of re-offences per reoffender</w:t>
            </w:r>
          </w:p>
        </w:tc>
        <w:tc>
          <w:tcPr>
            <w:tcW w:w="1489" w:type="dxa"/>
            <w:gridSpan w:val="2"/>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72E1E47D" w14:textId="77777777" w:rsidR="00B3210D" w:rsidRPr="00C53B1E" w:rsidRDefault="00B3210D" w:rsidP="00B15E08">
            <w:pPr>
              <w:jc w:val="both"/>
              <w:rPr>
                <w:rFonts w:cstheme="minorHAnsi"/>
                <w:b/>
                <w:bCs/>
                <w:lang w:eastAsia="en-GB"/>
              </w:rPr>
            </w:pPr>
            <w:r w:rsidRPr="00C53B1E">
              <w:rPr>
                <w:rFonts w:cstheme="minorHAnsi"/>
                <w:b/>
                <w:bCs/>
                <w:lang w:val="en-US" w:eastAsia="en-GB"/>
              </w:rPr>
              <w:t>Percentage of cohort reoffending</w:t>
            </w:r>
          </w:p>
        </w:tc>
      </w:tr>
      <w:tr w:rsidR="00B3210D" w:rsidRPr="00C53B1E" w14:paraId="05DC6E27"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hideMark/>
          </w:tcPr>
          <w:p w14:paraId="4109012D" w14:textId="77777777" w:rsidR="00B3210D" w:rsidRPr="00C53B1E" w:rsidRDefault="00B3210D" w:rsidP="00B15E08">
            <w:pPr>
              <w:jc w:val="both"/>
              <w:rPr>
                <w:rFonts w:cstheme="minorHAnsi"/>
                <w:b/>
                <w:bCs/>
                <w:lang w:eastAsia="en-GB"/>
              </w:rPr>
            </w:pPr>
            <w:r w:rsidRPr="00C53B1E">
              <w:rPr>
                <w:rFonts w:cstheme="minorHAnsi"/>
                <w:b/>
                <w:bCs/>
                <w:lang w:val="en-US" w:eastAsia="en-GB"/>
              </w:rPr>
              <w:t>Nottingham (reported last year)</w:t>
            </w:r>
          </w:p>
        </w:tc>
        <w:tc>
          <w:tcPr>
            <w:tcW w:w="1906" w:type="dxa"/>
            <w:tcBorders>
              <w:top w:val="nil"/>
              <w:left w:val="nil"/>
              <w:bottom w:val="double" w:sz="6" w:space="0" w:color="auto"/>
              <w:right w:val="double" w:sz="6" w:space="0" w:color="auto"/>
            </w:tcBorders>
            <w:shd w:val="clear" w:color="auto" w:fill="FFF2CC" w:themeFill="accent4" w:themeFillTint="33"/>
            <w:vAlign w:val="center"/>
          </w:tcPr>
          <w:p w14:paraId="117F030D" w14:textId="77777777" w:rsidR="00B3210D" w:rsidRPr="00C53B1E" w:rsidRDefault="00B3210D" w:rsidP="00B15E08">
            <w:pPr>
              <w:contextualSpacing/>
              <w:jc w:val="both"/>
              <w:rPr>
                <w:rFonts w:cstheme="minorHAnsi"/>
                <w:b/>
                <w:bCs/>
              </w:rPr>
            </w:pPr>
            <w:r w:rsidRPr="00C53B1E">
              <w:rPr>
                <w:rFonts w:cstheme="minorHAnsi"/>
                <w:b/>
                <w:bCs/>
                <w:lang w:val="en-US"/>
              </w:rPr>
              <w:t>Jan 20-Mar 20</w:t>
            </w:r>
          </w:p>
        </w:tc>
        <w:tc>
          <w:tcPr>
            <w:tcW w:w="1166" w:type="dxa"/>
            <w:tcBorders>
              <w:top w:val="nil"/>
              <w:left w:val="nil"/>
              <w:bottom w:val="double" w:sz="6" w:space="0" w:color="auto"/>
              <w:right w:val="double" w:sz="6" w:space="0" w:color="auto"/>
            </w:tcBorders>
            <w:shd w:val="clear" w:color="auto" w:fill="auto"/>
            <w:vAlign w:val="center"/>
          </w:tcPr>
          <w:p w14:paraId="50A4CC2F" w14:textId="77777777" w:rsidR="00B3210D" w:rsidRPr="00C53B1E" w:rsidRDefault="00B3210D" w:rsidP="00B15E08">
            <w:pPr>
              <w:contextualSpacing/>
              <w:jc w:val="both"/>
              <w:rPr>
                <w:rFonts w:cstheme="minorHAnsi"/>
              </w:rPr>
            </w:pPr>
            <w:r w:rsidRPr="00C53B1E">
              <w:rPr>
                <w:rFonts w:cstheme="minorHAnsi"/>
              </w:rPr>
              <w:t>1.17</w:t>
            </w:r>
          </w:p>
        </w:tc>
        <w:tc>
          <w:tcPr>
            <w:tcW w:w="1360" w:type="dxa"/>
            <w:gridSpan w:val="2"/>
            <w:tcBorders>
              <w:top w:val="double" w:sz="6" w:space="0" w:color="auto"/>
              <w:left w:val="nil"/>
              <w:bottom w:val="double" w:sz="6" w:space="0" w:color="auto"/>
              <w:right w:val="double" w:sz="6" w:space="0" w:color="auto"/>
            </w:tcBorders>
            <w:vAlign w:val="center"/>
          </w:tcPr>
          <w:p w14:paraId="5D3A0555" w14:textId="77777777" w:rsidR="00B3210D" w:rsidRPr="00C53B1E" w:rsidRDefault="00B3210D" w:rsidP="00B15E08">
            <w:pPr>
              <w:contextualSpacing/>
              <w:jc w:val="both"/>
              <w:rPr>
                <w:rFonts w:cstheme="minorHAnsi"/>
              </w:rPr>
            </w:pPr>
            <w:r w:rsidRPr="00C53B1E">
              <w:rPr>
                <w:rFonts w:cstheme="minorHAnsi"/>
              </w:rPr>
              <w:t>4.36</w:t>
            </w:r>
          </w:p>
        </w:tc>
        <w:tc>
          <w:tcPr>
            <w:tcW w:w="1489" w:type="dxa"/>
            <w:gridSpan w:val="2"/>
            <w:tcBorders>
              <w:top w:val="nil"/>
              <w:left w:val="double" w:sz="6" w:space="0" w:color="auto"/>
              <w:bottom w:val="double" w:sz="6" w:space="0" w:color="auto"/>
              <w:right w:val="double" w:sz="6" w:space="0" w:color="auto"/>
            </w:tcBorders>
            <w:shd w:val="clear" w:color="auto" w:fill="auto"/>
            <w:vAlign w:val="center"/>
          </w:tcPr>
          <w:p w14:paraId="15EB7B0D" w14:textId="77777777" w:rsidR="00B3210D" w:rsidRPr="00C53B1E" w:rsidRDefault="00B3210D" w:rsidP="00B15E08">
            <w:pPr>
              <w:contextualSpacing/>
              <w:jc w:val="both"/>
              <w:rPr>
                <w:rFonts w:cstheme="minorHAnsi"/>
              </w:rPr>
            </w:pPr>
            <w:r w:rsidRPr="00C53B1E">
              <w:rPr>
                <w:rFonts w:cstheme="minorHAnsi"/>
              </w:rPr>
              <w:t>26.9</w:t>
            </w:r>
          </w:p>
        </w:tc>
      </w:tr>
      <w:tr w:rsidR="00B3210D" w:rsidRPr="00C53B1E" w14:paraId="250059A7"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747A8C21"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Nottingham</w:t>
            </w:r>
          </w:p>
          <w:p w14:paraId="1C5ED683"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 xml:space="preserve"> (</w:t>
            </w:r>
            <w:proofErr w:type="gramStart"/>
            <w:r w:rsidRPr="00C53B1E">
              <w:rPr>
                <w:rFonts w:cstheme="minorHAnsi"/>
                <w:b/>
                <w:bCs/>
                <w:lang w:val="en-US" w:eastAsia="en-GB"/>
              </w:rPr>
              <w:t>latest</w:t>
            </w:r>
            <w:proofErr w:type="gramEnd"/>
            <w:r w:rsidRPr="00C53B1E">
              <w:rPr>
                <w:rFonts w:cstheme="minorHAnsi"/>
                <w:b/>
                <w:bCs/>
                <w:lang w:val="en-US" w:eastAsia="en-GB"/>
              </w:rPr>
              <w:t xml:space="preserve"> data)</w:t>
            </w:r>
          </w:p>
        </w:tc>
        <w:tc>
          <w:tcPr>
            <w:tcW w:w="1906" w:type="dxa"/>
            <w:tcBorders>
              <w:top w:val="nil"/>
              <w:left w:val="nil"/>
              <w:bottom w:val="double" w:sz="6" w:space="0" w:color="auto"/>
              <w:right w:val="double" w:sz="6" w:space="0" w:color="auto"/>
            </w:tcBorders>
            <w:shd w:val="clear" w:color="auto" w:fill="FFF2CC" w:themeFill="accent4" w:themeFillTint="33"/>
            <w:vAlign w:val="center"/>
          </w:tcPr>
          <w:p w14:paraId="7D581144" w14:textId="77777777" w:rsidR="00B3210D" w:rsidRPr="00C53B1E" w:rsidRDefault="00B3210D" w:rsidP="00B15E08">
            <w:pPr>
              <w:contextualSpacing/>
              <w:jc w:val="both"/>
              <w:rPr>
                <w:rFonts w:cstheme="minorHAnsi"/>
                <w:b/>
                <w:bCs/>
              </w:rPr>
            </w:pPr>
            <w:r w:rsidRPr="00C53B1E">
              <w:rPr>
                <w:rFonts w:cstheme="minorHAnsi"/>
                <w:b/>
                <w:bCs/>
                <w:lang w:val="en-US"/>
              </w:rPr>
              <w:t>Jan 21-Mar 21</w:t>
            </w:r>
          </w:p>
        </w:tc>
        <w:tc>
          <w:tcPr>
            <w:tcW w:w="1166" w:type="dxa"/>
            <w:tcBorders>
              <w:top w:val="nil"/>
              <w:left w:val="nil"/>
              <w:bottom w:val="double" w:sz="6" w:space="0" w:color="auto"/>
              <w:right w:val="double" w:sz="6" w:space="0" w:color="auto"/>
            </w:tcBorders>
            <w:shd w:val="clear" w:color="auto" w:fill="FFF2CC" w:themeFill="accent4" w:themeFillTint="33"/>
            <w:vAlign w:val="center"/>
          </w:tcPr>
          <w:p w14:paraId="369B47F4" w14:textId="77777777" w:rsidR="00B3210D" w:rsidRPr="00C53B1E" w:rsidRDefault="00B3210D" w:rsidP="00B15E08">
            <w:pPr>
              <w:contextualSpacing/>
              <w:jc w:val="both"/>
              <w:rPr>
                <w:rFonts w:cstheme="minorHAnsi"/>
              </w:rPr>
            </w:pPr>
            <w:r w:rsidRPr="00C53B1E">
              <w:rPr>
                <w:rFonts w:cstheme="minorHAnsi"/>
              </w:rPr>
              <w:t>0.65</w:t>
            </w:r>
          </w:p>
        </w:tc>
        <w:tc>
          <w:tcPr>
            <w:tcW w:w="1360" w:type="dxa"/>
            <w:gridSpan w:val="2"/>
            <w:tcBorders>
              <w:top w:val="double" w:sz="6" w:space="0" w:color="auto"/>
              <w:left w:val="nil"/>
              <w:bottom w:val="double" w:sz="6" w:space="0" w:color="auto"/>
              <w:right w:val="double" w:sz="6" w:space="0" w:color="auto"/>
            </w:tcBorders>
            <w:shd w:val="clear" w:color="auto" w:fill="FFF2CC" w:themeFill="accent4" w:themeFillTint="33"/>
            <w:vAlign w:val="center"/>
          </w:tcPr>
          <w:p w14:paraId="7E2424FE" w14:textId="77777777" w:rsidR="00B3210D" w:rsidRPr="00C53B1E" w:rsidRDefault="00B3210D" w:rsidP="00B15E08">
            <w:pPr>
              <w:contextualSpacing/>
              <w:jc w:val="both"/>
              <w:rPr>
                <w:rFonts w:cstheme="minorHAnsi"/>
              </w:rPr>
            </w:pPr>
            <w:r w:rsidRPr="00C53B1E">
              <w:rPr>
                <w:rFonts w:cstheme="minorHAnsi"/>
              </w:rPr>
              <w:t>2.17</w:t>
            </w:r>
          </w:p>
        </w:tc>
        <w:tc>
          <w:tcPr>
            <w:tcW w:w="1489" w:type="dxa"/>
            <w:gridSpan w:val="2"/>
            <w:tcBorders>
              <w:top w:val="nil"/>
              <w:left w:val="double" w:sz="6" w:space="0" w:color="auto"/>
              <w:bottom w:val="double" w:sz="6" w:space="0" w:color="auto"/>
              <w:right w:val="double" w:sz="6" w:space="0" w:color="auto"/>
            </w:tcBorders>
            <w:shd w:val="clear" w:color="auto" w:fill="FFF2CC" w:themeFill="accent4" w:themeFillTint="33"/>
            <w:vAlign w:val="center"/>
          </w:tcPr>
          <w:p w14:paraId="4BAC1DCF" w14:textId="77777777" w:rsidR="00B3210D" w:rsidRPr="00C53B1E" w:rsidRDefault="00B3210D" w:rsidP="00B15E08">
            <w:pPr>
              <w:contextualSpacing/>
              <w:jc w:val="both"/>
              <w:rPr>
                <w:rFonts w:cstheme="minorHAnsi"/>
              </w:rPr>
            </w:pPr>
            <w:r w:rsidRPr="00C53B1E">
              <w:rPr>
                <w:rFonts w:cstheme="minorHAnsi"/>
              </w:rPr>
              <w:t>30</w:t>
            </w:r>
          </w:p>
        </w:tc>
      </w:tr>
      <w:tr w:rsidR="00B3210D" w:rsidRPr="00C53B1E" w14:paraId="530733B7"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197C3223"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 xml:space="preserve">Nottingham (local YJS data – comparable) </w:t>
            </w:r>
          </w:p>
        </w:tc>
        <w:tc>
          <w:tcPr>
            <w:tcW w:w="1906" w:type="dxa"/>
            <w:tcBorders>
              <w:top w:val="nil"/>
              <w:left w:val="nil"/>
              <w:bottom w:val="double" w:sz="6" w:space="0" w:color="auto"/>
              <w:right w:val="double" w:sz="6" w:space="0" w:color="auto"/>
            </w:tcBorders>
            <w:shd w:val="clear" w:color="auto" w:fill="FFF2CC" w:themeFill="accent4" w:themeFillTint="33"/>
            <w:vAlign w:val="center"/>
          </w:tcPr>
          <w:p w14:paraId="4C9C33B8" w14:textId="77777777" w:rsidR="00B3210D" w:rsidRPr="00C53B1E" w:rsidRDefault="00B3210D" w:rsidP="00B15E08">
            <w:pPr>
              <w:contextualSpacing/>
              <w:jc w:val="both"/>
              <w:rPr>
                <w:rFonts w:cstheme="minorHAnsi"/>
                <w:b/>
                <w:bCs/>
              </w:rPr>
            </w:pPr>
            <w:r w:rsidRPr="00C53B1E">
              <w:rPr>
                <w:rFonts w:cstheme="minorHAnsi"/>
                <w:b/>
                <w:bCs/>
                <w:lang w:val="en-US"/>
              </w:rPr>
              <w:t>Jan 21-Mar 21</w:t>
            </w:r>
          </w:p>
        </w:tc>
        <w:tc>
          <w:tcPr>
            <w:tcW w:w="1166" w:type="dxa"/>
            <w:tcBorders>
              <w:top w:val="nil"/>
              <w:left w:val="nil"/>
              <w:bottom w:val="double" w:sz="6" w:space="0" w:color="auto"/>
              <w:right w:val="double" w:sz="6" w:space="0" w:color="auto"/>
            </w:tcBorders>
            <w:shd w:val="clear" w:color="auto" w:fill="FFF2CC" w:themeFill="accent4" w:themeFillTint="33"/>
            <w:vAlign w:val="center"/>
          </w:tcPr>
          <w:p w14:paraId="1F78ECDE" w14:textId="77777777" w:rsidR="00B3210D" w:rsidRPr="00C53B1E" w:rsidRDefault="00B3210D" w:rsidP="00B15E08">
            <w:pPr>
              <w:contextualSpacing/>
              <w:jc w:val="both"/>
              <w:rPr>
                <w:rFonts w:cstheme="minorHAnsi"/>
              </w:rPr>
            </w:pPr>
            <w:r w:rsidRPr="00C53B1E">
              <w:rPr>
                <w:rFonts w:cstheme="minorHAnsi"/>
              </w:rPr>
              <w:t>0.25</w:t>
            </w:r>
          </w:p>
        </w:tc>
        <w:tc>
          <w:tcPr>
            <w:tcW w:w="1360" w:type="dxa"/>
            <w:gridSpan w:val="2"/>
            <w:tcBorders>
              <w:top w:val="double" w:sz="6" w:space="0" w:color="auto"/>
              <w:left w:val="nil"/>
              <w:bottom w:val="double" w:sz="6" w:space="0" w:color="auto"/>
              <w:right w:val="double" w:sz="6" w:space="0" w:color="auto"/>
            </w:tcBorders>
            <w:shd w:val="clear" w:color="auto" w:fill="FFF2CC" w:themeFill="accent4" w:themeFillTint="33"/>
            <w:vAlign w:val="center"/>
          </w:tcPr>
          <w:p w14:paraId="7D23BE03" w14:textId="77777777" w:rsidR="00B3210D" w:rsidRPr="00C53B1E" w:rsidRDefault="00B3210D" w:rsidP="00B15E08">
            <w:pPr>
              <w:contextualSpacing/>
              <w:jc w:val="both"/>
              <w:rPr>
                <w:rFonts w:cstheme="minorHAnsi"/>
              </w:rPr>
            </w:pPr>
            <w:r w:rsidRPr="00C53B1E">
              <w:rPr>
                <w:rFonts w:cstheme="minorHAnsi"/>
              </w:rPr>
              <w:t>2.00</w:t>
            </w:r>
          </w:p>
        </w:tc>
        <w:tc>
          <w:tcPr>
            <w:tcW w:w="1489" w:type="dxa"/>
            <w:gridSpan w:val="2"/>
            <w:tcBorders>
              <w:top w:val="nil"/>
              <w:left w:val="double" w:sz="6" w:space="0" w:color="auto"/>
              <w:bottom w:val="double" w:sz="6" w:space="0" w:color="auto"/>
              <w:right w:val="double" w:sz="6" w:space="0" w:color="auto"/>
            </w:tcBorders>
            <w:shd w:val="clear" w:color="auto" w:fill="FFF2CC" w:themeFill="accent4" w:themeFillTint="33"/>
            <w:vAlign w:val="center"/>
          </w:tcPr>
          <w:p w14:paraId="5F3D7039" w14:textId="77777777" w:rsidR="00B3210D" w:rsidRPr="00C53B1E" w:rsidRDefault="00B3210D" w:rsidP="00B15E08">
            <w:pPr>
              <w:contextualSpacing/>
              <w:jc w:val="both"/>
              <w:rPr>
                <w:rFonts w:cstheme="minorHAnsi"/>
              </w:rPr>
            </w:pPr>
            <w:r w:rsidRPr="00C53B1E">
              <w:rPr>
                <w:rFonts w:cstheme="minorHAnsi"/>
              </w:rPr>
              <w:t>12.5</w:t>
            </w:r>
          </w:p>
        </w:tc>
      </w:tr>
      <w:tr w:rsidR="00B3210D" w:rsidRPr="00C53B1E" w14:paraId="46AA0A52"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5657DABB"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Nottingham (local YJS data – latest)</w:t>
            </w:r>
          </w:p>
        </w:tc>
        <w:tc>
          <w:tcPr>
            <w:tcW w:w="1906" w:type="dxa"/>
            <w:tcBorders>
              <w:top w:val="nil"/>
              <w:left w:val="nil"/>
              <w:bottom w:val="double" w:sz="6" w:space="0" w:color="auto"/>
              <w:right w:val="double" w:sz="6" w:space="0" w:color="auto"/>
            </w:tcBorders>
            <w:shd w:val="clear" w:color="auto" w:fill="FFF2CC" w:themeFill="accent4" w:themeFillTint="33"/>
            <w:vAlign w:val="center"/>
          </w:tcPr>
          <w:p w14:paraId="036F1D51" w14:textId="77777777" w:rsidR="00B3210D" w:rsidRPr="00C53B1E" w:rsidRDefault="00B3210D" w:rsidP="00B15E08">
            <w:pPr>
              <w:contextualSpacing/>
              <w:jc w:val="both"/>
              <w:rPr>
                <w:rFonts w:cstheme="minorHAnsi"/>
                <w:b/>
                <w:bCs/>
              </w:rPr>
            </w:pPr>
            <w:r w:rsidRPr="00C53B1E">
              <w:rPr>
                <w:rFonts w:cstheme="minorHAnsi"/>
                <w:b/>
                <w:bCs/>
                <w:lang w:val="en-US"/>
              </w:rPr>
              <w:t>Jan 22-Mar 22</w:t>
            </w:r>
          </w:p>
        </w:tc>
        <w:tc>
          <w:tcPr>
            <w:tcW w:w="1166" w:type="dxa"/>
            <w:tcBorders>
              <w:top w:val="nil"/>
              <w:left w:val="nil"/>
              <w:bottom w:val="double" w:sz="6" w:space="0" w:color="auto"/>
              <w:right w:val="double" w:sz="6" w:space="0" w:color="auto"/>
            </w:tcBorders>
            <w:shd w:val="clear" w:color="auto" w:fill="FFF2CC" w:themeFill="accent4" w:themeFillTint="33"/>
            <w:vAlign w:val="center"/>
          </w:tcPr>
          <w:p w14:paraId="58C456AF" w14:textId="77777777" w:rsidR="00B3210D" w:rsidRPr="00C53B1E" w:rsidRDefault="00B3210D" w:rsidP="00B15E08">
            <w:pPr>
              <w:contextualSpacing/>
              <w:jc w:val="both"/>
              <w:rPr>
                <w:rFonts w:cstheme="minorHAnsi"/>
              </w:rPr>
            </w:pPr>
            <w:r w:rsidRPr="00C53B1E">
              <w:rPr>
                <w:rFonts w:cstheme="minorHAnsi"/>
              </w:rPr>
              <w:t>0.62</w:t>
            </w:r>
          </w:p>
        </w:tc>
        <w:tc>
          <w:tcPr>
            <w:tcW w:w="1360" w:type="dxa"/>
            <w:gridSpan w:val="2"/>
            <w:tcBorders>
              <w:top w:val="double" w:sz="6" w:space="0" w:color="auto"/>
              <w:left w:val="nil"/>
              <w:bottom w:val="double" w:sz="6" w:space="0" w:color="auto"/>
              <w:right w:val="double" w:sz="6" w:space="0" w:color="auto"/>
            </w:tcBorders>
            <w:shd w:val="clear" w:color="auto" w:fill="FFF2CC" w:themeFill="accent4" w:themeFillTint="33"/>
            <w:vAlign w:val="center"/>
          </w:tcPr>
          <w:p w14:paraId="7F3E627E" w14:textId="77777777" w:rsidR="00B3210D" w:rsidRPr="00C53B1E" w:rsidRDefault="00B3210D" w:rsidP="00B15E08">
            <w:pPr>
              <w:contextualSpacing/>
              <w:jc w:val="both"/>
              <w:rPr>
                <w:rFonts w:cstheme="minorHAnsi"/>
              </w:rPr>
            </w:pPr>
            <w:r w:rsidRPr="00C53B1E">
              <w:rPr>
                <w:rFonts w:cstheme="minorHAnsi"/>
              </w:rPr>
              <w:t>2.46</w:t>
            </w:r>
          </w:p>
        </w:tc>
        <w:tc>
          <w:tcPr>
            <w:tcW w:w="1489" w:type="dxa"/>
            <w:gridSpan w:val="2"/>
            <w:tcBorders>
              <w:top w:val="nil"/>
              <w:left w:val="double" w:sz="6" w:space="0" w:color="auto"/>
              <w:bottom w:val="double" w:sz="6" w:space="0" w:color="auto"/>
              <w:right w:val="double" w:sz="6" w:space="0" w:color="auto"/>
            </w:tcBorders>
            <w:shd w:val="clear" w:color="auto" w:fill="FFF2CC" w:themeFill="accent4" w:themeFillTint="33"/>
            <w:vAlign w:val="center"/>
          </w:tcPr>
          <w:p w14:paraId="175583B2" w14:textId="77777777" w:rsidR="00B3210D" w:rsidRPr="00C53B1E" w:rsidRDefault="00B3210D" w:rsidP="00B15E08">
            <w:pPr>
              <w:contextualSpacing/>
              <w:jc w:val="both"/>
              <w:rPr>
                <w:rFonts w:cstheme="minorHAnsi"/>
              </w:rPr>
            </w:pPr>
            <w:r w:rsidRPr="00C53B1E">
              <w:rPr>
                <w:rFonts w:cstheme="minorHAnsi"/>
              </w:rPr>
              <w:t>25.4</w:t>
            </w:r>
          </w:p>
        </w:tc>
      </w:tr>
      <w:tr w:rsidR="00B3210D" w:rsidRPr="00C53B1E" w14:paraId="55AD924D" w14:textId="77777777" w:rsidTr="00217EE8">
        <w:trPr>
          <w:trHeight w:val="428"/>
          <w:jc w:val="center"/>
        </w:trPr>
        <w:tc>
          <w:tcPr>
            <w:tcW w:w="2727"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hideMark/>
          </w:tcPr>
          <w:p w14:paraId="045AD0A6" w14:textId="77777777" w:rsidR="00B3210D" w:rsidRPr="00C53B1E" w:rsidRDefault="00B3210D" w:rsidP="00B15E08">
            <w:pPr>
              <w:jc w:val="both"/>
              <w:rPr>
                <w:rFonts w:cstheme="minorHAnsi"/>
                <w:b/>
                <w:bCs/>
                <w:lang w:eastAsia="en-GB"/>
              </w:rPr>
            </w:pPr>
            <w:r w:rsidRPr="00C53B1E">
              <w:rPr>
                <w:rFonts w:cstheme="minorHAnsi"/>
                <w:b/>
                <w:bCs/>
                <w:lang w:val="en-US" w:eastAsia="en-GB"/>
              </w:rPr>
              <w:t xml:space="preserve">Latest YJS family Average </w:t>
            </w:r>
          </w:p>
        </w:tc>
        <w:tc>
          <w:tcPr>
            <w:tcW w:w="1906" w:type="dxa"/>
            <w:tcBorders>
              <w:top w:val="double" w:sz="6" w:space="0" w:color="auto"/>
              <w:left w:val="nil"/>
              <w:bottom w:val="double" w:sz="6" w:space="0" w:color="auto"/>
              <w:right w:val="double" w:sz="6" w:space="0" w:color="auto"/>
            </w:tcBorders>
            <w:shd w:val="clear" w:color="auto" w:fill="FFF2CC" w:themeFill="accent4" w:themeFillTint="33"/>
            <w:vAlign w:val="center"/>
            <w:hideMark/>
          </w:tcPr>
          <w:p w14:paraId="2B031027" w14:textId="77777777" w:rsidR="00B3210D" w:rsidRPr="00C53B1E" w:rsidRDefault="00B3210D" w:rsidP="00B15E08">
            <w:pPr>
              <w:contextualSpacing/>
              <w:jc w:val="both"/>
              <w:rPr>
                <w:rFonts w:cstheme="minorHAnsi"/>
                <w:b/>
                <w:bCs/>
              </w:rPr>
            </w:pPr>
            <w:r w:rsidRPr="00C53B1E">
              <w:rPr>
                <w:rFonts w:cstheme="minorHAnsi"/>
                <w:b/>
                <w:bCs/>
                <w:lang w:val="en-US"/>
              </w:rPr>
              <w:t>Jan 21-Mar 21</w:t>
            </w:r>
          </w:p>
        </w:tc>
        <w:tc>
          <w:tcPr>
            <w:tcW w:w="1186" w:type="dxa"/>
            <w:gridSpan w:val="2"/>
            <w:tcBorders>
              <w:top w:val="double" w:sz="6" w:space="0" w:color="auto"/>
              <w:left w:val="nil"/>
              <w:bottom w:val="double" w:sz="6" w:space="0" w:color="auto"/>
              <w:right w:val="double" w:sz="6" w:space="0" w:color="auto"/>
            </w:tcBorders>
            <w:vAlign w:val="center"/>
          </w:tcPr>
          <w:p w14:paraId="2F8F6336" w14:textId="77777777" w:rsidR="00B3210D" w:rsidRPr="00C53B1E" w:rsidRDefault="00B3210D" w:rsidP="00B15E08">
            <w:pPr>
              <w:contextualSpacing/>
              <w:jc w:val="both"/>
              <w:rPr>
                <w:rFonts w:cstheme="minorHAnsi"/>
              </w:rPr>
            </w:pPr>
            <w:r w:rsidRPr="00C53B1E">
              <w:rPr>
                <w:rFonts w:cstheme="minorHAnsi"/>
              </w:rPr>
              <w:t>1.28</w:t>
            </w:r>
          </w:p>
        </w:tc>
        <w:tc>
          <w:tcPr>
            <w:tcW w:w="1350"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2ADDED8E" w14:textId="77777777" w:rsidR="00B3210D" w:rsidRPr="00C53B1E" w:rsidRDefault="00B3210D" w:rsidP="00B15E08">
            <w:pPr>
              <w:contextualSpacing/>
              <w:jc w:val="both"/>
              <w:rPr>
                <w:rFonts w:cstheme="minorHAnsi"/>
              </w:rPr>
            </w:pPr>
            <w:r w:rsidRPr="00C53B1E">
              <w:rPr>
                <w:rFonts w:cstheme="minorHAnsi"/>
              </w:rPr>
              <w:t>3.10</w:t>
            </w:r>
          </w:p>
        </w:tc>
        <w:tc>
          <w:tcPr>
            <w:tcW w:w="1479" w:type="dxa"/>
            <w:tcBorders>
              <w:top w:val="double" w:sz="6" w:space="0" w:color="auto"/>
              <w:left w:val="nil"/>
              <w:bottom w:val="double" w:sz="6" w:space="0" w:color="auto"/>
              <w:right w:val="double" w:sz="6" w:space="0" w:color="auto"/>
            </w:tcBorders>
            <w:shd w:val="clear" w:color="auto" w:fill="auto"/>
            <w:vAlign w:val="center"/>
          </w:tcPr>
          <w:p w14:paraId="1EEF1962" w14:textId="77777777" w:rsidR="00B3210D" w:rsidRPr="00C53B1E" w:rsidRDefault="00B3210D" w:rsidP="00B15E08">
            <w:pPr>
              <w:contextualSpacing/>
              <w:jc w:val="both"/>
              <w:rPr>
                <w:rFonts w:cstheme="minorHAnsi"/>
              </w:rPr>
            </w:pPr>
            <w:r w:rsidRPr="00C53B1E">
              <w:rPr>
                <w:rFonts w:cstheme="minorHAnsi"/>
              </w:rPr>
              <w:t>32.3</w:t>
            </w:r>
          </w:p>
        </w:tc>
      </w:tr>
      <w:tr w:rsidR="00B3210D" w:rsidRPr="00C53B1E" w14:paraId="05AC523A"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hideMark/>
          </w:tcPr>
          <w:p w14:paraId="7ED27BAB" w14:textId="77777777" w:rsidR="00B3210D" w:rsidRPr="00C53B1E" w:rsidRDefault="00B3210D" w:rsidP="00B15E08">
            <w:pPr>
              <w:jc w:val="both"/>
              <w:rPr>
                <w:rFonts w:cstheme="minorHAnsi"/>
                <w:b/>
                <w:bCs/>
                <w:lang w:eastAsia="en-GB"/>
              </w:rPr>
            </w:pPr>
            <w:r w:rsidRPr="00C53B1E">
              <w:rPr>
                <w:rFonts w:cstheme="minorHAnsi"/>
                <w:b/>
                <w:bCs/>
                <w:lang w:val="en-US" w:eastAsia="en-GB"/>
              </w:rPr>
              <w:t>Latest Core City Average</w:t>
            </w:r>
          </w:p>
        </w:tc>
        <w:tc>
          <w:tcPr>
            <w:tcW w:w="1906" w:type="dxa"/>
            <w:tcBorders>
              <w:top w:val="nil"/>
              <w:left w:val="nil"/>
              <w:bottom w:val="double" w:sz="6" w:space="0" w:color="auto"/>
              <w:right w:val="double" w:sz="6" w:space="0" w:color="auto"/>
            </w:tcBorders>
            <w:shd w:val="clear" w:color="auto" w:fill="FFF2CC" w:themeFill="accent4" w:themeFillTint="33"/>
            <w:vAlign w:val="center"/>
            <w:hideMark/>
          </w:tcPr>
          <w:p w14:paraId="6BDF5E4F" w14:textId="77777777" w:rsidR="00B3210D" w:rsidRPr="00C53B1E" w:rsidRDefault="00B3210D" w:rsidP="00B15E08">
            <w:pPr>
              <w:contextualSpacing/>
              <w:jc w:val="both"/>
              <w:rPr>
                <w:rFonts w:cstheme="minorHAnsi"/>
                <w:b/>
                <w:bCs/>
              </w:rPr>
            </w:pPr>
            <w:r w:rsidRPr="00C53B1E">
              <w:rPr>
                <w:rFonts w:cstheme="minorHAnsi"/>
                <w:b/>
                <w:bCs/>
                <w:lang w:val="en-US"/>
              </w:rPr>
              <w:t>Jan 21-Mar 21</w:t>
            </w:r>
          </w:p>
        </w:tc>
        <w:tc>
          <w:tcPr>
            <w:tcW w:w="1186" w:type="dxa"/>
            <w:gridSpan w:val="2"/>
            <w:tcBorders>
              <w:top w:val="double" w:sz="6" w:space="0" w:color="auto"/>
              <w:left w:val="nil"/>
              <w:bottom w:val="double" w:sz="6" w:space="0" w:color="auto"/>
              <w:right w:val="double" w:sz="6" w:space="0" w:color="auto"/>
            </w:tcBorders>
            <w:vAlign w:val="center"/>
          </w:tcPr>
          <w:p w14:paraId="7331DB08" w14:textId="77777777" w:rsidR="00B3210D" w:rsidRPr="00C53B1E" w:rsidRDefault="00B3210D" w:rsidP="00B15E08">
            <w:pPr>
              <w:contextualSpacing/>
              <w:jc w:val="both"/>
              <w:rPr>
                <w:rFonts w:cstheme="minorHAnsi"/>
              </w:rPr>
            </w:pPr>
            <w:r w:rsidRPr="00C53B1E">
              <w:rPr>
                <w:rFonts w:cstheme="minorHAnsi"/>
              </w:rPr>
              <w:t>1.19</w:t>
            </w:r>
          </w:p>
        </w:tc>
        <w:tc>
          <w:tcPr>
            <w:tcW w:w="1350" w:type="dxa"/>
            <w:gridSpan w:val="2"/>
            <w:tcBorders>
              <w:top w:val="nil"/>
              <w:left w:val="double" w:sz="6" w:space="0" w:color="auto"/>
              <w:bottom w:val="double" w:sz="6" w:space="0" w:color="auto"/>
              <w:right w:val="double" w:sz="6" w:space="0" w:color="auto"/>
            </w:tcBorders>
            <w:shd w:val="clear" w:color="auto" w:fill="auto"/>
            <w:vAlign w:val="center"/>
          </w:tcPr>
          <w:p w14:paraId="5AACB61E" w14:textId="77777777" w:rsidR="00B3210D" w:rsidRPr="00C53B1E" w:rsidRDefault="00B3210D" w:rsidP="00B15E08">
            <w:pPr>
              <w:contextualSpacing/>
              <w:jc w:val="both"/>
              <w:rPr>
                <w:rFonts w:cstheme="minorHAnsi"/>
              </w:rPr>
            </w:pPr>
            <w:r w:rsidRPr="00C53B1E">
              <w:rPr>
                <w:rFonts w:cstheme="minorHAnsi"/>
              </w:rPr>
              <w:t>3.94</w:t>
            </w:r>
          </w:p>
        </w:tc>
        <w:tc>
          <w:tcPr>
            <w:tcW w:w="1479" w:type="dxa"/>
            <w:tcBorders>
              <w:top w:val="nil"/>
              <w:left w:val="nil"/>
              <w:bottom w:val="double" w:sz="6" w:space="0" w:color="auto"/>
              <w:right w:val="double" w:sz="6" w:space="0" w:color="auto"/>
            </w:tcBorders>
            <w:shd w:val="clear" w:color="auto" w:fill="auto"/>
            <w:vAlign w:val="center"/>
          </w:tcPr>
          <w:p w14:paraId="2ED3929D" w14:textId="77777777" w:rsidR="00B3210D" w:rsidRPr="00C53B1E" w:rsidRDefault="00B3210D" w:rsidP="00B15E08">
            <w:pPr>
              <w:contextualSpacing/>
              <w:jc w:val="both"/>
              <w:rPr>
                <w:rFonts w:cstheme="minorHAnsi"/>
              </w:rPr>
            </w:pPr>
            <w:r w:rsidRPr="00C53B1E">
              <w:rPr>
                <w:rFonts w:cstheme="minorHAnsi"/>
              </w:rPr>
              <w:t>32.7</w:t>
            </w:r>
          </w:p>
        </w:tc>
      </w:tr>
      <w:tr w:rsidR="00B3210D" w:rsidRPr="00C53B1E" w14:paraId="177DCF11" w14:textId="77777777" w:rsidTr="00217EE8">
        <w:trPr>
          <w:trHeight w:val="428"/>
          <w:jc w:val="center"/>
        </w:trPr>
        <w:tc>
          <w:tcPr>
            <w:tcW w:w="2727" w:type="dxa"/>
            <w:tcBorders>
              <w:top w:val="nil"/>
              <w:left w:val="double" w:sz="6" w:space="0" w:color="auto"/>
              <w:bottom w:val="double" w:sz="6" w:space="0" w:color="auto"/>
              <w:right w:val="double" w:sz="6" w:space="0" w:color="auto"/>
            </w:tcBorders>
            <w:shd w:val="clear" w:color="auto" w:fill="FFF2CC" w:themeFill="accent4" w:themeFillTint="33"/>
            <w:vAlign w:val="center"/>
            <w:hideMark/>
          </w:tcPr>
          <w:p w14:paraId="3EDB2F98" w14:textId="77777777" w:rsidR="00B3210D" w:rsidRPr="00C53B1E" w:rsidRDefault="00B3210D" w:rsidP="00B15E08">
            <w:pPr>
              <w:jc w:val="both"/>
              <w:rPr>
                <w:rFonts w:cstheme="minorHAnsi"/>
                <w:b/>
                <w:bCs/>
                <w:lang w:eastAsia="en-GB"/>
              </w:rPr>
            </w:pPr>
            <w:r w:rsidRPr="00C53B1E">
              <w:rPr>
                <w:rFonts w:cstheme="minorHAnsi"/>
                <w:b/>
                <w:bCs/>
                <w:lang w:val="en-US" w:eastAsia="en-GB"/>
              </w:rPr>
              <w:t xml:space="preserve">Latest national average </w:t>
            </w:r>
          </w:p>
        </w:tc>
        <w:tc>
          <w:tcPr>
            <w:tcW w:w="1906" w:type="dxa"/>
            <w:tcBorders>
              <w:top w:val="nil"/>
              <w:left w:val="nil"/>
              <w:bottom w:val="double" w:sz="6" w:space="0" w:color="auto"/>
              <w:right w:val="double" w:sz="6" w:space="0" w:color="auto"/>
            </w:tcBorders>
            <w:shd w:val="clear" w:color="auto" w:fill="FFF2CC" w:themeFill="accent4" w:themeFillTint="33"/>
            <w:vAlign w:val="center"/>
            <w:hideMark/>
          </w:tcPr>
          <w:p w14:paraId="79BDC0B8" w14:textId="77777777" w:rsidR="00B3210D" w:rsidRPr="00C53B1E" w:rsidRDefault="00B3210D" w:rsidP="00B15E08">
            <w:pPr>
              <w:contextualSpacing/>
              <w:jc w:val="both"/>
              <w:rPr>
                <w:rFonts w:cstheme="minorHAnsi"/>
                <w:b/>
                <w:bCs/>
              </w:rPr>
            </w:pPr>
            <w:r w:rsidRPr="00C53B1E">
              <w:rPr>
                <w:rFonts w:cstheme="minorHAnsi"/>
                <w:b/>
                <w:bCs/>
                <w:lang w:val="en-US"/>
              </w:rPr>
              <w:t>Jan 21-Mar 21</w:t>
            </w:r>
          </w:p>
        </w:tc>
        <w:tc>
          <w:tcPr>
            <w:tcW w:w="1186" w:type="dxa"/>
            <w:gridSpan w:val="2"/>
            <w:tcBorders>
              <w:top w:val="double" w:sz="6" w:space="0" w:color="auto"/>
              <w:left w:val="nil"/>
              <w:bottom w:val="double" w:sz="6" w:space="0" w:color="auto"/>
              <w:right w:val="double" w:sz="6" w:space="0" w:color="auto"/>
            </w:tcBorders>
            <w:vAlign w:val="center"/>
          </w:tcPr>
          <w:p w14:paraId="7F973F43" w14:textId="77777777" w:rsidR="00B3210D" w:rsidRPr="00C53B1E" w:rsidRDefault="00B3210D" w:rsidP="00B15E08">
            <w:pPr>
              <w:contextualSpacing/>
              <w:jc w:val="both"/>
              <w:rPr>
                <w:rFonts w:cstheme="minorHAnsi"/>
              </w:rPr>
            </w:pPr>
            <w:r w:rsidRPr="00C53B1E">
              <w:rPr>
                <w:rFonts w:cstheme="minorHAnsi"/>
              </w:rPr>
              <w:t>1.18</w:t>
            </w:r>
          </w:p>
        </w:tc>
        <w:tc>
          <w:tcPr>
            <w:tcW w:w="1350" w:type="dxa"/>
            <w:gridSpan w:val="2"/>
            <w:tcBorders>
              <w:top w:val="nil"/>
              <w:left w:val="double" w:sz="6" w:space="0" w:color="auto"/>
              <w:bottom w:val="double" w:sz="6" w:space="0" w:color="auto"/>
              <w:right w:val="double" w:sz="6" w:space="0" w:color="auto"/>
            </w:tcBorders>
            <w:shd w:val="clear" w:color="auto" w:fill="auto"/>
            <w:vAlign w:val="center"/>
          </w:tcPr>
          <w:p w14:paraId="6862E73F" w14:textId="77777777" w:rsidR="00B3210D" w:rsidRPr="00C53B1E" w:rsidRDefault="00B3210D" w:rsidP="00B15E08">
            <w:pPr>
              <w:contextualSpacing/>
              <w:jc w:val="both"/>
              <w:rPr>
                <w:rFonts w:cstheme="minorHAnsi"/>
              </w:rPr>
            </w:pPr>
            <w:r w:rsidRPr="00C53B1E">
              <w:rPr>
                <w:rFonts w:cstheme="minorHAnsi"/>
              </w:rPr>
              <w:t>3.75</w:t>
            </w:r>
          </w:p>
        </w:tc>
        <w:tc>
          <w:tcPr>
            <w:tcW w:w="1479" w:type="dxa"/>
            <w:tcBorders>
              <w:top w:val="nil"/>
              <w:left w:val="nil"/>
              <w:bottom w:val="double" w:sz="6" w:space="0" w:color="auto"/>
              <w:right w:val="double" w:sz="6" w:space="0" w:color="auto"/>
            </w:tcBorders>
            <w:shd w:val="clear" w:color="auto" w:fill="auto"/>
            <w:vAlign w:val="center"/>
          </w:tcPr>
          <w:p w14:paraId="354E4A1B" w14:textId="77777777" w:rsidR="00B3210D" w:rsidRPr="00C53B1E" w:rsidRDefault="00B3210D" w:rsidP="00B15E08">
            <w:pPr>
              <w:contextualSpacing/>
              <w:jc w:val="both"/>
              <w:rPr>
                <w:rFonts w:cstheme="minorHAnsi"/>
              </w:rPr>
            </w:pPr>
            <w:r w:rsidRPr="00C53B1E">
              <w:rPr>
                <w:rFonts w:cstheme="minorHAnsi"/>
              </w:rPr>
              <w:t>31.0</w:t>
            </w:r>
          </w:p>
        </w:tc>
      </w:tr>
    </w:tbl>
    <w:p w14:paraId="4B3BD770" w14:textId="77777777" w:rsidR="008150CF" w:rsidRDefault="008150CF" w:rsidP="00B15E08">
      <w:pPr>
        <w:jc w:val="both"/>
        <w:rPr>
          <w:rFonts w:cstheme="minorHAnsi"/>
        </w:rPr>
      </w:pPr>
    </w:p>
    <w:p w14:paraId="2C271593" w14:textId="6C1886D8" w:rsidR="00944CB7" w:rsidRPr="00C53B1E" w:rsidRDefault="00242EA7" w:rsidP="00242EA7">
      <w:pPr>
        <w:ind w:left="720" w:hanging="720"/>
        <w:jc w:val="both"/>
        <w:rPr>
          <w:rFonts w:cstheme="minorHAnsi"/>
        </w:rPr>
      </w:pPr>
      <w:r>
        <w:rPr>
          <w:rFonts w:cstheme="minorHAnsi"/>
        </w:rPr>
        <w:t>7.2</w:t>
      </w:r>
      <w:r>
        <w:rPr>
          <w:rFonts w:cstheme="minorHAnsi"/>
        </w:rPr>
        <w:tab/>
      </w:r>
      <w:r w:rsidR="00944CB7" w:rsidRPr="00C53B1E">
        <w:rPr>
          <w:rFonts w:cstheme="minorHAnsi"/>
        </w:rPr>
        <w:t>Table 2 provides a summary of the Reoffending Frequency Rate and Binary Rate. The Frequency rate (the number of re-offences per re-offender) is the mean average of re-offences committed per person in the original cohort. The Binary Rate (the percentage of cohort re-offending) is the percentage of the original cohort who receive a substantive outcome for an offence committed in the period after the original outcome (or release date for those subjects to custodial outcomes).</w:t>
      </w:r>
    </w:p>
    <w:p w14:paraId="72737B1F" w14:textId="47F9C973" w:rsidR="00944CB7" w:rsidRPr="00C53B1E" w:rsidRDefault="00242EA7" w:rsidP="00242EA7">
      <w:pPr>
        <w:ind w:left="720" w:hanging="720"/>
        <w:jc w:val="both"/>
        <w:rPr>
          <w:rFonts w:cstheme="minorHAnsi"/>
        </w:rPr>
      </w:pPr>
      <w:r>
        <w:rPr>
          <w:rFonts w:cstheme="minorHAnsi"/>
        </w:rPr>
        <w:lastRenderedPageBreak/>
        <w:t>7.3</w:t>
      </w:r>
      <w:r>
        <w:rPr>
          <w:rFonts w:cstheme="minorHAnsi"/>
        </w:rPr>
        <w:tab/>
      </w:r>
      <w:r w:rsidR="00944CB7" w:rsidRPr="00C53B1E">
        <w:rPr>
          <w:rFonts w:cstheme="minorHAnsi"/>
        </w:rPr>
        <w:t>This KPI provides data from the Police National Computer (PNC</w:t>
      </w:r>
      <w:proofErr w:type="gramStart"/>
      <w:r w:rsidR="00944CB7" w:rsidRPr="00C53B1E">
        <w:rPr>
          <w:rFonts w:cstheme="minorHAnsi"/>
        </w:rPr>
        <w:t>)</w:t>
      </w:r>
      <w:proofErr w:type="gramEnd"/>
      <w:r w:rsidR="00944CB7" w:rsidRPr="00C53B1E">
        <w:rPr>
          <w:rFonts w:cstheme="minorHAnsi"/>
        </w:rPr>
        <w:t xml:space="preserve"> but this information is also recorded locally within the existing case management system, </w:t>
      </w:r>
      <w:proofErr w:type="spellStart"/>
      <w:r w:rsidR="00944CB7" w:rsidRPr="00C53B1E">
        <w:rPr>
          <w:rFonts w:cstheme="minorHAnsi"/>
        </w:rPr>
        <w:t>ChildView</w:t>
      </w:r>
      <w:proofErr w:type="spellEnd"/>
      <w:r w:rsidR="00944CB7" w:rsidRPr="00C53B1E">
        <w:rPr>
          <w:rFonts w:cstheme="minorHAnsi"/>
        </w:rPr>
        <w:t>.</w:t>
      </w:r>
    </w:p>
    <w:p w14:paraId="507D902C" w14:textId="0CCF4D9C" w:rsidR="00B3210D" w:rsidRPr="00C53B1E" w:rsidRDefault="0012139F" w:rsidP="0012139F">
      <w:pPr>
        <w:spacing w:before="100" w:beforeAutospacing="1"/>
        <w:ind w:left="720" w:hanging="720"/>
        <w:jc w:val="both"/>
        <w:rPr>
          <w:rFonts w:cstheme="minorHAnsi"/>
        </w:rPr>
      </w:pPr>
      <w:r>
        <w:rPr>
          <w:rFonts w:cstheme="minorHAnsi"/>
        </w:rPr>
        <w:t>7.4</w:t>
      </w:r>
      <w:r>
        <w:rPr>
          <w:rFonts w:cstheme="minorHAnsi"/>
        </w:rPr>
        <w:tab/>
      </w:r>
      <w:r w:rsidR="00B3210D" w:rsidRPr="00C53B1E">
        <w:rPr>
          <w:rFonts w:cstheme="minorHAnsi"/>
        </w:rPr>
        <w:t xml:space="preserve">For the latest period available from the YJB, (January 2021 – March 2021) the offending cohort </w:t>
      </w:r>
      <w:proofErr w:type="gramStart"/>
      <w:r w:rsidR="00B3210D" w:rsidRPr="00C53B1E">
        <w:rPr>
          <w:rFonts w:cstheme="minorHAnsi"/>
        </w:rPr>
        <w:t>consists</w:t>
      </w:r>
      <w:proofErr w:type="gramEnd"/>
      <w:r w:rsidR="00B3210D" w:rsidRPr="00C53B1E">
        <w:rPr>
          <w:rFonts w:cstheme="minorHAnsi"/>
        </w:rPr>
        <w:t xml:space="preserve"> 60 children out of which 18 went to re-offend and committed 39 re-offences, hence the 30% Reoffending rate. For the same period last year, the Reoffending rate was lower, (26.9%) the offending cohort was 52, out of which 14 re-offended and committed 61 re-offences. This means a higher rate for re-offences per re-offender (4.36) and shows a reduction of 50% to 2.17.</w:t>
      </w:r>
    </w:p>
    <w:p w14:paraId="25177FBA" w14:textId="77777777" w:rsidR="008150CF" w:rsidRDefault="008150CF" w:rsidP="00B15E08">
      <w:pPr>
        <w:jc w:val="both"/>
        <w:rPr>
          <w:rFonts w:cstheme="minorHAnsi"/>
          <w:b/>
          <w:bCs/>
        </w:rPr>
      </w:pPr>
    </w:p>
    <w:p w14:paraId="2BF0D5EB" w14:textId="118BBD51" w:rsidR="00B3210D" w:rsidRPr="00C53B1E" w:rsidRDefault="00B3210D" w:rsidP="00B15E08">
      <w:pPr>
        <w:jc w:val="both"/>
        <w:rPr>
          <w:rFonts w:cstheme="minorHAnsi"/>
          <w:b/>
          <w:bCs/>
        </w:rPr>
      </w:pPr>
      <w:r w:rsidRPr="00C53B1E">
        <w:rPr>
          <w:rFonts w:cstheme="minorHAnsi"/>
          <w:b/>
          <w:bCs/>
        </w:rPr>
        <w:t xml:space="preserve">Table </w:t>
      </w:r>
      <w:r w:rsidR="008150CF">
        <w:rPr>
          <w:rFonts w:cstheme="minorHAnsi"/>
          <w:b/>
          <w:bCs/>
        </w:rPr>
        <w:t>3</w:t>
      </w:r>
      <w:r w:rsidRPr="00C53B1E">
        <w:rPr>
          <w:rFonts w:cstheme="minorHAnsi"/>
          <w:b/>
          <w:bCs/>
        </w:rPr>
        <w:t>: Reoffender by disposal type (YJS)</w:t>
      </w:r>
    </w:p>
    <w:tbl>
      <w:tblPr>
        <w:tblW w:w="8671" w:type="dxa"/>
        <w:jc w:val="center"/>
        <w:tblLook w:val="04A0" w:firstRow="1" w:lastRow="0" w:firstColumn="1" w:lastColumn="0" w:noHBand="0" w:noVBand="1"/>
      </w:tblPr>
      <w:tblGrid>
        <w:gridCol w:w="1574"/>
        <w:gridCol w:w="1152"/>
        <w:gridCol w:w="1278"/>
        <w:gridCol w:w="910"/>
        <w:gridCol w:w="976"/>
        <w:gridCol w:w="927"/>
        <w:gridCol w:w="927"/>
        <w:gridCol w:w="927"/>
      </w:tblGrid>
      <w:tr w:rsidR="00B3210D" w:rsidRPr="00C53B1E" w14:paraId="6170E74A" w14:textId="77777777" w:rsidTr="00217EE8">
        <w:trPr>
          <w:trHeight w:val="694"/>
          <w:jc w:val="center"/>
        </w:trPr>
        <w:tc>
          <w:tcPr>
            <w:tcW w:w="1610"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514B60D3" w14:textId="77777777" w:rsidR="00B3210D" w:rsidRPr="00C53B1E" w:rsidRDefault="00B3210D" w:rsidP="00B15E08">
            <w:pPr>
              <w:jc w:val="both"/>
              <w:rPr>
                <w:rFonts w:cstheme="minorHAnsi"/>
                <w:b/>
                <w:bCs/>
                <w:lang w:eastAsia="en-GB"/>
              </w:rPr>
            </w:pPr>
            <w:r w:rsidRPr="00C53B1E">
              <w:rPr>
                <w:rFonts w:cstheme="minorHAnsi"/>
                <w:b/>
                <w:bCs/>
                <w:lang w:val="en-US" w:eastAsia="en-GB"/>
              </w:rPr>
              <w:t>Outcome type</w:t>
            </w:r>
          </w:p>
        </w:tc>
        <w:tc>
          <w:tcPr>
            <w:tcW w:w="1186"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53CE714B" w14:textId="77777777" w:rsidR="00B3210D" w:rsidRPr="00C53B1E" w:rsidRDefault="00B3210D" w:rsidP="00B15E08">
            <w:pPr>
              <w:jc w:val="both"/>
              <w:rPr>
                <w:rFonts w:cstheme="minorHAnsi"/>
                <w:b/>
                <w:bCs/>
                <w:lang w:eastAsia="en-GB"/>
              </w:rPr>
            </w:pPr>
            <w:r w:rsidRPr="00C53B1E">
              <w:rPr>
                <w:rFonts w:cstheme="minorHAnsi"/>
                <w:b/>
                <w:bCs/>
                <w:lang w:val="en-US" w:eastAsia="en-GB"/>
              </w:rPr>
              <w:t>Cohort Dates</w:t>
            </w:r>
          </w:p>
        </w:tc>
        <w:tc>
          <w:tcPr>
            <w:tcW w:w="1195"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31DD20A4" w14:textId="77777777" w:rsidR="00B3210D" w:rsidRPr="00C53B1E" w:rsidRDefault="00B3210D" w:rsidP="00B15E08">
            <w:pPr>
              <w:jc w:val="both"/>
              <w:rPr>
                <w:rFonts w:cstheme="minorHAnsi"/>
                <w:b/>
                <w:bCs/>
                <w:lang w:eastAsia="en-GB"/>
              </w:rPr>
            </w:pPr>
            <w:r w:rsidRPr="00C53B1E">
              <w:rPr>
                <w:rFonts w:cstheme="minorHAnsi"/>
                <w:b/>
                <w:bCs/>
                <w:lang w:val="en-US" w:eastAsia="en-GB"/>
              </w:rPr>
              <w:t>Outcomes To</w:t>
            </w:r>
          </w:p>
        </w:tc>
        <w:tc>
          <w:tcPr>
            <w:tcW w:w="918"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0B39F79E"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No. In Cohort</w:t>
            </w:r>
          </w:p>
        </w:tc>
        <w:tc>
          <w:tcPr>
            <w:tcW w:w="981"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49DD192D" w14:textId="77777777" w:rsidR="00B3210D" w:rsidRPr="00C53B1E" w:rsidRDefault="00B3210D" w:rsidP="00B15E08">
            <w:pPr>
              <w:jc w:val="both"/>
              <w:rPr>
                <w:rFonts w:cstheme="minorHAnsi"/>
                <w:b/>
                <w:bCs/>
                <w:lang w:eastAsia="en-GB"/>
              </w:rPr>
            </w:pPr>
            <w:r w:rsidRPr="00C53B1E">
              <w:rPr>
                <w:rFonts w:cstheme="minorHAnsi"/>
                <w:b/>
                <w:bCs/>
                <w:lang w:val="en-US" w:eastAsia="en-GB"/>
              </w:rPr>
              <w:t>3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421BB6B4"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6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3C3CEBAF"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9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082A7FAE"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12 Months</w:t>
            </w:r>
          </w:p>
        </w:tc>
      </w:tr>
      <w:tr w:rsidR="00B3210D" w:rsidRPr="00C53B1E" w14:paraId="3E5DCA4B" w14:textId="77777777" w:rsidTr="00217EE8">
        <w:trPr>
          <w:trHeight w:val="428"/>
          <w:jc w:val="center"/>
        </w:trPr>
        <w:tc>
          <w:tcPr>
            <w:tcW w:w="1610" w:type="dxa"/>
            <w:tcBorders>
              <w:top w:val="nil"/>
              <w:left w:val="double" w:sz="6" w:space="0" w:color="auto"/>
              <w:bottom w:val="double" w:sz="6" w:space="0" w:color="auto"/>
              <w:right w:val="double" w:sz="6" w:space="0" w:color="auto"/>
            </w:tcBorders>
            <w:shd w:val="clear" w:color="auto" w:fill="FFF2CC" w:themeFill="accent4" w:themeFillTint="33"/>
            <w:vAlign w:val="center"/>
            <w:hideMark/>
          </w:tcPr>
          <w:p w14:paraId="4365DABF" w14:textId="77777777" w:rsidR="00B3210D" w:rsidRPr="00C53B1E" w:rsidRDefault="00B3210D" w:rsidP="00B15E08">
            <w:pPr>
              <w:jc w:val="both"/>
              <w:rPr>
                <w:rFonts w:cstheme="minorHAnsi"/>
                <w:b/>
                <w:bCs/>
                <w:lang w:eastAsia="en-GB"/>
              </w:rPr>
            </w:pPr>
            <w:r w:rsidRPr="00C53B1E">
              <w:rPr>
                <w:rFonts w:cstheme="minorHAnsi"/>
                <w:lang w:eastAsia="en-GB"/>
              </w:rPr>
              <w:t>Pre-court</w:t>
            </w:r>
          </w:p>
        </w:tc>
        <w:tc>
          <w:tcPr>
            <w:tcW w:w="1186" w:type="dxa"/>
            <w:tcBorders>
              <w:top w:val="nil"/>
              <w:left w:val="nil"/>
              <w:bottom w:val="double" w:sz="6" w:space="0" w:color="auto"/>
              <w:right w:val="double" w:sz="6" w:space="0" w:color="auto"/>
            </w:tcBorders>
            <w:shd w:val="clear" w:color="auto" w:fill="FFF2CC" w:themeFill="accent4" w:themeFillTint="33"/>
            <w:vAlign w:val="center"/>
          </w:tcPr>
          <w:p w14:paraId="3585BB90" w14:textId="77777777" w:rsidR="00B3210D" w:rsidRPr="00C53B1E" w:rsidRDefault="00B3210D" w:rsidP="00B15E08">
            <w:pPr>
              <w:contextualSpacing/>
              <w:jc w:val="both"/>
              <w:rPr>
                <w:rFonts w:cstheme="minorHAnsi"/>
                <w:b/>
                <w:bCs/>
              </w:rPr>
            </w:pPr>
            <w:r w:rsidRPr="00C53B1E">
              <w:rPr>
                <w:rFonts w:cstheme="minorHAnsi"/>
                <w:lang w:eastAsia="en-GB"/>
              </w:rPr>
              <w:t>Feb 2022 to Apr 2022</w:t>
            </w:r>
          </w:p>
        </w:tc>
        <w:tc>
          <w:tcPr>
            <w:tcW w:w="1195" w:type="dxa"/>
            <w:tcBorders>
              <w:top w:val="nil"/>
              <w:left w:val="nil"/>
              <w:bottom w:val="double" w:sz="6" w:space="0" w:color="auto"/>
              <w:right w:val="double" w:sz="6" w:space="0" w:color="auto"/>
            </w:tcBorders>
            <w:shd w:val="clear" w:color="auto" w:fill="auto"/>
            <w:vAlign w:val="center"/>
          </w:tcPr>
          <w:p w14:paraId="6679458C" w14:textId="77777777" w:rsidR="00B3210D" w:rsidRPr="00C53B1E" w:rsidRDefault="00B3210D" w:rsidP="00B15E08">
            <w:pPr>
              <w:contextualSpacing/>
              <w:jc w:val="both"/>
              <w:rPr>
                <w:rFonts w:cstheme="minorHAnsi"/>
              </w:rPr>
            </w:pPr>
            <w:r w:rsidRPr="00C53B1E">
              <w:rPr>
                <w:rFonts w:cstheme="minorHAnsi"/>
                <w:lang w:eastAsia="en-GB"/>
              </w:rPr>
              <w:t>30/04/2023</w:t>
            </w:r>
          </w:p>
        </w:tc>
        <w:tc>
          <w:tcPr>
            <w:tcW w:w="918" w:type="dxa"/>
            <w:tcBorders>
              <w:top w:val="double" w:sz="6" w:space="0" w:color="auto"/>
              <w:left w:val="nil"/>
              <w:bottom w:val="double" w:sz="6" w:space="0" w:color="auto"/>
              <w:right w:val="double" w:sz="6" w:space="0" w:color="auto"/>
            </w:tcBorders>
            <w:vAlign w:val="center"/>
          </w:tcPr>
          <w:p w14:paraId="556DFB94" w14:textId="77777777" w:rsidR="00B3210D" w:rsidRPr="00C53B1E" w:rsidRDefault="00B3210D" w:rsidP="00B15E08">
            <w:pPr>
              <w:contextualSpacing/>
              <w:jc w:val="both"/>
              <w:rPr>
                <w:rFonts w:cstheme="minorHAnsi"/>
              </w:rPr>
            </w:pPr>
            <w:r w:rsidRPr="00C53B1E">
              <w:rPr>
                <w:rFonts w:cstheme="minorHAnsi"/>
                <w:lang w:eastAsia="en-GB"/>
              </w:rPr>
              <w:t>24</w:t>
            </w:r>
          </w:p>
        </w:tc>
        <w:tc>
          <w:tcPr>
            <w:tcW w:w="981" w:type="dxa"/>
            <w:tcBorders>
              <w:top w:val="nil"/>
              <w:left w:val="double" w:sz="6" w:space="0" w:color="auto"/>
              <w:bottom w:val="double" w:sz="6" w:space="0" w:color="auto"/>
              <w:right w:val="double" w:sz="6" w:space="0" w:color="auto"/>
            </w:tcBorders>
            <w:shd w:val="clear" w:color="auto" w:fill="auto"/>
            <w:vAlign w:val="center"/>
          </w:tcPr>
          <w:p w14:paraId="77592FEF" w14:textId="77777777" w:rsidR="00B3210D" w:rsidRPr="00C53B1E" w:rsidRDefault="00B3210D" w:rsidP="00B15E08">
            <w:pPr>
              <w:contextualSpacing/>
              <w:jc w:val="both"/>
              <w:rPr>
                <w:rFonts w:cstheme="minorHAnsi"/>
              </w:rPr>
            </w:pPr>
            <w:r w:rsidRPr="00C53B1E">
              <w:rPr>
                <w:rFonts w:cstheme="minorHAnsi"/>
                <w:lang w:eastAsia="en-GB"/>
              </w:rPr>
              <w:t>3</w:t>
            </w:r>
          </w:p>
        </w:tc>
        <w:tc>
          <w:tcPr>
            <w:tcW w:w="927" w:type="dxa"/>
            <w:tcBorders>
              <w:top w:val="nil"/>
              <w:left w:val="double" w:sz="6" w:space="0" w:color="auto"/>
              <w:bottom w:val="double" w:sz="6" w:space="0" w:color="auto"/>
              <w:right w:val="double" w:sz="6" w:space="0" w:color="auto"/>
            </w:tcBorders>
            <w:vAlign w:val="center"/>
          </w:tcPr>
          <w:p w14:paraId="3390D57E" w14:textId="77777777" w:rsidR="00B3210D" w:rsidRPr="00C53B1E" w:rsidRDefault="00B3210D" w:rsidP="00B15E08">
            <w:pPr>
              <w:contextualSpacing/>
              <w:jc w:val="both"/>
              <w:rPr>
                <w:rFonts w:cstheme="minorHAnsi"/>
              </w:rPr>
            </w:pPr>
            <w:r w:rsidRPr="00C53B1E">
              <w:rPr>
                <w:rFonts w:cstheme="minorHAnsi"/>
                <w:lang w:eastAsia="en-GB"/>
              </w:rPr>
              <w:t>2</w:t>
            </w:r>
          </w:p>
        </w:tc>
        <w:tc>
          <w:tcPr>
            <w:tcW w:w="927" w:type="dxa"/>
            <w:tcBorders>
              <w:top w:val="nil"/>
              <w:left w:val="double" w:sz="6" w:space="0" w:color="auto"/>
              <w:bottom w:val="double" w:sz="6" w:space="0" w:color="auto"/>
              <w:right w:val="double" w:sz="6" w:space="0" w:color="auto"/>
            </w:tcBorders>
            <w:vAlign w:val="center"/>
          </w:tcPr>
          <w:p w14:paraId="565B0B61" w14:textId="77777777" w:rsidR="00B3210D" w:rsidRPr="00C53B1E" w:rsidRDefault="00B3210D" w:rsidP="00B15E08">
            <w:pPr>
              <w:contextualSpacing/>
              <w:jc w:val="both"/>
              <w:rPr>
                <w:rFonts w:cstheme="minorHAnsi"/>
              </w:rPr>
            </w:pPr>
            <w:r w:rsidRPr="00C53B1E">
              <w:rPr>
                <w:rFonts w:cstheme="minorHAnsi"/>
                <w:lang w:eastAsia="en-GB"/>
              </w:rPr>
              <w:t>2</w:t>
            </w:r>
          </w:p>
        </w:tc>
        <w:tc>
          <w:tcPr>
            <w:tcW w:w="927" w:type="dxa"/>
            <w:tcBorders>
              <w:top w:val="nil"/>
              <w:left w:val="double" w:sz="6" w:space="0" w:color="auto"/>
              <w:bottom w:val="double" w:sz="6" w:space="0" w:color="auto"/>
              <w:right w:val="double" w:sz="6" w:space="0" w:color="auto"/>
            </w:tcBorders>
            <w:vAlign w:val="center"/>
          </w:tcPr>
          <w:p w14:paraId="7DD06273" w14:textId="77777777" w:rsidR="00B3210D" w:rsidRPr="00C53B1E" w:rsidRDefault="00B3210D" w:rsidP="00B15E08">
            <w:pPr>
              <w:contextualSpacing/>
              <w:jc w:val="both"/>
              <w:rPr>
                <w:rFonts w:cstheme="minorHAnsi"/>
              </w:rPr>
            </w:pPr>
            <w:r w:rsidRPr="00C53B1E">
              <w:rPr>
                <w:rFonts w:cstheme="minorHAnsi"/>
                <w:lang w:eastAsia="en-GB"/>
              </w:rPr>
              <w:t>0</w:t>
            </w:r>
          </w:p>
        </w:tc>
      </w:tr>
      <w:tr w:rsidR="00B3210D" w:rsidRPr="00C53B1E" w14:paraId="77793E24" w14:textId="77777777" w:rsidTr="00217EE8">
        <w:trPr>
          <w:trHeight w:val="428"/>
          <w:jc w:val="center"/>
        </w:trPr>
        <w:tc>
          <w:tcPr>
            <w:tcW w:w="1610"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2F26641B" w14:textId="77777777" w:rsidR="00B3210D" w:rsidRPr="00C53B1E" w:rsidRDefault="00B3210D" w:rsidP="00B15E08">
            <w:pPr>
              <w:jc w:val="both"/>
              <w:rPr>
                <w:rFonts w:cstheme="minorHAnsi"/>
                <w:b/>
                <w:bCs/>
                <w:lang w:val="en-US" w:eastAsia="en-GB"/>
              </w:rPr>
            </w:pPr>
            <w:r w:rsidRPr="00C53B1E">
              <w:rPr>
                <w:rFonts w:cstheme="minorHAnsi"/>
                <w:lang w:eastAsia="en-GB"/>
              </w:rPr>
              <w:t>First tier</w:t>
            </w:r>
          </w:p>
        </w:tc>
        <w:tc>
          <w:tcPr>
            <w:tcW w:w="1186" w:type="dxa"/>
            <w:tcBorders>
              <w:top w:val="nil"/>
              <w:left w:val="nil"/>
              <w:bottom w:val="double" w:sz="6" w:space="0" w:color="auto"/>
              <w:right w:val="double" w:sz="6" w:space="0" w:color="auto"/>
            </w:tcBorders>
            <w:shd w:val="clear" w:color="auto" w:fill="FFF2CC" w:themeFill="accent4" w:themeFillTint="33"/>
            <w:vAlign w:val="center"/>
          </w:tcPr>
          <w:p w14:paraId="6EDB36DF" w14:textId="77777777" w:rsidR="00B3210D" w:rsidRPr="00C53B1E" w:rsidRDefault="00B3210D" w:rsidP="00B15E08">
            <w:pPr>
              <w:contextualSpacing/>
              <w:jc w:val="both"/>
              <w:rPr>
                <w:rFonts w:cstheme="minorHAnsi"/>
                <w:b/>
                <w:bCs/>
              </w:rPr>
            </w:pPr>
            <w:r w:rsidRPr="00C53B1E">
              <w:rPr>
                <w:rFonts w:cstheme="minorHAnsi"/>
                <w:lang w:eastAsia="en-GB"/>
              </w:rPr>
              <w:t>Feb 2022 to Apr 2022</w:t>
            </w:r>
          </w:p>
        </w:tc>
        <w:tc>
          <w:tcPr>
            <w:tcW w:w="1195" w:type="dxa"/>
            <w:tcBorders>
              <w:top w:val="nil"/>
              <w:left w:val="nil"/>
              <w:bottom w:val="double" w:sz="6" w:space="0" w:color="auto"/>
              <w:right w:val="double" w:sz="6" w:space="0" w:color="auto"/>
            </w:tcBorders>
            <w:shd w:val="clear" w:color="auto" w:fill="auto"/>
            <w:vAlign w:val="center"/>
          </w:tcPr>
          <w:p w14:paraId="6AD50BC2" w14:textId="77777777" w:rsidR="00B3210D" w:rsidRPr="00C53B1E" w:rsidRDefault="00B3210D" w:rsidP="00B15E08">
            <w:pPr>
              <w:contextualSpacing/>
              <w:jc w:val="both"/>
              <w:rPr>
                <w:rFonts w:cstheme="minorHAnsi"/>
                <w:lang w:eastAsia="en-GB"/>
              </w:rPr>
            </w:pPr>
            <w:r w:rsidRPr="00C53B1E">
              <w:rPr>
                <w:rFonts w:cstheme="minorHAnsi"/>
                <w:lang w:eastAsia="en-GB"/>
              </w:rPr>
              <w:t>30/04/2023</w:t>
            </w:r>
          </w:p>
        </w:tc>
        <w:tc>
          <w:tcPr>
            <w:tcW w:w="918" w:type="dxa"/>
            <w:tcBorders>
              <w:top w:val="double" w:sz="6" w:space="0" w:color="auto"/>
              <w:left w:val="nil"/>
              <w:bottom w:val="double" w:sz="6" w:space="0" w:color="auto"/>
              <w:right w:val="double" w:sz="6" w:space="0" w:color="auto"/>
            </w:tcBorders>
            <w:shd w:val="clear" w:color="auto" w:fill="auto"/>
            <w:vAlign w:val="center"/>
          </w:tcPr>
          <w:p w14:paraId="0A311055" w14:textId="77777777" w:rsidR="00B3210D" w:rsidRPr="00C53B1E" w:rsidRDefault="00B3210D" w:rsidP="00B15E08">
            <w:pPr>
              <w:contextualSpacing/>
              <w:jc w:val="both"/>
              <w:rPr>
                <w:rFonts w:cstheme="minorHAnsi"/>
                <w:lang w:eastAsia="en-GB"/>
              </w:rPr>
            </w:pPr>
            <w:r w:rsidRPr="00C53B1E">
              <w:rPr>
                <w:rFonts w:cstheme="minorHAnsi"/>
                <w:lang w:eastAsia="en-GB"/>
              </w:rPr>
              <w:t>19</w:t>
            </w:r>
          </w:p>
        </w:tc>
        <w:tc>
          <w:tcPr>
            <w:tcW w:w="981" w:type="dxa"/>
            <w:tcBorders>
              <w:top w:val="nil"/>
              <w:left w:val="double" w:sz="6" w:space="0" w:color="auto"/>
              <w:bottom w:val="double" w:sz="6" w:space="0" w:color="auto"/>
              <w:right w:val="double" w:sz="6" w:space="0" w:color="auto"/>
            </w:tcBorders>
            <w:shd w:val="clear" w:color="auto" w:fill="auto"/>
            <w:vAlign w:val="center"/>
          </w:tcPr>
          <w:p w14:paraId="174C544A" w14:textId="77777777" w:rsidR="00B3210D" w:rsidRPr="00C53B1E" w:rsidRDefault="00B3210D" w:rsidP="00B15E08">
            <w:pPr>
              <w:contextualSpacing/>
              <w:jc w:val="both"/>
              <w:rPr>
                <w:rFonts w:cstheme="minorHAnsi"/>
                <w:lang w:eastAsia="en-GB"/>
              </w:rPr>
            </w:pPr>
            <w:r w:rsidRPr="00C53B1E">
              <w:rPr>
                <w:rFonts w:cstheme="minorHAnsi"/>
                <w:lang w:eastAsia="en-GB"/>
              </w:rPr>
              <w:t>5</w:t>
            </w:r>
          </w:p>
        </w:tc>
        <w:tc>
          <w:tcPr>
            <w:tcW w:w="927" w:type="dxa"/>
            <w:tcBorders>
              <w:top w:val="nil"/>
              <w:left w:val="double" w:sz="6" w:space="0" w:color="auto"/>
              <w:bottom w:val="double" w:sz="6" w:space="0" w:color="auto"/>
              <w:right w:val="double" w:sz="6" w:space="0" w:color="auto"/>
            </w:tcBorders>
            <w:shd w:val="clear" w:color="auto" w:fill="auto"/>
            <w:vAlign w:val="center"/>
          </w:tcPr>
          <w:p w14:paraId="664A5254" w14:textId="77777777" w:rsidR="00B3210D" w:rsidRPr="00C53B1E" w:rsidRDefault="00B3210D" w:rsidP="00B15E08">
            <w:pPr>
              <w:contextualSpacing/>
              <w:jc w:val="both"/>
              <w:rPr>
                <w:rFonts w:cstheme="minorHAnsi"/>
                <w:lang w:eastAsia="en-GB"/>
              </w:rPr>
            </w:pPr>
            <w:r w:rsidRPr="00C53B1E">
              <w:rPr>
                <w:rFonts w:cstheme="minorHAnsi"/>
                <w:lang w:eastAsia="en-GB"/>
              </w:rPr>
              <w:t>1</w:t>
            </w:r>
          </w:p>
        </w:tc>
        <w:tc>
          <w:tcPr>
            <w:tcW w:w="927" w:type="dxa"/>
            <w:tcBorders>
              <w:top w:val="nil"/>
              <w:left w:val="double" w:sz="6" w:space="0" w:color="auto"/>
              <w:bottom w:val="double" w:sz="6" w:space="0" w:color="auto"/>
              <w:right w:val="double" w:sz="6" w:space="0" w:color="auto"/>
            </w:tcBorders>
            <w:shd w:val="clear" w:color="auto" w:fill="auto"/>
            <w:vAlign w:val="center"/>
          </w:tcPr>
          <w:p w14:paraId="4C454A3D" w14:textId="77777777" w:rsidR="00B3210D" w:rsidRPr="00C53B1E" w:rsidRDefault="00B3210D" w:rsidP="00B15E08">
            <w:pPr>
              <w:contextualSpacing/>
              <w:jc w:val="both"/>
              <w:rPr>
                <w:rFonts w:cstheme="minorHAnsi"/>
                <w:lang w:eastAsia="en-GB"/>
              </w:rPr>
            </w:pPr>
            <w:r w:rsidRPr="00C53B1E">
              <w:rPr>
                <w:rFonts w:cstheme="minorHAnsi"/>
                <w:lang w:eastAsia="en-GB"/>
              </w:rPr>
              <w:t>1</w:t>
            </w:r>
          </w:p>
        </w:tc>
        <w:tc>
          <w:tcPr>
            <w:tcW w:w="927" w:type="dxa"/>
            <w:tcBorders>
              <w:top w:val="nil"/>
              <w:left w:val="double" w:sz="6" w:space="0" w:color="auto"/>
              <w:bottom w:val="double" w:sz="6" w:space="0" w:color="auto"/>
              <w:right w:val="double" w:sz="6" w:space="0" w:color="auto"/>
            </w:tcBorders>
            <w:shd w:val="clear" w:color="auto" w:fill="auto"/>
            <w:vAlign w:val="center"/>
          </w:tcPr>
          <w:p w14:paraId="193DEB51"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r>
      <w:tr w:rsidR="00B3210D" w:rsidRPr="00C53B1E" w14:paraId="570BA773" w14:textId="77777777" w:rsidTr="00217EE8">
        <w:trPr>
          <w:trHeight w:val="428"/>
          <w:jc w:val="center"/>
        </w:trPr>
        <w:tc>
          <w:tcPr>
            <w:tcW w:w="1610"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0151E25E" w14:textId="77777777" w:rsidR="00B3210D" w:rsidRPr="00C53B1E" w:rsidRDefault="00B3210D" w:rsidP="00B15E08">
            <w:pPr>
              <w:jc w:val="both"/>
              <w:rPr>
                <w:rFonts w:cstheme="minorHAnsi"/>
                <w:b/>
                <w:bCs/>
                <w:lang w:val="en-US" w:eastAsia="en-GB"/>
              </w:rPr>
            </w:pPr>
            <w:r w:rsidRPr="00C53B1E">
              <w:rPr>
                <w:rFonts w:cstheme="minorHAnsi"/>
                <w:lang w:eastAsia="en-GB"/>
              </w:rPr>
              <w:t>Community</w:t>
            </w:r>
          </w:p>
        </w:tc>
        <w:tc>
          <w:tcPr>
            <w:tcW w:w="1186" w:type="dxa"/>
            <w:tcBorders>
              <w:top w:val="nil"/>
              <w:left w:val="nil"/>
              <w:bottom w:val="double" w:sz="6" w:space="0" w:color="auto"/>
              <w:right w:val="double" w:sz="6" w:space="0" w:color="auto"/>
            </w:tcBorders>
            <w:shd w:val="clear" w:color="auto" w:fill="FFF2CC" w:themeFill="accent4" w:themeFillTint="33"/>
            <w:vAlign w:val="center"/>
          </w:tcPr>
          <w:p w14:paraId="3D65EA38" w14:textId="77777777" w:rsidR="00B3210D" w:rsidRPr="00C53B1E" w:rsidRDefault="00B3210D" w:rsidP="00B15E08">
            <w:pPr>
              <w:contextualSpacing/>
              <w:jc w:val="both"/>
              <w:rPr>
                <w:rFonts w:cstheme="minorHAnsi"/>
                <w:b/>
                <w:bCs/>
              </w:rPr>
            </w:pPr>
            <w:r w:rsidRPr="00C53B1E">
              <w:rPr>
                <w:rFonts w:cstheme="minorHAnsi"/>
                <w:lang w:eastAsia="en-GB"/>
              </w:rPr>
              <w:t>Feb 2022 to Apr 2022</w:t>
            </w:r>
          </w:p>
        </w:tc>
        <w:tc>
          <w:tcPr>
            <w:tcW w:w="1195" w:type="dxa"/>
            <w:tcBorders>
              <w:top w:val="nil"/>
              <w:left w:val="nil"/>
              <w:bottom w:val="double" w:sz="6" w:space="0" w:color="auto"/>
              <w:right w:val="double" w:sz="6" w:space="0" w:color="auto"/>
            </w:tcBorders>
            <w:shd w:val="clear" w:color="auto" w:fill="auto"/>
            <w:vAlign w:val="center"/>
          </w:tcPr>
          <w:p w14:paraId="09D7376C" w14:textId="77777777" w:rsidR="00B3210D" w:rsidRPr="00C53B1E" w:rsidRDefault="00B3210D" w:rsidP="00B15E08">
            <w:pPr>
              <w:contextualSpacing/>
              <w:jc w:val="both"/>
              <w:rPr>
                <w:rFonts w:cstheme="minorHAnsi"/>
                <w:lang w:eastAsia="en-GB"/>
              </w:rPr>
            </w:pPr>
            <w:r w:rsidRPr="00C53B1E">
              <w:rPr>
                <w:rFonts w:cstheme="minorHAnsi"/>
                <w:lang w:eastAsia="en-GB"/>
              </w:rPr>
              <w:t>30/04/2023</w:t>
            </w:r>
          </w:p>
        </w:tc>
        <w:tc>
          <w:tcPr>
            <w:tcW w:w="918" w:type="dxa"/>
            <w:tcBorders>
              <w:top w:val="double" w:sz="6" w:space="0" w:color="auto"/>
              <w:left w:val="nil"/>
              <w:bottom w:val="double" w:sz="6" w:space="0" w:color="auto"/>
              <w:right w:val="double" w:sz="6" w:space="0" w:color="auto"/>
            </w:tcBorders>
            <w:shd w:val="clear" w:color="auto" w:fill="auto"/>
            <w:vAlign w:val="center"/>
          </w:tcPr>
          <w:p w14:paraId="2075D758" w14:textId="77777777" w:rsidR="00B3210D" w:rsidRPr="00C53B1E" w:rsidRDefault="00B3210D" w:rsidP="00B15E08">
            <w:pPr>
              <w:contextualSpacing/>
              <w:jc w:val="both"/>
              <w:rPr>
                <w:rFonts w:cstheme="minorHAnsi"/>
                <w:lang w:eastAsia="en-GB"/>
              </w:rPr>
            </w:pPr>
            <w:r w:rsidRPr="00C53B1E">
              <w:rPr>
                <w:rFonts w:cstheme="minorHAnsi"/>
                <w:lang w:eastAsia="en-GB"/>
              </w:rPr>
              <w:t>6</w:t>
            </w:r>
          </w:p>
        </w:tc>
        <w:tc>
          <w:tcPr>
            <w:tcW w:w="981" w:type="dxa"/>
            <w:tcBorders>
              <w:top w:val="nil"/>
              <w:left w:val="double" w:sz="6" w:space="0" w:color="auto"/>
              <w:bottom w:val="double" w:sz="6" w:space="0" w:color="auto"/>
              <w:right w:val="double" w:sz="6" w:space="0" w:color="auto"/>
            </w:tcBorders>
            <w:shd w:val="clear" w:color="auto" w:fill="auto"/>
            <w:vAlign w:val="center"/>
          </w:tcPr>
          <w:p w14:paraId="63D30BC8" w14:textId="77777777" w:rsidR="00B3210D" w:rsidRPr="00C53B1E" w:rsidRDefault="00B3210D" w:rsidP="00B15E08">
            <w:pPr>
              <w:contextualSpacing/>
              <w:jc w:val="both"/>
              <w:rPr>
                <w:rFonts w:cstheme="minorHAnsi"/>
                <w:lang w:eastAsia="en-GB"/>
              </w:rPr>
            </w:pPr>
            <w:r w:rsidRPr="00C53B1E">
              <w:rPr>
                <w:rFonts w:cstheme="minorHAnsi"/>
                <w:lang w:eastAsia="en-GB"/>
              </w:rPr>
              <w:t>1</w:t>
            </w:r>
          </w:p>
        </w:tc>
        <w:tc>
          <w:tcPr>
            <w:tcW w:w="927" w:type="dxa"/>
            <w:tcBorders>
              <w:top w:val="nil"/>
              <w:left w:val="double" w:sz="6" w:space="0" w:color="auto"/>
              <w:bottom w:val="double" w:sz="6" w:space="0" w:color="auto"/>
              <w:right w:val="double" w:sz="6" w:space="0" w:color="auto"/>
            </w:tcBorders>
            <w:shd w:val="clear" w:color="auto" w:fill="auto"/>
            <w:vAlign w:val="center"/>
          </w:tcPr>
          <w:p w14:paraId="3277D611"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c>
          <w:tcPr>
            <w:tcW w:w="927" w:type="dxa"/>
            <w:tcBorders>
              <w:top w:val="nil"/>
              <w:left w:val="double" w:sz="6" w:space="0" w:color="auto"/>
              <w:bottom w:val="double" w:sz="6" w:space="0" w:color="auto"/>
              <w:right w:val="double" w:sz="6" w:space="0" w:color="auto"/>
            </w:tcBorders>
            <w:shd w:val="clear" w:color="auto" w:fill="auto"/>
            <w:vAlign w:val="center"/>
          </w:tcPr>
          <w:p w14:paraId="3A5C1EEC"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c>
          <w:tcPr>
            <w:tcW w:w="927" w:type="dxa"/>
            <w:tcBorders>
              <w:top w:val="nil"/>
              <w:left w:val="double" w:sz="6" w:space="0" w:color="auto"/>
              <w:bottom w:val="double" w:sz="6" w:space="0" w:color="auto"/>
              <w:right w:val="double" w:sz="6" w:space="0" w:color="auto"/>
            </w:tcBorders>
            <w:shd w:val="clear" w:color="auto" w:fill="auto"/>
            <w:vAlign w:val="center"/>
          </w:tcPr>
          <w:p w14:paraId="7B1B07EA"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r>
      <w:tr w:rsidR="00B3210D" w:rsidRPr="00C53B1E" w14:paraId="62814376" w14:textId="77777777" w:rsidTr="00217EE8">
        <w:trPr>
          <w:trHeight w:val="428"/>
          <w:jc w:val="center"/>
        </w:trPr>
        <w:tc>
          <w:tcPr>
            <w:tcW w:w="1610"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7523C1F6" w14:textId="77777777" w:rsidR="00B3210D" w:rsidRPr="00C53B1E" w:rsidRDefault="00B3210D" w:rsidP="00B15E08">
            <w:pPr>
              <w:jc w:val="both"/>
              <w:rPr>
                <w:rFonts w:cstheme="minorHAnsi"/>
                <w:b/>
                <w:bCs/>
                <w:lang w:val="en-US" w:eastAsia="en-GB"/>
              </w:rPr>
            </w:pPr>
            <w:r w:rsidRPr="00C53B1E">
              <w:rPr>
                <w:rFonts w:cstheme="minorHAnsi"/>
                <w:lang w:eastAsia="en-GB"/>
              </w:rPr>
              <w:t>Custodial</w:t>
            </w:r>
          </w:p>
        </w:tc>
        <w:tc>
          <w:tcPr>
            <w:tcW w:w="1186" w:type="dxa"/>
            <w:tcBorders>
              <w:top w:val="nil"/>
              <w:left w:val="nil"/>
              <w:bottom w:val="double" w:sz="6" w:space="0" w:color="auto"/>
              <w:right w:val="double" w:sz="6" w:space="0" w:color="auto"/>
            </w:tcBorders>
            <w:shd w:val="clear" w:color="auto" w:fill="FFF2CC" w:themeFill="accent4" w:themeFillTint="33"/>
            <w:vAlign w:val="center"/>
          </w:tcPr>
          <w:p w14:paraId="77D4FCBD" w14:textId="77777777" w:rsidR="00B3210D" w:rsidRPr="00C53B1E" w:rsidRDefault="00B3210D" w:rsidP="00B15E08">
            <w:pPr>
              <w:contextualSpacing/>
              <w:jc w:val="both"/>
              <w:rPr>
                <w:rFonts w:cstheme="minorHAnsi"/>
                <w:b/>
                <w:bCs/>
              </w:rPr>
            </w:pPr>
            <w:r w:rsidRPr="00C53B1E">
              <w:rPr>
                <w:rFonts w:cstheme="minorHAnsi"/>
                <w:lang w:eastAsia="en-GB"/>
              </w:rPr>
              <w:t>Feb 2022 to Apr 2022</w:t>
            </w:r>
          </w:p>
        </w:tc>
        <w:tc>
          <w:tcPr>
            <w:tcW w:w="1195" w:type="dxa"/>
            <w:tcBorders>
              <w:top w:val="nil"/>
              <w:left w:val="nil"/>
              <w:bottom w:val="double" w:sz="6" w:space="0" w:color="auto"/>
              <w:right w:val="double" w:sz="6" w:space="0" w:color="auto"/>
            </w:tcBorders>
            <w:shd w:val="clear" w:color="auto" w:fill="auto"/>
            <w:vAlign w:val="center"/>
          </w:tcPr>
          <w:p w14:paraId="40F0E0F6" w14:textId="77777777" w:rsidR="00B3210D" w:rsidRPr="00C53B1E" w:rsidRDefault="00B3210D" w:rsidP="00B15E08">
            <w:pPr>
              <w:contextualSpacing/>
              <w:jc w:val="both"/>
              <w:rPr>
                <w:rFonts w:cstheme="minorHAnsi"/>
                <w:lang w:eastAsia="en-GB"/>
              </w:rPr>
            </w:pPr>
            <w:r w:rsidRPr="00C53B1E">
              <w:rPr>
                <w:rFonts w:cstheme="minorHAnsi"/>
                <w:lang w:eastAsia="en-GB"/>
              </w:rPr>
              <w:t>30/04/2023</w:t>
            </w:r>
          </w:p>
        </w:tc>
        <w:tc>
          <w:tcPr>
            <w:tcW w:w="918" w:type="dxa"/>
            <w:tcBorders>
              <w:top w:val="double" w:sz="6" w:space="0" w:color="auto"/>
              <w:left w:val="nil"/>
              <w:bottom w:val="double" w:sz="6" w:space="0" w:color="auto"/>
              <w:right w:val="double" w:sz="6" w:space="0" w:color="auto"/>
            </w:tcBorders>
            <w:shd w:val="clear" w:color="auto" w:fill="auto"/>
            <w:vAlign w:val="center"/>
          </w:tcPr>
          <w:p w14:paraId="73F31268" w14:textId="77777777" w:rsidR="00B3210D" w:rsidRPr="00C53B1E" w:rsidRDefault="00B3210D" w:rsidP="00B15E08">
            <w:pPr>
              <w:contextualSpacing/>
              <w:jc w:val="both"/>
              <w:rPr>
                <w:rFonts w:cstheme="minorHAnsi"/>
                <w:lang w:eastAsia="en-GB"/>
              </w:rPr>
            </w:pPr>
            <w:r w:rsidRPr="00C53B1E">
              <w:rPr>
                <w:rFonts w:cstheme="minorHAnsi"/>
                <w:lang w:eastAsia="en-GB"/>
              </w:rPr>
              <w:t>2</w:t>
            </w:r>
          </w:p>
        </w:tc>
        <w:tc>
          <w:tcPr>
            <w:tcW w:w="981" w:type="dxa"/>
            <w:tcBorders>
              <w:top w:val="nil"/>
              <w:left w:val="double" w:sz="6" w:space="0" w:color="auto"/>
              <w:bottom w:val="double" w:sz="6" w:space="0" w:color="auto"/>
              <w:right w:val="double" w:sz="6" w:space="0" w:color="auto"/>
            </w:tcBorders>
            <w:shd w:val="clear" w:color="auto" w:fill="auto"/>
            <w:vAlign w:val="center"/>
          </w:tcPr>
          <w:p w14:paraId="4F162634"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c>
          <w:tcPr>
            <w:tcW w:w="927" w:type="dxa"/>
            <w:tcBorders>
              <w:top w:val="nil"/>
              <w:left w:val="double" w:sz="6" w:space="0" w:color="auto"/>
              <w:bottom w:val="double" w:sz="6" w:space="0" w:color="auto"/>
              <w:right w:val="double" w:sz="6" w:space="0" w:color="auto"/>
            </w:tcBorders>
            <w:shd w:val="clear" w:color="auto" w:fill="auto"/>
            <w:vAlign w:val="center"/>
          </w:tcPr>
          <w:p w14:paraId="1FC46DA3"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c>
          <w:tcPr>
            <w:tcW w:w="927" w:type="dxa"/>
            <w:tcBorders>
              <w:top w:val="nil"/>
              <w:left w:val="double" w:sz="6" w:space="0" w:color="auto"/>
              <w:bottom w:val="double" w:sz="6" w:space="0" w:color="auto"/>
              <w:right w:val="double" w:sz="6" w:space="0" w:color="auto"/>
            </w:tcBorders>
            <w:shd w:val="clear" w:color="auto" w:fill="auto"/>
            <w:vAlign w:val="center"/>
          </w:tcPr>
          <w:p w14:paraId="4DAECA66" w14:textId="77777777" w:rsidR="00B3210D" w:rsidRPr="00C53B1E" w:rsidRDefault="00B3210D" w:rsidP="00B15E08">
            <w:pPr>
              <w:contextualSpacing/>
              <w:jc w:val="both"/>
              <w:rPr>
                <w:rFonts w:cstheme="minorHAnsi"/>
                <w:lang w:eastAsia="en-GB"/>
              </w:rPr>
            </w:pPr>
            <w:r w:rsidRPr="00C53B1E">
              <w:rPr>
                <w:rFonts w:cstheme="minorHAnsi"/>
                <w:lang w:eastAsia="en-GB"/>
              </w:rPr>
              <w:t>1</w:t>
            </w:r>
          </w:p>
        </w:tc>
        <w:tc>
          <w:tcPr>
            <w:tcW w:w="927" w:type="dxa"/>
            <w:tcBorders>
              <w:top w:val="nil"/>
              <w:left w:val="double" w:sz="6" w:space="0" w:color="auto"/>
              <w:bottom w:val="double" w:sz="6" w:space="0" w:color="auto"/>
              <w:right w:val="double" w:sz="6" w:space="0" w:color="auto"/>
            </w:tcBorders>
            <w:shd w:val="clear" w:color="auto" w:fill="auto"/>
            <w:vAlign w:val="center"/>
          </w:tcPr>
          <w:p w14:paraId="45979022" w14:textId="77777777" w:rsidR="00B3210D" w:rsidRPr="00C53B1E" w:rsidRDefault="00B3210D" w:rsidP="00B15E08">
            <w:pPr>
              <w:contextualSpacing/>
              <w:jc w:val="both"/>
              <w:rPr>
                <w:rFonts w:cstheme="minorHAnsi"/>
                <w:lang w:eastAsia="en-GB"/>
              </w:rPr>
            </w:pPr>
            <w:r w:rsidRPr="00C53B1E">
              <w:rPr>
                <w:rFonts w:cstheme="minorHAnsi"/>
                <w:lang w:eastAsia="en-GB"/>
              </w:rPr>
              <w:t>0</w:t>
            </w:r>
          </w:p>
        </w:tc>
      </w:tr>
    </w:tbl>
    <w:p w14:paraId="14060147" w14:textId="643C20AB" w:rsidR="00B3210D" w:rsidRPr="00C53B1E" w:rsidRDefault="0012139F" w:rsidP="0012139F">
      <w:pPr>
        <w:spacing w:before="100" w:beforeAutospacing="1"/>
        <w:ind w:left="720" w:hanging="720"/>
        <w:jc w:val="both"/>
        <w:rPr>
          <w:rFonts w:cstheme="minorHAnsi"/>
        </w:rPr>
      </w:pPr>
      <w:r>
        <w:rPr>
          <w:rFonts w:cstheme="minorHAnsi"/>
        </w:rPr>
        <w:t>7.5</w:t>
      </w:r>
      <w:r>
        <w:rPr>
          <w:rFonts w:cstheme="minorHAnsi"/>
        </w:rPr>
        <w:tab/>
      </w:r>
      <w:r w:rsidR="00B3210D" w:rsidRPr="00C53B1E">
        <w:rPr>
          <w:rFonts w:cstheme="minorHAnsi"/>
        </w:rPr>
        <w:t>Table 3a contains local data on the number of re-offenders from each disposal type. The Pre-court outcomes consist of Youth cautions and Youth conditional cautions, which are the only substantive outcomes for this type. For YC/YCC outcomes there is limited intervention offered by the YJS, which shows that when more meaningful interventions are offered (like Referral Orders, YRO), a child is less likely to go on to re-offend.</w:t>
      </w:r>
    </w:p>
    <w:p w14:paraId="456BBA7D" w14:textId="14145D4A" w:rsidR="00B3210D" w:rsidRPr="00C53B1E" w:rsidRDefault="00B3210D" w:rsidP="00B15E08">
      <w:pPr>
        <w:spacing w:before="100" w:beforeAutospacing="1"/>
        <w:jc w:val="both"/>
        <w:rPr>
          <w:rFonts w:cstheme="minorHAnsi"/>
          <w:b/>
          <w:bCs/>
        </w:rPr>
      </w:pPr>
      <w:r w:rsidRPr="00C53B1E">
        <w:rPr>
          <w:rFonts w:cstheme="minorHAnsi"/>
          <w:b/>
          <w:bCs/>
        </w:rPr>
        <w:t xml:space="preserve">Table </w:t>
      </w:r>
      <w:r w:rsidR="008150CF">
        <w:rPr>
          <w:rFonts w:cstheme="minorHAnsi"/>
          <w:b/>
          <w:bCs/>
        </w:rPr>
        <w:t>4</w:t>
      </w:r>
      <w:r w:rsidRPr="00C53B1E">
        <w:rPr>
          <w:rFonts w:cstheme="minorHAnsi"/>
          <w:b/>
          <w:bCs/>
        </w:rPr>
        <w:t>: Reoffender for Pre-Court non-substantive outcomes</w:t>
      </w:r>
    </w:p>
    <w:tbl>
      <w:tblPr>
        <w:tblW w:w="8671" w:type="dxa"/>
        <w:jc w:val="center"/>
        <w:tblLook w:val="04A0" w:firstRow="1" w:lastRow="0" w:firstColumn="1" w:lastColumn="0" w:noHBand="0" w:noVBand="1"/>
      </w:tblPr>
      <w:tblGrid>
        <w:gridCol w:w="1565"/>
        <w:gridCol w:w="1158"/>
        <w:gridCol w:w="1278"/>
        <w:gridCol w:w="912"/>
        <w:gridCol w:w="977"/>
        <w:gridCol w:w="927"/>
        <w:gridCol w:w="927"/>
        <w:gridCol w:w="927"/>
      </w:tblGrid>
      <w:tr w:rsidR="00B3210D" w:rsidRPr="00C53B1E" w14:paraId="45BD40E1" w14:textId="77777777" w:rsidTr="00217EE8">
        <w:trPr>
          <w:trHeight w:val="694"/>
          <w:jc w:val="center"/>
        </w:trPr>
        <w:tc>
          <w:tcPr>
            <w:tcW w:w="1610"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50DE2201" w14:textId="77777777" w:rsidR="00B3210D" w:rsidRPr="00C53B1E" w:rsidRDefault="00B3210D" w:rsidP="00B15E08">
            <w:pPr>
              <w:jc w:val="both"/>
              <w:rPr>
                <w:rFonts w:cstheme="minorHAnsi"/>
                <w:b/>
                <w:bCs/>
                <w:lang w:eastAsia="en-GB"/>
              </w:rPr>
            </w:pPr>
            <w:r w:rsidRPr="00C53B1E">
              <w:rPr>
                <w:rFonts w:cstheme="minorHAnsi"/>
                <w:b/>
                <w:bCs/>
                <w:lang w:val="en-US" w:eastAsia="en-GB"/>
              </w:rPr>
              <w:t>Outcome type</w:t>
            </w:r>
          </w:p>
        </w:tc>
        <w:tc>
          <w:tcPr>
            <w:tcW w:w="1186"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74CB5CF9" w14:textId="77777777" w:rsidR="00B3210D" w:rsidRPr="00C53B1E" w:rsidRDefault="00B3210D" w:rsidP="00B15E08">
            <w:pPr>
              <w:jc w:val="both"/>
              <w:rPr>
                <w:rFonts w:cstheme="minorHAnsi"/>
                <w:b/>
                <w:bCs/>
                <w:lang w:eastAsia="en-GB"/>
              </w:rPr>
            </w:pPr>
            <w:r w:rsidRPr="00C53B1E">
              <w:rPr>
                <w:rFonts w:cstheme="minorHAnsi"/>
                <w:b/>
                <w:bCs/>
                <w:lang w:val="en-US" w:eastAsia="en-GB"/>
              </w:rPr>
              <w:t>Cohort Dates</w:t>
            </w:r>
          </w:p>
        </w:tc>
        <w:tc>
          <w:tcPr>
            <w:tcW w:w="1195"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38BAA9C7" w14:textId="77777777" w:rsidR="00B3210D" w:rsidRPr="00C53B1E" w:rsidRDefault="00B3210D" w:rsidP="00B15E08">
            <w:pPr>
              <w:jc w:val="both"/>
              <w:rPr>
                <w:rFonts w:cstheme="minorHAnsi"/>
                <w:b/>
                <w:bCs/>
                <w:lang w:eastAsia="en-GB"/>
              </w:rPr>
            </w:pPr>
            <w:r w:rsidRPr="00C53B1E">
              <w:rPr>
                <w:rFonts w:cstheme="minorHAnsi"/>
                <w:b/>
                <w:bCs/>
                <w:lang w:val="en-US" w:eastAsia="en-GB"/>
              </w:rPr>
              <w:t>Outcomes To</w:t>
            </w:r>
          </w:p>
        </w:tc>
        <w:tc>
          <w:tcPr>
            <w:tcW w:w="918"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6C1011BB"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No. In Cohort</w:t>
            </w:r>
          </w:p>
        </w:tc>
        <w:tc>
          <w:tcPr>
            <w:tcW w:w="981"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hideMark/>
          </w:tcPr>
          <w:p w14:paraId="3F8515FD" w14:textId="77777777" w:rsidR="00B3210D" w:rsidRPr="00C53B1E" w:rsidRDefault="00B3210D" w:rsidP="00B15E08">
            <w:pPr>
              <w:jc w:val="both"/>
              <w:rPr>
                <w:rFonts w:cstheme="minorHAnsi"/>
                <w:b/>
                <w:bCs/>
                <w:lang w:eastAsia="en-GB"/>
              </w:rPr>
            </w:pPr>
            <w:r w:rsidRPr="00C53B1E">
              <w:rPr>
                <w:rFonts w:cstheme="minorHAnsi"/>
                <w:b/>
                <w:bCs/>
                <w:lang w:val="en-US" w:eastAsia="en-GB"/>
              </w:rPr>
              <w:t>3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6FA969D7"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6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514E62A1"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9 Months</w:t>
            </w:r>
          </w:p>
        </w:tc>
        <w:tc>
          <w:tcPr>
            <w:tcW w:w="927" w:type="dxa"/>
            <w:tcBorders>
              <w:top w:val="double" w:sz="6" w:space="0" w:color="auto"/>
              <w:left w:val="double" w:sz="6" w:space="0" w:color="auto"/>
              <w:bottom w:val="double" w:sz="6" w:space="0" w:color="000000"/>
              <w:right w:val="double" w:sz="6" w:space="0" w:color="auto"/>
            </w:tcBorders>
            <w:shd w:val="clear" w:color="auto" w:fill="FFF2CC" w:themeFill="accent4" w:themeFillTint="33"/>
            <w:vAlign w:val="center"/>
          </w:tcPr>
          <w:p w14:paraId="472A8857" w14:textId="77777777" w:rsidR="00B3210D" w:rsidRPr="00C53B1E" w:rsidRDefault="00B3210D" w:rsidP="00B15E08">
            <w:pPr>
              <w:jc w:val="both"/>
              <w:rPr>
                <w:rFonts w:cstheme="minorHAnsi"/>
                <w:b/>
                <w:bCs/>
                <w:lang w:val="en-US" w:eastAsia="en-GB"/>
              </w:rPr>
            </w:pPr>
            <w:r w:rsidRPr="00C53B1E">
              <w:rPr>
                <w:rFonts w:cstheme="minorHAnsi"/>
                <w:b/>
                <w:bCs/>
                <w:lang w:val="en-US" w:eastAsia="en-GB"/>
              </w:rPr>
              <w:t>12 Months</w:t>
            </w:r>
          </w:p>
        </w:tc>
      </w:tr>
      <w:tr w:rsidR="00B3210D" w:rsidRPr="00C53B1E" w14:paraId="15AE3C4F" w14:textId="77777777" w:rsidTr="00217EE8">
        <w:trPr>
          <w:trHeight w:val="428"/>
          <w:jc w:val="center"/>
        </w:trPr>
        <w:tc>
          <w:tcPr>
            <w:tcW w:w="1610" w:type="dxa"/>
            <w:tcBorders>
              <w:top w:val="nil"/>
              <w:left w:val="double" w:sz="6" w:space="0" w:color="auto"/>
              <w:bottom w:val="double" w:sz="6" w:space="0" w:color="auto"/>
              <w:right w:val="double" w:sz="6" w:space="0" w:color="auto"/>
            </w:tcBorders>
            <w:shd w:val="clear" w:color="auto" w:fill="FFF2CC" w:themeFill="accent4" w:themeFillTint="33"/>
            <w:vAlign w:val="center"/>
            <w:hideMark/>
          </w:tcPr>
          <w:p w14:paraId="086ED853" w14:textId="77777777" w:rsidR="00B3210D" w:rsidRPr="00C53B1E" w:rsidRDefault="00B3210D" w:rsidP="00B15E08">
            <w:pPr>
              <w:jc w:val="both"/>
              <w:rPr>
                <w:rFonts w:cstheme="minorHAnsi"/>
                <w:b/>
                <w:bCs/>
                <w:lang w:eastAsia="en-GB"/>
              </w:rPr>
            </w:pPr>
            <w:r w:rsidRPr="00C53B1E">
              <w:rPr>
                <w:rFonts w:cstheme="minorHAnsi"/>
                <w:lang w:eastAsia="en-GB"/>
              </w:rPr>
              <w:t>Pre-court</w:t>
            </w:r>
          </w:p>
        </w:tc>
        <w:tc>
          <w:tcPr>
            <w:tcW w:w="1186" w:type="dxa"/>
            <w:tcBorders>
              <w:top w:val="nil"/>
              <w:left w:val="nil"/>
              <w:bottom w:val="double" w:sz="6" w:space="0" w:color="auto"/>
              <w:right w:val="double" w:sz="6" w:space="0" w:color="auto"/>
            </w:tcBorders>
            <w:shd w:val="clear" w:color="auto" w:fill="FFF2CC" w:themeFill="accent4" w:themeFillTint="33"/>
            <w:vAlign w:val="center"/>
          </w:tcPr>
          <w:p w14:paraId="1F6DA0CD" w14:textId="77777777" w:rsidR="00B3210D" w:rsidRPr="00C53B1E" w:rsidRDefault="00B3210D" w:rsidP="00B15E08">
            <w:pPr>
              <w:contextualSpacing/>
              <w:jc w:val="both"/>
              <w:rPr>
                <w:rFonts w:cstheme="minorHAnsi"/>
                <w:b/>
                <w:bCs/>
              </w:rPr>
            </w:pPr>
            <w:r w:rsidRPr="00C53B1E">
              <w:rPr>
                <w:rFonts w:cstheme="minorHAnsi"/>
                <w:lang w:eastAsia="en-GB"/>
              </w:rPr>
              <w:t>Feb 2022 to Apr 2022</w:t>
            </w:r>
          </w:p>
        </w:tc>
        <w:tc>
          <w:tcPr>
            <w:tcW w:w="1195" w:type="dxa"/>
            <w:tcBorders>
              <w:top w:val="nil"/>
              <w:left w:val="nil"/>
              <w:bottom w:val="double" w:sz="6" w:space="0" w:color="auto"/>
              <w:right w:val="double" w:sz="6" w:space="0" w:color="auto"/>
            </w:tcBorders>
            <w:shd w:val="clear" w:color="auto" w:fill="auto"/>
            <w:vAlign w:val="center"/>
          </w:tcPr>
          <w:p w14:paraId="4BBE983C" w14:textId="77777777" w:rsidR="00B3210D" w:rsidRPr="00C53B1E" w:rsidRDefault="00B3210D" w:rsidP="00B15E08">
            <w:pPr>
              <w:contextualSpacing/>
              <w:jc w:val="both"/>
              <w:rPr>
                <w:rFonts w:cstheme="minorHAnsi"/>
              </w:rPr>
            </w:pPr>
            <w:r w:rsidRPr="00C53B1E">
              <w:rPr>
                <w:rFonts w:cstheme="minorHAnsi"/>
                <w:lang w:eastAsia="en-GB"/>
              </w:rPr>
              <w:t>30/04/2023</w:t>
            </w:r>
          </w:p>
        </w:tc>
        <w:tc>
          <w:tcPr>
            <w:tcW w:w="918" w:type="dxa"/>
            <w:tcBorders>
              <w:top w:val="double" w:sz="6" w:space="0" w:color="auto"/>
              <w:left w:val="nil"/>
              <w:bottom w:val="double" w:sz="6" w:space="0" w:color="auto"/>
              <w:right w:val="double" w:sz="6" w:space="0" w:color="auto"/>
            </w:tcBorders>
            <w:vAlign w:val="center"/>
          </w:tcPr>
          <w:p w14:paraId="69E325BD" w14:textId="77777777" w:rsidR="00B3210D" w:rsidRPr="00C53B1E" w:rsidRDefault="00B3210D" w:rsidP="00B15E08">
            <w:pPr>
              <w:contextualSpacing/>
              <w:jc w:val="both"/>
              <w:rPr>
                <w:rFonts w:cstheme="minorHAnsi"/>
              </w:rPr>
            </w:pPr>
            <w:r w:rsidRPr="00C53B1E">
              <w:rPr>
                <w:rFonts w:cstheme="minorHAnsi"/>
                <w:lang w:eastAsia="en-GB"/>
              </w:rPr>
              <w:t>114</w:t>
            </w:r>
          </w:p>
        </w:tc>
        <w:tc>
          <w:tcPr>
            <w:tcW w:w="981" w:type="dxa"/>
            <w:tcBorders>
              <w:top w:val="nil"/>
              <w:left w:val="double" w:sz="6" w:space="0" w:color="auto"/>
              <w:bottom w:val="double" w:sz="6" w:space="0" w:color="auto"/>
              <w:right w:val="double" w:sz="6" w:space="0" w:color="auto"/>
            </w:tcBorders>
            <w:shd w:val="clear" w:color="auto" w:fill="auto"/>
            <w:vAlign w:val="center"/>
          </w:tcPr>
          <w:p w14:paraId="4A2BABBC" w14:textId="77777777" w:rsidR="00B3210D" w:rsidRPr="00C53B1E" w:rsidRDefault="00B3210D" w:rsidP="00B15E08">
            <w:pPr>
              <w:contextualSpacing/>
              <w:jc w:val="both"/>
              <w:rPr>
                <w:rFonts w:cstheme="minorHAnsi"/>
              </w:rPr>
            </w:pPr>
            <w:r w:rsidRPr="00C53B1E">
              <w:rPr>
                <w:rFonts w:cstheme="minorHAnsi"/>
                <w:lang w:eastAsia="en-GB"/>
              </w:rPr>
              <w:t>12</w:t>
            </w:r>
          </w:p>
        </w:tc>
        <w:tc>
          <w:tcPr>
            <w:tcW w:w="927" w:type="dxa"/>
            <w:tcBorders>
              <w:top w:val="nil"/>
              <w:left w:val="double" w:sz="6" w:space="0" w:color="auto"/>
              <w:bottom w:val="double" w:sz="6" w:space="0" w:color="auto"/>
              <w:right w:val="double" w:sz="6" w:space="0" w:color="auto"/>
            </w:tcBorders>
            <w:vAlign w:val="center"/>
          </w:tcPr>
          <w:p w14:paraId="0868309B" w14:textId="77777777" w:rsidR="00B3210D" w:rsidRPr="00C53B1E" w:rsidRDefault="00B3210D" w:rsidP="00B15E08">
            <w:pPr>
              <w:contextualSpacing/>
              <w:jc w:val="both"/>
              <w:rPr>
                <w:rFonts w:cstheme="minorHAnsi"/>
              </w:rPr>
            </w:pPr>
            <w:r w:rsidRPr="00C53B1E">
              <w:rPr>
                <w:rFonts w:cstheme="minorHAnsi"/>
                <w:lang w:eastAsia="en-GB"/>
              </w:rPr>
              <w:t>3</w:t>
            </w:r>
          </w:p>
        </w:tc>
        <w:tc>
          <w:tcPr>
            <w:tcW w:w="927" w:type="dxa"/>
            <w:tcBorders>
              <w:top w:val="nil"/>
              <w:left w:val="double" w:sz="6" w:space="0" w:color="auto"/>
              <w:bottom w:val="double" w:sz="6" w:space="0" w:color="auto"/>
              <w:right w:val="double" w:sz="6" w:space="0" w:color="auto"/>
            </w:tcBorders>
            <w:vAlign w:val="center"/>
          </w:tcPr>
          <w:p w14:paraId="201D4D9A" w14:textId="77777777" w:rsidR="00B3210D" w:rsidRPr="00C53B1E" w:rsidRDefault="00B3210D" w:rsidP="00B15E08">
            <w:pPr>
              <w:contextualSpacing/>
              <w:jc w:val="both"/>
              <w:rPr>
                <w:rFonts w:cstheme="minorHAnsi"/>
              </w:rPr>
            </w:pPr>
            <w:r w:rsidRPr="00C53B1E">
              <w:rPr>
                <w:rFonts w:cstheme="minorHAnsi"/>
                <w:lang w:eastAsia="en-GB"/>
              </w:rPr>
              <w:t>1</w:t>
            </w:r>
          </w:p>
        </w:tc>
        <w:tc>
          <w:tcPr>
            <w:tcW w:w="927" w:type="dxa"/>
            <w:tcBorders>
              <w:top w:val="nil"/>
              <w:left w:val="double" w:sz="6" w:space="0" w:color="auto"/>
              <w:bottom w:val="double" w:sz="6" w:space="0" w:color="auto"/>
              <w:right w:val="double" w:sz="6" w:space="0" w:color="auto"/>
            </w:tcBorders>
            <w:vAlign w:val="center"/>
          </w:tcPr>
          <w:p w14:paraId="1F36D5A1" w14:textId="77777777" w:rsidR="00B3210D" w:rsidRPr="00C53B1E" w:rsidRDefault="00B3210D" w:rsidP="00B15E08">
            <w:pPr>
              <w:contextualSpacing/>
              <w:jc w:val="both"/>
              <w:rPr>
                <w:rFonts w:cstheme="minorHAnsi"/>
              </w:rPr>
            </w:pPr>
            <w:r w:rsidRPr="00C53B1E">
              <w:rPr>
                <w:rFonts w:cstheme="minorHAnsi"/>
                <w:lang w:eastAsia="en-GB"/>
              </w:rPr>
              <w:t>2</w:t>
            </w:r>
          </w:p>
        </w:tc>
      </w:tr>
    </w:tbl>
    <w:p w14:paraId="584C6CBA" w14:textId="4070C703" w:rsidR="00B3210D" w:rsidRPr="00C53B1E" w:rsidRDefault="0012139F" w:rsidP="0012139F">
      <w:pPr>
        <w:spacing w:before="100" w:beforeAutospacing="1"/>
        <w:ind w:left="720" w:hanging="720"/>
        <w:jc w:val="both"/>
        <w:rPr>
          <w:rFonts w:cstheme="minorHAnsi"/>
        </w:rPr>
      </w:pPr>
      <w:r>
        <w:rPr>
          <w:rFonts w:cstheme="minorHAnsi"/>
        </w:rPr>
        <w:t>7.8</w:t>
      </w:r>
      <w:r>
        <w:rPr>
          <w:rFonts w:cstheme="minorHAnsi"/>
        </w:rPr>
        <w:tab/>
      </w:r>
      <w:r w:rsidR="00B3210D" w:rsidRPr="00C53B1E">
        <w:rPr>
          <w:rFonts w:cstheme="minorHAnsi"/>
        </w:rPr>
        <w:t xml:space="preserve">Table </w:t>
      </w:r>
      <w:r w:rsidR="00861FC2">
        <w:rPr>
          <w:rFonts w:cstheme="minorHAnsi"/>
        </w:rPr>
        <w:t>4</w:t>
      </w:r>
      <w:r w:rsidR="00B3210D" w:rsidRPr="00C53B1E">
        <w:rPr>
          <w:rFonts w:cstheme="minorHAnsi"/>
        </w:rPr>
        <w:t xml:space="preserve"> shows the local Reoffending data for the Pre-court outcomes that are non-substantive such as Community Resolutions, Outcome 22, Informal Action and Deferred Decision Informal Intervention. Similar to the YC/YCC, </w:t>
      </w:r>
      <w:r w:rsidR="004F1E1B" w:rsidRPr="00C53B1E">
        <w:rPr>
          <w:rFonts w:cstheme="minorHAnsi"/>
        </w:rPr>
        <w:t>these types of outcomes</w:t>
      </w:r>
      <w:r w:rsidR="00B3210D" w:rsidRPr="00C53B1E">
        <w:rPr>
          <w:rFonts w:cstheme="minorHAnsi"/>
        </w:rPr>
        <w:t xml:space="preserve"> have limited intervention offered </w:t>
      </w:r>
      <w:r w:rsidR="00B3210D" w:rsidRPr="00C53B1E">
        <w:rPr>
          <w:rFonts w:cstheme="minorHAnsi"/>
        </w:rPr>
        <w:lastRenderedPageBreak/>
        <w:t>by the YJS, which shows that the children are more likely to re-offend after receiving such outcomes.</w:t>
      </w:r>
    </w:p>
    <w:p w14:paraId="125E58B5" w14:textId="77777777" w:rsidR="000962D4" w:rsidRPr="000962D4" w:rsidRDefault="00B3210D" w:rsidP="000962D4">
      <w:pPr>
        <w:pStyle w:val="NoSpacing"/>
        <w:rPr>
          <w:b/>
          <w:bCs/>
        </w:rPr>
      </w:pPr>
      <w:r w:rsidRPr="000962D4">
        <w:rPr>
          <w:b/>
          <w:bCs/>
        </w:rPr>
        <w:t>Young people receiving a conviction in court who are sentenced to custody</w:t>
      </w:r>
    </w:p>
    <w:p w14:paraId="5AC0F04B" w14:textId="487DDCB0" w:rsidR="00B3210D" w:rsidRDefault="00B3210D" w:rsidP="000962D4">
      <w:pPr>
        <w:pStyle w:val="NoSpacing"/>
        <w:rPr>
          <w:b/>
          <w:bCs/>
        </w:rPr>
      </w:pPr>
      <w:r w:rsidRPr="000962D4">
        <w:rPr>
          <w:b/>
          <w:bCs/>
        </w:rPr>
        <w:t xml:space="preserve">Table </w:t>
      </w:r>
      <w:r w:rsidR="008150CF" w:rsidRPr="000962D4">
        <w:rPr>
          <w:b/>
          <w:bCs/>
        </w:rPr>
        <w:t>5</w:t>
      </w:r>
      <w:r w:rsidRPr="000962D4">
        <w:rPr>
          <w:b/>
          <w:bCs/>
        </w:rPr>
        <w:t>: Quarterly data 2019/20 to 2022/23 (YJS)</w:t>
      </w:r>
    </w:p>
    <w:p w14:paraId="1F8829FA" w14:textId="77777777" w:rsidR="000962D4" w:rsidRPr="000962D4" w:rsidRDefault="000962D4" w:rsidP="000962D4">
      <w:pPr>
        <w:pStyle w:val="NoSpacing"/>
        <w:rPr>
          <w:b/>
          <w:bCs/>
        </w:rPr>
      </w:pPr>
    </w:p>
    <w:tbl>
      <w:tblPr>
        <w:tblpPr w:leftFromText="180" w:rightFromText="180" w:bottomFromText="155" w:vertAnchor="text" w:tblpXSpec="center"/>
        <w:tblW w:w="11029" w:type="dxa"/>
        <w:tblCellMar>
          <w:left w:w="0" w:type="dxa"/>
          <w:right w:w="0" w:type="dxa"/>
        </w:tblCellMar>
        <w:tblLook w:val="04A0" w:firstRow="1" w:lastRow="0" w:firstColumn="1" w:lastColumn="0" w:noHBand="0" w:noVBand="1"/>
      </w:tblPr>
      <w:tblGrid>
        <w:gridCol w:w="854"/>
        <w:gridCol w:w="655"/>
        <w:gridCol w:w="655"/>
        <w:gridCol w:w="655"/>
        <w:gridCol w:w="655"/>
        <w:gridCol w:w="655"/>
        <w:gridCol w:w="655"/>
        <w:gridCol w:w="655"/>
        <w:gridCol w:w="655"/>
        <w:gridCol w:w="655"/>
        <w:gridCol w:w="655"/>
        <w:gridCol w:w="655"/>
        <w:gridCol w:w="655"/>
        <w:gridCol w:w="655"/>
        <w:gridCol w:w="655"/>
        <w:gridCol w:w="655"/>
        <w:gridCol w:w="655"/>
      </w:tblGrid>
      <w:tr w:rsidR="00B3210D" w:rsidRPr="00C53B1E" w14:paraId="5A0FEFDD" w14:textId="77777777" w:rsidTr="00217EE8">
        <w:trPr>
          <w:trHeight w:val="506"/>
        </w:trPr>
        <w:tc>
          <w:tcPr>
            <w:tcW w:w="1189" w:type="dxa"/>
            <w:tcBorders>
              <w:top w:val="double" w:sz="4" w:space="0" w:color="auto"/>
              <w:left w:val="double" w:sz="4" w:space="0" w:color="auto"/>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hideMark/>
          </w:tcPr>
          <w:p w14:paraId="36CF5F83" w14:textId="77777777" w:rsidR="00B3210D" w:rsidRPr="00C53B1E" w:rsidRDefault="00B3210D" w:rsidP="00B15E08">
            <w:pPr>
              <w:jc w:val="both"/>
              <w:rPr>
                <w:rFonts w:cstheme="minorHAnsi"/>
                <w:b/>
                <w:bCs/>
              </w:rPr>
            </w:pPr>
            <w:r w:rsidRPr="00C53B1E">
              <w:rPr>
                <w:rFonts w:cstheme="minorHAnsi"/>
                <w:b/>
                <w:bCs/>
              </w:rPr>
              <w:t>Use of Custody</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4C8FFE81" w14:textId="77777777" w:rsidR="00B3210D" w:rsidRPr="00C53B1E" w:rsidRDefault="00B3210D" w:rsidP="00B15E08">
            <w:pPr>
              <w:jc w:val="both"/>
              <w:rPr>
                <w:rFonts w:cstheme="minorHAnsi"/>
                <w:b/>
                <w:bCs/>
              </w:rPr>
            </w:pPr>
            <w:r w:rsidRPr="00C53B1E">
              <w:rPr>
                <w:rFonts w:cstheme="minorHAnsi"/>
                <w:b/>
                <w:bCs/>
              </w:rPr>
              <w:t>Q1 19/20</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4B237381" w14:textId="77777777" w:rsidR="00B3210D" w:rsidRPr="00C53B1E" w:rsidRDefault="00B3210D" w:rsidP="00B15E08">
            <w:pPr>
              <w:jc w:val="both"/>
              <w:rPr>
                <w:rFonts w:cstheme="minorHAnsi"/>
                <w:b/>
                <w:bCs/>
              </w:rPr>
            </w:pPr>
            <w:r w:rsidRPr="00C53B1E">
              <w:rPr>
                <w:rFonts w:cstheme="minorHAnsi"/>
                <w:b/>
                <w:bCs/>
              </w:rPr>
              <w:t>Q2 19/20</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2A12F122" w14:textId="77777777" w:rsidR="00B3210D" w:rsidRPr="00C53B1E" w:rsidRDefault="00B3210D" w:rsidP="00B15E08">
            <w:pPr>
              <w:jc w:val="both"/>
              <w:rPr>
                <w:rFonts w:cstheme="minorHAnsi"/>
                <w:b/>
                <w:bCs/>
              </w:rPr>
            </w:pPr>
            <w:r w:rsidRPr="00C53B1E">
              <w:rPr>
                <w:rFonts w:cstheme="minorHAnsi"/>
                <w:b/>
                <w:bCs/>
              </w:rPr>
              <w:t>Q3 19/20</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33B973F4" w14:textId="77777777" w:rsidR="00B3210D" w:rsidRPr="00C53B1E" w:rsidRDefault="00B3210D" w:rsidP="00B15E08">
            <w:pPr>
              <w:jc w:val="both"/>
              <w:rPr>
                <w:rFonts w:cstheme="minorHAnsi"/>
                <w:b/>
                <w:bCs/>
              </w:rPr>
            </w:pPr>
            <w:r w:rsidRPr="00C53B1E">
              <w:rPr>
                <w:rFonts w:cstheme="minorHAnsi"/>
                <w:b/>
                <w:bCs/>
              </w:rPr>
              <w:t>Q4 19/20</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6CA21FDE" w14:textId="77777777" w:rsidR="00B3210D" w:rsidRPr="00C53B1E" w:rsidRDefault="00B3210D" w:rsidP="00B15E08">
            <w:pPr>
              <w:jc w:val="both"/>
              <w:rPr>
                <w:rFonts w:cstheme="minorHAnsi"/>
                <w:b/>
                <w:bCs/>
              </w:rPr>
            </w:pPr>
            <w:r w:rsidRPr="00C53B1E">
              <w:rPr>
                <w:rFonts w:cstheme="minorHAnsi"/>
                <w:b/>
                <w:bCs/>
              </w:rPr>
              <w:t>Q1 20/21</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22AD8BC0" w14:textId="77777777" w:rsidR="00B3210D" w:rsidRPr="00C53B1E" w:rsidRDefault="00B3210D" w:rsidP="00B15E08">
            <w:pPr>
              <w:jc w:val="both"/>
              <w:rPr>
                <w:rFonts w:cstheme="minorHAnsi"/>
                <w:b/>
                <w:bCs/>
              </w:rPr>
            </w:pPr>
            <w:r w:rsidRPr="00C53B1E">
              <w:rPr>
                <w:rFonts w:cstheme="minorHAnsi"/>
                <w:b/>
                <w:bCs/>
              </w:rPr>
              <w:t>Q2 20/21</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76D70137" w14:textId="77777777" w:rsidR="00B3210D" w:rsidRPr="00C53B1E" w:rsidRDefault="00B3210D" w:rsidP="00B15E08">
            <w:pPr>
              <w:jc w:val="both"/>
              <w:rPr>
                <w:rFonts w:cstheme="minorHAnsi"/>
                <w:b/>
                <w:bCs/>
              </w:rPr>
            </w:pPr>
            <w:r w:rsidRPr="00C53B1E">
              <w:rPr>
                <w:rFonts w:cstheme="minorHAnsi"/>
                <w:b/>
                <w:bCs/>
              </w:rPr>
              <w:t>Q3 20/21</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31568B39" w14:textId="77777777" w:rsidR="00B3210D" w:rsidRPr="00C53B1E" w:rsidRDefault="00B3210D" w:rsidP="00B15E08">
            <w:pPr>
              <w:jc w:val="both"/>
              <w:rPr>
                <w:rFonts w:cstheme="minorHAnsi"/>
                <w:b/>
                <w:bCs/>
              </w:rPr>
            </w:pPr>
            <w:r w:rsidRPr="00C53B1E">
              <w:rPr>
                <w:rFonts w:cstheme="minorHAnsi"/>
                <w:b/>
                <w:bCs/>
              </w:rPr>
              <w:t>Q4 20/21</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6027E771" w14:textId="77777777" w:rsidR="00B3210D" w:rsidRPr="00C53B1E" w:rsidRDefault="00B3210D" w:rsidP="00B15E08">
            <w:pPr>
              <w:jc w:val="both"/>
              <w:rPr>
                <w:rFonts w:cstheme="minorHAnsi"/>
                <w:b/>
                <w:bCs/>
              </w:rPr>
            </w:pPr>
            <w:r w:rsidRPr="00C53B1E">
              <w:rPr>
                <w:rFonts w:cstheme="minorHAnsi"/>
                <w:b/>
                <w:bCs/>
              </w:rPr>
              <w:t>Q1 21/22</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75E6BCCE" w14:textId="77777777" w:rsidR="00B3210D" w:rsidRPr="00C53B1E" w:rsidRDefault="00B3210D" w:rsidP="00B15E08">
            <w:pPr>
              <w:jc w:val="both"/>
              <w:rPr>
                <w:rFonts w:cstheme="minorHAnsi"/>
                <w:b/>
                <w:bCs/>
              </w:rPr>
            </w:pPr>
            <w:r w:rsidRPr="00C53B1E">
              <w:rPr>
                <w:rFonts w:cstheme="minorHAnsi"/>
                <w:b/>
                <w:bCs/>
              </w:rPr>
              <w:t>Q2 21/22</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2FE6141D" w14:textId="77777777" w:rsidR="00B3210D" w:rsidRPr="00C53B1E" w:rsidRDefault="00B3210D" w:rsidP="00B15E08">
            <w:pPr>
              <w:jc w:val="both"/>
              <w:rPr>
                <w:rFonts w:cstheme="minorHAnsi"/>
                <w:b/>
                <w:bCs/>
              </w:rPr>
            </w:pPr>
            <w:r w:rsidRPr="00C53B1E">
              <w:rPr>
                <w:rFonts w:cstheme="minorHAnsi"/>
                <w:b/>
                <w:bCs/>
              </w:rPr>
              <w:t>Q3 21/22</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289E57F4" w14:textId="77777777" w:rsidR="00B3210D" w:rsidRPr="00C53B1E" w:rsidRDefault="00B3210D" w:rsidP="00B15E08">
            <w:pPr>
              <w:jc w:val="both"/>
              <w:rPr>
                <w:rFonts w:cstheme="minorHAnsi"/>
                <w:b/>
                <w:bCs/>
              </w:rPr>
            </w:pPr>
            <w:r w:rsidRPr="00C53B1E">
              <w:rPr>
                <w:rFonts w:cstheme="minorHAnsi"/>
                <w:b/>
                <w:bCs/>
              </w:rPr>
              <w:t>Q4 21/22</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5DA1070D" w14:textId="77777777" w:rsidR="00B3210D" w:rsidRPr="00C53B1E" w:rsidRDefault="00B3210D" w:rsidP="00B15E08">
            <w:pPr>
              <w:jc w:val="both"/>
              <w:rPr>
                <w:rFonts w:cstheme="minorHAnsi"/>
                <w:b/>
                <w:bCs/>
              </w:rPr>
            </w:pPr>
            <w:r w:rsidRPr="00C53B1E">
              <w:rPr>
                <w:rFonts w:cstheme="minorHAnsi"/>
                <w:b/>
                <w:bCs/>
              </w:rPr>
              <w:t>Q1 22/23</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05986EA5" w14:textId="77777777" w:rsidR="00B3210D" w:rsidRPr="00C53B1E" w:rsidRDefault="00B3210D" w:rsidP="00B15E08">
            <w:pPr>
              <w:jc w:val="both"/>
              <w:rPr>
                <w:rFonts w:cstheme="minorHAnsi"/>
                <w:b/>
                <w:bCs/>
              </w:rPr>
            </w:pPr>
            <w:r w:rsidRPr="00C53B1E">
              <w:rPr>
                <w:rFonts w:cstheme="minorHAnsi"/>
                <w:b/>
                <w:bCs/>
              </w:rPr>
              <w:t>Q2 22/23</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43D95927" w14:textId="77777777" w:rsidR="00B3210D" w:rsidRPr="00C53B1E" w:rsidRDefault="00B3210D" w:rsidP="00B15E08">
            <w:pPr>
              <w:jc w:val="both"/>
              <w:rPr>
                <w:rFonts w:cstheme="minorHAnsi"/>
                <w:b/>
                <w:bCs/>
              </w:rPr>
            </w:pPr>
            <w:r w:rsidRPr="00C53B1E">
              <w:rPr>
                <w:rFonts w:cstheme="minorHAnsi"/>
                <w:b/>
                <w:bCs/>
              </w:rPr>
              <w:t>Q3 22/23</w:t>
            </w:r>
          </w:p>
        </w:tc>
        <w:tc>
          <w:tcPr>
            <w:tcW w:w="615" w:type="dxa"/>
            <w:tcBorders>
              <w:top w:val="double" w:sz="4" w:space="0" w:color="auto"/>
              <w:left w:val="nil"/>
              <w:bottom w:val="double" w:sz="4" w:space="0" w:color="auto"/>
              <w:right w:val="double" w:sz="4" w:space="0" w:color="auto"/>
            </w:tcBorders>
            <w:shd w:val="clear" w:color="auto" w:fill="FFF2CC" w:themeFill="accent4" w:themeFillTint="33"/>
            <w:tcMar>
              <w:top w:w="0" w:type="dxa"/>
              <w:left w:w="57" w:type="dxa"/>
              <w:bottom w:w="0" w:type="dxa"/>
              <w:right w:w="57" w:type="dxa"/>
            </w:tcMar>
            <w:hideMark/>
          </w:tcPr>
          <w:p w14:paraId="043E0344" w14:textId="77777777" w:rsidR="00B3210D" w:rsidRPr="00C53B1E" w:rsidRDefault="00B3210D" w:rsidP="00B15E08">
            <w:pPr>
              <w:jc w:val="both"/>
              <w:rPr>
                <w:rFonts w:cstheme="minorHAnsi"/>
                <w:b/>
                <w:bCs/>
              </w:rPr>
            </w:pPr>
            <w:r w:rsidRPr="00C53B1E">
              <w:rPr>
                <w:rFonts w:cstheme="minorHAnsi"/>
                <w:b/>
                <w:bCs/>
              </w:rPr>
              <w:t>Q4 22/23</w:t>
            </w:r>
          </w:p>
        </w:tc>
      </w:tr>
      <w:tr w:rsidR="00B3210D" w:rsidRPr="00C53B1E" w14:paraId="7A4A847C" w14:textId="77777777" w:rsidTr="00217EE8">
        <w:trPr>
          <w:trHeight w:val="506"/>
        </w:trPr>
        <w:tc>
          <w:tcPr>
            <w:tcW w:w="1189" w:type="dxa"/>
            <w:tcBorders>
              <w:top w:val="nil"/>
              <w:left w:val="double" w:sz="4" w:space="0" w:color="auto"/>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hideMark/>
          </w:tcPr>
          <w:p w14:paraId="3071D8EA" w14:textId="77777777" w:rsidR="00B3210D" w:rsidRPr="00C53B1E" w:rsidRDefault="00B3210D" w:rsidP="00B15E08">
            <w:pPr>
              <w:jc w:val="both"/>
              <w:rPr>
                <w:rFonts w:cstheme="minorHAnsi"/>
                <w:b/>
                <w:bCs/>
              </w:rPr>
            </w:pPr>
            <w:r w:rsidRPr="00C53B1E">
              <w:rPr>
                <w:rFonts w:cstheme="minorHAnsi"/>
                <w:b/>
                <w:bCs/>
              </w:rPr>
              <w:t>Quarter</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1A9B4481" w14:textId="77777777" w:rsidR="00B3210D" w:rsidRPr="00C53B1E" w:rsidRDefault="00B3210D" w:rsidP="00B15E08">
            <w:pPr>
              <w:jc w:val="both"/>
              <w:rPr>
                <w:rFonts w:cstheme="minorHAnsi"/>
              </w:rPr>
            </w:pPr>
            <w:r w:rsidRPr="00C53B1E">
              <w:rPr>
                <w:rFonts w:cstheme="minorHAnsi"/>
              </w:rPr>
              <w:t>3</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519FC4E1" w14:textId="77777777" w:rsidR="00B3210D" w:rsidRPr="00C53B1E" w:rsidRDefault="00B3210D" w:rsidP="00B15E08">
            <w:pPr>
              <w:jc w:val="both"/>
              <w:rPr>
                <w:rFonts w:cstheme="minorHAnsi"/>
              </w:rPr>
            </w:pPr>
            <w:r w:rsidRPr="00C53B1E">
              <w:rPr>
                <w:rFonts w:cstheme="minorHAnsi"/>
              </w:rPr>
              <w:t>12</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7950D888" w14:textId="77777777" w:rsidR="00B3210D" w:rsidRPr="00C53B1E" w:rsidRDefault="00B3210D" w:rsidP="00B15E08">
            <w:pPr>
              <w:jc w:val="both"/>
              <w:rPr>
                <w:rFonts w:cstheme="minorHAnsi"/>
              </w:rPr>
            </w:pPr>
            <w:r w:rsidRPr="00C53B1E">
              <w:rPr>
                <w:rFonts w:cstheme="minorHAnsi"/>
              </w:rPr>
              <w:t>6</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2D8FCFB8" w14:textId="77777777" w:rsidR="00B3210D" w:rsidRPr="00C53B1E" w:rsidRDefault="00B3210D" w:rsidP="00B15E08">
            <w:pPr>
              <w:jc w:val="both"/>
              <w:rPr>
                <w:rFonts w:cstheme="minorHAnsi"/>
              </w:rPr>
            </w:pPr>
            <w:r w:rsidRPr="00C53B1E">
              <w:rPr>
                <w:rFonts w:cstheme="minorHAnsi"/>
              </w:rPr>
              <w:t>1</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0120987E" w14:textId="77777777" w:rsidR="00B3210D" w:rsidRPr="00C53B1E" w:rsidRDefault="00B3210D" w:rsidP="00B15E08">
            <w:pPr>
              <w:jc w:val="both"/>
              <w:rPr>
                <w:rFonts w:cstheme="minorHAnsi"/>
              </w:rPr>
            </w:pPr>
            <w:r w:rsidRPr="00C53B1E">
              <w:rPr>
                <w:rFonts w:cstheme="minorHAnsi"/>
              </w:rPr>
              <w:t>3</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5A86DAA9" w14:textId="77777777" w:rsidR="00B3210D" w:rsidRPr="00C53B1E" w:rsidRDefault="00B3210D" w:rsidP="00B15E08">
            <w:pPr>
              <w:jc w:val="both"/>
              <w:rPr>
                <w:rFonts w:cstheme="minorHAnsi"/>
              </w:rPr>
            </w:pPr>
            <w:r w:rsidRPr="00C53B1E">
              <w:rPr>
                <w:rFonts w:cstheme="minorHAnsi"/>
              </w:rPr>
              <w:t>7</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027F6AC7" w14:textId="77777777" w:rsidR="00B3210D" w:rsidRPr="00C53B1E" w:rsidRDefault="00B3210D" w:rsidP="00B15E08">
            <w:pPr>
              <w:jc w:val="both"/>
              <w:rPr>
                <w:rFonts w:cstheme="minorHAnsi"/>
              </w:rPr>
            </w:pPr>
            <w:r w:rsidRPr="00C53B1E">
              <w:rPr>
                <w:rFonts w:cstheme="minorHAnsi"/>
              </w:rPr>
              <w:t>2</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6D300A04" w14:textId="77777777" w:rsidR="00B3210D" w:rsidRPr="00C53B1E" w:rsidRDefault="00B3210D" w:rsidP="00B15E08">
            <w:pPr>
              <w:jc w:val="both"/>
              <w:rPr>
                <w:rFonts w:cstheme="minorHAnsi"/>
              </w:rPr>
            </w:pPr>
            <w:r w:rsidRPr="00C53B1E">
              <w:rPr>
                <w:rFonts w:cstheme="minorHAnsi"/>
              </w:rPr>
              <w:t>4</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66FD1E5C" w14:textId="77777777" w:rsidR="00B3210D" w:rsidRPr="00C53B1E" w:rsidRDefault="00B3210D" w:rsidP="00B15E08">
            <w:pPr>
              <w:jc w:val="both"/>
              <w:rPr>
                <w:rFonts w:cstheme="minorHAnsi"/>
              </w:rPr>
            </w:pPr>
            <w:r w:rsidRPr="00C53B1E">
              <w:rPr>
                <w:rFonts w:cstheme="minorHAnsi"/>
              </w:rPr>
              <w:t>3</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1782975A" w14:textId="77777777" w:rsidR="00B3210D" w:rsidRPr="00C53B1E" w:rsidRDefault="00B3210D" w:rsidP="00B15E08">
            <w:pPr>
              <w:jc w:val="both"/>
              <w:rPr>
                <w:rFonts w:cstheme="minorHAnsi"/>
              </w:rPr>
            </w:pPr>
            <w:r w:rsidRPr="00C53B1E">
              <w:rPr>
                <w:rFonts w:cstheme="minorHAnsi"/>
              </w:rPr>
              <w:t>2</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07F508B4" w14:textId="77777777" w:rsidR="00B3210D" w:rsidRPr="00C53B1E" w:rsidRDefault="00B3210D" w:rsidP="00B15E08">
            <w:pPr>
              <w:jc w:val="both"/>
              <w:rPr>
                <w:rFonts w:cstheme="minorHAnsi"/>
              </w:rPr>
            </w:pPr>
            <w:r w:rsidRPr="00C53B1E">
              <w:rPr>
                <w:rFonts w:cstheme="minorHAnsi"/>
              </w:rPr>
              <w:t>4</w:t>
            </w:r>
          </w:p>
        </w:tc>
        <w:tc>
          <w:tcPr>
            <w:tcW w:w="615" w:type="dxa"/>
            <w:tcBorders>
              <w:top w:val="nil"/>
              <w:left w:val="nil"/>
              <w:bottom w:val="double" w:sz="4" w:space="0" w:color="auto"/>
              <w:right w:val="double" w:sz="4" w:space="0" w:color="auto"/>
            </w:tcBorders>
            <w:tcMar>
              <w:top w:w="0" w:type="dxa"/>
              <w:left w:w="57" w:type="dxa"/>
              <w:bottom w:w="0" w:type="dxa"/>
              <w:right w:w="57" w:type="dxa"/>
            </w:tcMar>
            <w:vAlign w:val="center"/>
          </w:tcPr>
          <w:p w14:paraId="5E5B8CEC" w14:textId="77777777" w:rsidR="00B3210D" w:rsidRPr="00C53B1E" w:rsidRDefault="00B3210D" w:rsidP="00B15E08">
            <w:pPr>
              <w:jc w:val="both"/>
              <w:rPr>
                <w:rFonts w:cstheme="minorHAnsi"/>
              </w:rPr>
            </w:pPr>
            <w:r w:rsidRPr="00C53B1E">
              <w:rPr>
                <w:rFonts w:cstheme="minorHAnsi"/>
              </w:rPr>
              <w:t>3</w:t>
            </w:r>
          </w:p>
        </w:tc>
        <w:tc>
          <w:tcPr>
            <w:tcW w:w="615" w:type="dxa"/>
            <w:tcBorders>
              <w:top w:val="nil"/>
              <w:left w:val="nil"/>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tcPr>
          <w:p w14:paraId="793A2807" w14:textId="77777777" w:rsidR="00B3210D" w:rsidRPr="00C53B1E" w:rsidRDefault="00B3210D" w:rsidP="00B15E08">
            <w:pPr>
              <w:jc w:val="both"/>
              <w:rPr>
                <w:rFonts w:cstheme="minorHAnsi"/>
              </w:rPr>
            </w:pPr>
            <w:r w:rsidRPr="00C53B1E">
              <w:rPr>
                <w:rFonts w:cstheme="minorHAnsi"/>
              </w:rPr>
              <w:t>0</w:t>
            </w:r>
          </w:p>
        </w:tc>
        <w:tc>
          <w:tcPr>
            <w:tcW w:w="615" w:type="dxa"/>
            <w:tcBorders>
              <w:top w:val="nil"/>
              <w:left w:val="nil"/>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tcPr>
          <w:p w14:paraId="471E7CC5" w14:textId="77777777" w:rsidR="00B3210D" w:rsidRPr="00C53B1E" w:rsidRDefault="00B3210D" w:rsidP="00B15E08">
            <w:pPr>
              <w:jc w:val="both"/>
              <w:rPr>
                <w:rFonts w:cstheme="minorHAnsi"/>
              </w:rPr>
            </w:pPr>
            <w:r w:rsidRPr="00C53B1E">
              <w:rPr>
                <w:rFonts w:cstheme="minorHAnsi"/>
              </w:rPr>
              <w:t>3</w:t>
            </w:r>
          </w:p>
        </w:tc>
        <w:tc>
          <w:tcPr>
            <w:tcW w:w="615" w:type="dxa"/>
            <w:tcBorders>
              <w:top w:val="nil"/>
              <w:left w:val="nil"/>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tcPr>
          <w:p w14:paraId="77A55E84" w14:textId="77777777" w:rsidR="00B3210D" w:rsidRPr="00C53B1E" w:rsidRDefault="00B3210D" w:rsidP="00B15E08">
            <w:pPr>
              <w:jc w:val="both"/>
              <w:rPr>
                <w:rFonts w:cstheme="minorHAnsi"/>
              </w:rPr>
            </w:pPr>
            <w:r w:rsidRPr="00C53B1E">
              <w:rPr>
                <w:rFonts w:cstheme="minorHAnsi"/>
              </w:rPr>
              <w:t>1</w:t>
            </w:r>
          </w:p>
        </w:tc>
        <w:tc>
          <w:tcPr>
            <w:tcW w:w="615" w:type="dxa"/>
            <w:tcBorders>
              <w:top w:val="nil"/>
              <w:left w:val="nil"/>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tcPr>
          <w:p w14:paraId="1E27DCB3" w14:textId="77777777" w:rsidR="00B3210D" w:rsidRPr="00C53B1E" w:rsidRDefault="00B3210D" w:rsidP="00B15E08">
            <w:pPr>
              <w:jc w:val="both"/>
              <w:rPr>
                <w:rFonts w:cstheme="minorHAnsi"/>
              </w:rPr>
            </w:pPr>
            <w:r w:rsidRPr="00C53B1E">
              <w:rPr>
                <w:rFonts w:cstheme="minorHAnsi"/>
              </w:rPr>
              <w:t>4</w:t>
            </w:r>
          </w:p>
        </w:tc>
      </w:tr>
      <w:tr w:rsidR="00B3210D" w:rsidRPr="00C53B1E" w14:paraId="53DBDAA6" w14:textId="77777777" w:rsidTr="00217EE8">
        <w:trPr>
          <w:trHeight w:val="506"/>
        </w:trPr>
        <w:tc>
          <w:tcPr>
            <w:tcW w:w="1189" w:type="dxa"/>
            <w:tcBorders>
              <w:top w:val="nil"/>
              <w:left w:val="double" w:sz="4" w:space="0" w:color="auto"/>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hideMark/>
          </w:tcPr>
          <w:p w14:paraId="17C97180" w14:textId="77777777" w:rsidR="00B3210D" w:rsidRPr="00C53B1E" w:rsidRDefault="00B3210D" w:rsidP="00B15E08">
            <w:pPr>
              <w:jc w:val="both"/>
              <w:rPr>
                <w:rFonts w:cstheme="minorHAnsi"/>
                <w:b/>
                <w:bCs/>
              </w:rPr>
            </w:pPr>
            <w:r w:rsidRPr="00C53B1E">
              <w:rPr>
                <w:rFonts w:cstheme="minorHAnsi"/>
                <w:b/>
                <w:bCs/>
              </w:rPr>
              <w:t>Year</w:t>
            </w:r>
          </w:p>
        </w:tc>
        <w:tc>
          <w:tcPr>
            <w:tcW w:w="2460" w:type="dxa"/>
            <w:gridSpan w:val="4"/>
            <w:tcBorders>
              <w:top w:val="nil"/>
              <w:left w:val="nil"/>
              <w:bottom w:val="double" w:sz="4" w:space="0" w:color="auto"/>
              <w:right w:val="double" w:sz="4" w:space="0" w:color="auto"/>
            </w:tcBorders>
            <w:tcMar>
              <w:top w:w="0" w:type="dxa"/>
              <w:left w:w="57" w:type="dxa"/>
              <w:bottom w:w="0" w:type="dxa"/>
              <w:right w:w="57" w:type="dxa"/>
            </w:tcMar>
            <w:vAlign w:val="center"/>
          </w:tcPr>
          <w:p w14:paraId="2613F712" w14:textId="77777777" w:rsidR="00B3210D" w:rsidRPr="00C53B1E" w:rsidRDefault="00B3210D" w:rsidP="00B15E08">
            <w:pPr>
              <w:jc w:val="both"/>
              <w:rPr>
                <w:rFonts w:cstheme="minorHAnsi"/>
              </w:rPr>
            </w:pPr>
            <w:r w:rsidRPr="00C53B1E">
              <w:rPr>
                <w:rFonts w:cstheme="minorHAnsi"/>
              </w:rPr>
              <w:t>22</w:t>
            </w:r>
          </w:p>
        </w:tc>
        <w:tc>
          <w:tcPr>
            <w:tcW w:w="2460" w:type="dxa"/>
            <w:gridSpan w:val="4"/>
            <w:tcBorders>
              <w:top w:val="nil"/>
              <w:left w:val="nil"/>
              <w:bottom w:val="double" w:sz="4" w:space="0" w:color="auto"/>
              <w:right w:val="double" w:sz="4" w:space="0" w:color="auto"/>
            </w:tcBorders>
            <w:tcMar>
              <w:top w:w="0" w:type="dxa"/>
              <w:left w:w="57" w:type="dxa"/>
              <w:bottom w:w="0" w:type="dxa"/>
              <w:right w:w="57" w:type="dxa"/>
            </w:tcMar>
            <w:vAlign w:val="center"/>
          </w:tcPr>
          <w:p w14:paraId="66FA3086" w14:textId="77777777" w:rsidR="00B3210D" w:rsidRPr="00C53B1E" w:rsidRDefault="00B3210D" w:rsidP="00B15E08">
            <w:pPr>
              <w:jc w:val="both"/>
              <w:rPr>
                <w:rFonts w:cstheme="minorHAnsi"/>
              </w:rPr>
            </w:pPr>
            <w:r w:rsidRPr="00C53B1E">
              <w:rPr>
                <w:rFonts w:cstheme="minorHAnsi"/>
              </w:rPr>
              <w:t>16</w:t>
            </w:r>
          </w:p>
        </w:tc>
        <w:tc>
          <w:tcPr>
            <w:tcW w:w="2460" w:type="dxa"/>
            <w:gridSpan w:val="4"/>
            <w:tcBorders>
              <w:top w:val="nil"/>
              <w:left w:val="nil"/>
              <w:bottom w:val="double" w:sz="4" w:space="0" w:color="auto"/>
              <w:right w:val="double" w:sz="4" w:space="0" w:color="auto"/>
            </w:tcBorders>
            <w:tcMar>
              <w:top w:w="0" w:type="dxa"/>
              <w:left w:w="57" w:type="dxa"/>
              <w:bottom w:w="0" w:type="dxa"/>
              <w:right w:w="57" w:type="dxa"/>
            </w:tcMar>
            <w:vAlign w:val="center"/>
          </w:tcPr>
          <w:p w14:paraId="27246D5B" w14:textId="77777777" w:rsidR="00B3210D" w:rsidRPr="00C53B1E" w:rsidRDefault="00B3210D" w:rsidP="00B15E08">
            <w:pPr>
              <w:jc w:val="both"/>
              <w:rPr>
                <w:rFonts w:cstheme="minorHAnsi"/>
              </w:rPr>
            </w:pPr>
            <w:r w:rsidRPr="00C53B1E">
              <w:rPr>
                <w:rFonts w:cstheme="minorHAnsi"/>
              </w:rPr>
              <w:t>12</w:t>
            </w:r>
          </w:p>
        </w:tc>
        <w:tc>
          <w:tcPr>
            <w:tcW w:w="2460" w:type="dxa"/>
            <w:gridSpan w:val="4"/>
            <w:tcBorders>
              <w:top w:val="nil"/>
              <w:left w:val="nil"/>
              <w:bottom w:val="double" w:sz="4" w:space="0" w:color="auto"/>
              <w:right w:val="double" w:sz="4" w:space="0" w:color="auto"/>
            </w:tcBorders>
            <w:shd w:val="clear" w:color="auto" w:fill="FFF2CC" w:themeFill="accent4" w:themeFillTint="33"/>
            <w:tcMar>
              <w:top w:w="0" w:type="dxa"/>
              <w:left w:w="57" w:type="dxa"/>
              <w:bottom w:w="0" w:type="dxa"/>
              <w:right w:w="57" w:type="dxa"/>
            </w:tcMar>
            <w:vAlign w:val="center"/>
          </w:tcPr>
          <w:p w14:paraId="3B840C62" w14:textId="77777777" w:rsidR="00B3210D" w:rsidRPr="00C53B1E" w:rsidRDefault="00B3210D" w:rsidP="00B15E08">
            <w:pPr>
              <w:jc w:val="both"/>
              <w:rPr>
                <w:rFonts w:cstheme="minorHAnsi"/>
              </w:rPr>
            </w:pPr>
            <w:r w:rsidRPr="00C53B1E">
              <w:rPr>
                <w:rFonts w:cstheme="minorHAnsi"/>
              </w:rPr>
              <w:t>8</w:t>
            </w:r>
          </w:p>
        </w:tc>
      </w:tr>
    </w:tbl>
    <w:p w14:paraId="62938F57" w14:textId="111D7349" w:rsidR="00B3210D" w:rsidRPr="00C53B1E" w:rsidRDefault="000962D4" w:rsidP="000962D4">
      <w:pPr>
        <w:ind w:left="720" w:hanging="720"/>
        <w:jc w:val="both"/>
        <w:rPr>
          <w:rFonts w:cstheme="minorHAnsi"/>
        </w:rPr>
      </w:pPr>
      <w:r>
        <w:rPr>
          <w:rFonts w:cstheme="minorHAnsi"/>
        </w:rPr>
        <w:t>7.9</w:t>
      </w:r>
      <w:r>
        <w:rPr>
          <w:rFonts w:cstheme="minorHAnsi"/>
        </w:rPr>
        <w:tab/>
      </w:r>
      <w:r w:rsidR="00B3210D" w:rsidRPr="00C53B1E">
        <w:rPr>
          <w:rFonts w:cstheme="minorHAnsi"/>
        </w:rPr>
        <w:t xml:space="preserve">Over the last 12 months (Apr 22 – Mar 23), </w:t>
      </w:r>
      <w:r w:rsidR="00861FC2">
        <w:rPr>
          <w:rFonts w:cstheme="minorHAnsi"/>
        </w:rPr>
        <w:t>eight</w:t>
      </w:r>
      <w:r w:rsidR="00B3210D" w:rsidRPr="00C53B1E">
        <w:rPr>
          <w:rFonts w:cstheme="minorHAnsi"/>
        </w:rPr>
        <w:t xml:space="preserve"> children received custodial outcomes. The current figures show a reduction in the number of custodial outcomes. One young person received a DTO but were re-sentenced to a community disposal (YRO) following appeal.</w:t>
      </w:r>
    </w:p>
    <w:p w14:paraId="66B6B817" w14:textId="77777777" w:rsidR="00B3210D" w:rsidRPr="00C53B1E" w:rsidRDefault="00B3210D" w:rsidP="00B15E08">
      <w:pPr>
        <w:jc w:val="both"/>
        <w:rPr>
          <w:rFonts w:cstheme="minorHAnsi"/>
          <w:b/>
        </w:rPr>
      </w:pPr>
      <w:r w:rsidRPr="00C53B1E">
        <w:rPr>
          <w:rFonts w:cstheme="minorHAnsi"/>
          <w:b/>
        </w:rPr>
        <w:t>Sentence length</w:t>
      </w:r>
    </w:p>
    <w:p w14:paraId="2F7699C0" w14:textId="38EBB3C3" w:rsidR="00B3210D" w:rsidRPr="00C53B1E" w:rsidRDefault="00B3210D" w:rsidP="00B15E08">
      <w:pPr>
        <w:jc w:val="both"/>
        <w:rPr>
          <w:rFonts w:cstheme="minorHAnsi"/>
          <w:b/>
          <w:u w:val="single"/>
        </w:rPr>
      </w:pPr>
      <w:r w:rsidRPr="00C53B1E">
        <w:rPr>
          <w:rFonts w:cstheme="minorHAnsi"/>
          <w:b/>
        </w:rPr>
        <w:t xml:space="preserve">Table </w:t>
      </w:r>
      <w:r w:rsidR="008150CF">
        <w:rPr>
          <w:rFonts w:cstheme="minorHAnsi"/>
          <w:b/>
        </w:rPr>
        <w:t>6</w:t>
      </w:r>
      <w:r w:rsidRPr="00C53B1E">
        <w:rPr>
          <w:rFonts w:cstheme="minorHAnsi"/>
          <w:b/>
        </w:rPr>
        <w:t>: Average custodial sentence length: 2017-18 to 2021-22 (YJS)</w:t>
      </w:r>
    </w:p>
    <w:tbl>
      <w:tblPr>
        <w:tblStyle w:val="TableGrid"/>
        <w:tblW w:w="9268" w:type="dxa"/>
        <w:jc w:val="center"/>
        <w:tblLook w:val="04A0" w:firstRow="1" w:lastRow="0" w:firstColumn="1" w:lastColumn="0" w:noHBand="0" w:noVBand="1"/>
      </w:tblPr>
      <w:tblGrid>
        <w:gridCol w:w="2710"/>
        <w:gridCol w:w="1104"/>
        <w:gridCol w:w="1104"/>
        <w:gridCol w:w="1104"/>
        <w:gridCol w:w="1104"/>
        <w:gridCol w:w="1104"/>
        <w:gridCol w:w="1038"/>
      </w:tblGrid>
      <w:tr w:rsidR="00B3210D" w:rsidRPr="00C53B1E" w14:paraId="75EE2463" w14:textId="77777777" w:rsidTr="00217EE8">
        <w:trPr>
          <w:trHeight w:val="240"/>
          <w:jc w:val="center"/>
        </w:trPr>
        <w:tc>
          <w:tcPr>
            <w:tcW w:w="2710"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73F5259A" w14:textId="77777777" w:rsidR="00B3210D" w:rsidRPr="00C53B1E" w:rsidRDefault="00B3210D" w:rsidP="00B15E08">
            <w:pPr>
              <w:pStyle w:val="ListParagraph"/>
              <w:ind w:left="0"/>
              <w:rPr>
                <w:rFonts w:asciiTheme="minorHAnsi" w:hAnsiTheme="minorHAnsi" w:cstheme="minorHAnsi"/>
                <w:b/>
                <w:sz w:val="22"/>
                <w:szCs w:val="22"/>
              </w:rPr>
            </w:pPr>
            <w:r w:rsidRPr="00C53B1E">
              <w:rPr>
                <w:rFonts w:asciiTheme="minorHAnsi" w:hAnsiTheme="minorHAnsi" w:cstheme="minorHAnsi"/>
                <w:b/>
                <w:sz w:val="22"/>
                <w:szCs w:val="22"/>
              </w:rPr>
              <w:t>Year</w:t>
            </w:r>
          </w:p>
        </w:tc>
        <w:tc>
          <w:tcPr>
            <w:tcW w:w="1104"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1EB07065" w14:textId="77777777" w:rsidR="00B3210D" w:rsidRPr="00C53B1E" w:rsidRDefault="00B3210D" w:rsidP="00B15E08">
            <w:pPr>
              <w:jc w:val="both"/>
              <w:rPr>
                <w:rFonts w:cstheme="minorHAnsi"/>
                <w:b/>
                <w:bCs/>
              </w:rPr>
            </w:pPr>
            <w:r w:rsidRPr="00C53B1E">
              <w:rPr>
                <w:rFonts w:cstheme="minorHAnsi"/>
                <w:b/>
                <w:bCs/>
              </w:rPr>
              <w:t>2017-18</w:t>
            </w:r>
          </w:p>
        </w:tc>
        <w:tc>
          <w:tcPr>
            <w:tcW w:w="1104"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71D49872" w14:textId="77777777" w:rsidR="00B3210D" w:rsidRPr="00C53B1E" w:rsidRDefault="00B3210D" w:rsidP="00B15E08">
            <w:pPr>
              <w:jc w:val="both"/>
              <w:rPr>
                <w:rFonts w:cstheme="minorHAnsi"/>
                <w:b/>
                <w:bCs/>
              </w:rPr>
            </w:pPr>
            <w:r w:rsidRPr="00C53B1E">
              <w:rPr>
                <w:rFonts w:cstheme="minorHAnsi"/>
                <w:b/>
                <w:bCs/>
              </w:rPr>
              <w:t>2018-19</w:t>
            </w:r>
          </w:p>
        </w:tc>
        <w:tc>
          <w:tcPr>
            <w:tcW w:w="1104"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03E951BE" w14:textId="77777777" w:rsidR="00B3210D" w:rsidRPr="00C53B1E" w:rsidRDefault="00B3210D" w:rsidP="00B15E08">
            <w:pPr>
              <w:jc w:val="both"/>
              <w:rPr>
                <w:rFonts w:cstheme="minorHAnsi"/>
                <w:b/>
                <w:bCs/>
              </w:rPr>
            </w:pPr>
            <w:r w:rsidRPr="00C53B1E">
              <w:rPr>
                <w:rFonts w:cstheme="minorHAnsi"/>
                <w:b/>
                <w:bCs/>
              </w:rPr>
              <w:t>2019-20</w:t>
            </w:r>
          </w:p>
        </w:tc>
        <w:tc>
          <w:tcPr>
            <w:tcW w:w="1104"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28F1911C" w14:textId="77777777" w:rsidR="00B3210D" w:rsidRPr="00C53B1E" w:rsidRDefault="00B3210D" w:rsidP="00B15E08">
            <w:pPr>
              <w:jc w:val="both"/>
              <w:rPr>
                <w:rFonts w:cstheme="minorHAnsi"/>
                <w:b/>
                <w:bCs/>
              </w:rPr>
            </w:pPr>
            <w:r w:rsidRPr="00C53B1E">
              <w:rPr>
                <w:rFonts w:cstheme="minorHAnsi"/>
                <w:b/>
                <w:bCs/>
              </w:rPr>
              <w:t>2020-21</w:t>
            </w:r>
          </w:p>
        </w:tc>
        <w:tc>
          <w:tcPr>
            <w:tcW w:w="1104"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5658A3A8" w14:textId="77777777" w:rsidR="00B3210D" w:rsidRPr="00C53B1E" w:rsidRDefault="00B3210D" w:rsidP="00B15E08">
            <w:pPr>
              <w:jc w:val="both"/>
              <w:rPr>
                <w:rFonts w:cstheme="minorHAnsi"/>
                <w:b/>
                <w:bCs/>
              </w:rPr>
            </w:pPr>
            <w:r w:rsidRPr="00C53B1E">
              <w:rPr>
                <w:rFonts w:cstheme="minorHAnsi"/>
                <w:b/>
                <w:bCs/>
              </w:rPr>
              <w:t>2021-22</w:t>
            </w:r>
          </w:p>
        </w:tc>
        <w:tc>
          <w:tcPr>
            <w:tcW w:w="1038"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218B3E9F" w14:textId="77777777" w:rsidR="00B3210D" w:rsidRPr="00C53B1E" w:rsidRDefault="00B3210D" w:rsidP="00B15E08">
            <w:pPr>
              <w:jc w:val="both"/>
              <w:rPr>
                <w:rFonts w:cstheme="minorHAnsi"/>
                <w:b/>
                <w:bCs/>
              </w:rPr>
            </w:pPr>
            <w:r w:rsidRPr="00C53B1E">
              <w:rPr>
                <w:rFonts w:cstheme="minorHAnsi"/>
                <w:b/>
                <w:bCs/>
              </w:rPr>
              <w:t>2022-23</w:t>
            </w:r>
          </w:p>
        </w:tc>
      </w:tr>
      <w:tr w:rsidR="00B3210D" w:rsidRPr="00C53B1E" w14:paraId="5457AF78" w14:textId="77777777" w:rsidTr="00217EE8">
        <w:trPr>
          <w:trHeight w:val="240"/>
          <w:jc w:val="center"/>
        </w:trPr>
        <w:tc>
          <w:tcPr>
            <w:tcW w:w="2710" w:type="dxa"/>
            <w:tcBorders>
              <w:top w:val="double" w:sz="4" w:space="0" w:color="auto"/>
              <w:left w:val="double" w:sz="4" w:space="0" w:color="auto"/>
              <w:bottom w:val="double" w:sz="4" w:space="0" w:color="auto"/>
              <w:right w:val="double" w:sz="4" w:space="0" w:color="auto"/>
            </w:tcBorders>
            <w:shd w:val="clear" w:color="auto" w:fill="FFF2CC" w:themeFill="accent4" w:themeFillTint="33"/>
          </w:tcPr>
          <w:p w14:paraId="4BF6E6DF" w14:textId="77777777" w:rsidR="00B3210D" w:rsidRPr="00C53B1E" w:rsidRDefault="00B3210D" w:rsidP="00B15E08">
            <w:pPr>
              <w:pStyle w:val="ListParagraph"/>
              <w:ind w:left="0"/>
              <w:rPr>
                <w:rFonts w:asciiTheme="minorHAnsi" w:hAnsiTheme="minorHAnsi" w:cstheme="minorHAnsi"/>
                <w:b/>
                <w:sz w:val="22"/>
                <w:szCs w:val="22"/>
              </w:rPr>
            </w:pPr>
            <w:r w:rsidRPr="00C53B1E">
              <w:rPr>
                <w:rFonts w:asciiTheme="minorHAnsi" w:hAnsiTheme="minorHAnsi" w:cstheme="minorHAnsi"/>
                <w:b/>
                <w:sz w:val="22"/>
                <w:szCs w:val="22"/>
              </w:rPr>
              <w:t>Average sentence length (months)</w:t>
            </w:r>
          </w:p>
        </w:tc>
        <w:tc>
          <w:tcPr>
            <w:tcW w:w="1104" w:type="dxa"/>
            <w:tcBorders>
              <w:top w:val="double" w:sz="4" w:space="0" w:color="auto"/>
              <w:left w:val="double" w:sz="4" w:space="0" w:color="auto"/>
              <w:bottom w:val="double" w:sz="4" w:space="0" w:color="auto"/>
              <w:right w:val="double" w:sz="4" w:space="0" w:color="auto"/>
            </w:tcBorders>
            <w:shd w:val="clear" w:color="auto" w:fill="auto"/>
            <w:vAlign w:val="center"/>
          </w:tcPr>
          <w:p w14:paraId="5A03CB0F" w14:textId="77777777" w:rsidR="00B3210D" w:rsidRPr="00C53B1E" w:rsidRDefault="00B3210D" w:rsidP="00B15E08">
            <w:pPr>
              <w:jc w:val="both"/>
              <w:rPr>
                <w:rFonts w:cstheme="minorHAnsi"/>
                <w:bCs/>
              </w:rPr>
            </w:pPr>
            <w:r w:rsidRPr="00C53B1E">
              <w:rPr>
                <w:rFonts w:cstheme="minorHAnsi"/>
              </w:rPr>
              <w:t>15.1</w:t>
            </w:r>
          </w:p>
        </w:tc>
        <w:tc>
          <w:tcPr>
            <w:tcW w:w="1104" w:type="dxa"/>
            <w:tcBorders>
              <w:top w:val="double" w:sz="4" w:space="0" w:color="auto"/>
              <w:left w:val="double" w:sz="4" w:space="0" w:color="auto"/>
              <w:bottom w:val="double" w:sz="4" w:space="0" w:color="auto"/>
              <w:right w:val="double" w:sz="4" w:space="0" w:color="auto"/>
            </w:tcBorders>
            <w:shd w:val="clear" w:color="auto" w:fill="auto"/>
            <w:vAlign w:val="center"/>
          </w:tcPr>
          <w:p w14:paraId="5E91D451" w14:textId="77777777" w:rsidR="00B3210D" w:rsidRPr="00C53B1E" w:rsidRDefault="00B3210D" w:rsidP="00B15E08">
            <w:pPr>
              <w:jc w:val="both"/>
              <w:rPr>
                <w:rFonts w:cstheme="minorHAnsi"/>
                <w:bCs/>
              </w:rPr>
            </w:pPr>
            <w:r w:rsidRPr="00C53B1E">
              <w:rPr>
                <w:rFonts w:cstheme="minorHAnsi"/>
              </w:rPr>
              <w:t>38.6</w:t>
            </w:r>
          </w:p>
        </w:tc>
        <w:tc>
          <w:tcPr>
            <w:tcW w:w="1104" w:type="dxa"/>
            <w:tcBorders>
              <w:top w:val="double" w:sz="4" w:space="0" w:color="auto"/>
              <w:left w:val="double" w:sz="4" w:space="0" w:color="auto"/>
              <w:bottom w:val="double" w:sz="4" w:space="0" w:color="auto"/>
              <w:right w:val="double" w:sz="4" w:space="0" w:color="auto"/>
            </w:tcBorders>
            <w:shd w:val="clear" w:color="auto" w:fill="auto"/>
            <w:vAlign w:val="center"/>
          </w:tcPr>
          <w:p w14:paraId="1B8B0769" w14:textId="77777777" w:rsidR="00B3210D" w:rsidRPr="00C53B1E" w:rsidRDefault="00B3210D" w:rsidP="00B15E08">
            <w:pPr>
              <w:jc w:val="both"/>
              <w:rPr>
                <w:rFonts w:cstheme="minorHAnsi"/>
                <w:bCs/>
              </w:rPr>
            </w:pPr>
            <w:r w:rsidRPr="00C53B1E">
              <w:rPr>
                <w:rFonts w:cstheme="minorHAnsi"/>
              </w:rPr>
              <w:t>32.2</w:t>
            </w:r>
          </w:p>
        </w:tc>
        <w:tc>
          <w:tcPr>
            <w:tcW w:w="1104" w:type="dxa"/>
            <w:tcBorders>
              <w:top w:val="double" w:sz="4" w:space="0" w:color="auto"/>
              <w:left w:val="double" w:sz="4" w:space="0" w:color="auto"/>
              <w:bottom w:val="double" w:sz="4" w:space="0" w:color="auto"/>
              <w:right w:val="double" w:sz="4" w:space="0" w:color="auto"/>
            </w:tcBorders>
            <w:shd w:val="clear" w:color="auto" w:fill="auto"/>
            <w:vAlign w:val="center"/>
          </w:tcPr>
          <w:p w14:paraId="3FA814C5" w14:textId="77777777" w:rsidR="00B3210D" w:rsidRPr="00C53B1E" w:rsidRDefault="00B3210D" w:rsidP="00B15E08">
            <w:pPr>
              <w:jc w:val="both"/>
              <w:rPr>
                <w:rFonts w:cstheme="minorHAnsi"/>
                <w:bCs/>
              </w:rPr>
            </w:pPr>
            <w:r w:rsidRPr="00C53B1E">
              <w:rPr>
                <w:rFonts w:cstheme="minorHAnsi"/>
              </w:rPr>
              <w:t>17.2</w:t>
            </w:r>
          </w:p>
        </w:tc>
        <w:tc>
          <w:tcPr>
            <w:tcW w:w="1104" w:type="dxa"/>
            <w:tcBorders>
              <w:top w:val="double" w:sz="4" w:space="0" w:color="auto"/>
              <w:left w:val="double" w:sz="4" w:space="0" w:color="auto"/>
              <w:bottom w:val="double" w:sz="4" w:space="0" w:color="auto"/>
              <w:right w:val="double" w:sz="4" w:space="0" w:color="auto"/>
            </w:tcBorders>
            <w:shd w:val="clear" w:color="auto" w:fill="auto"/>
            <w:vAlign w:val="center"/>
          </w:tcPr>
          <w:p w14:paraId="2E31AA4D" w14:textId="77777777" w:rsidR="00B3210D" w:rsidRPr="00C53B1E" w:rsidRDefault="00B3210D" w:rsidP="00B15E08">
            <w:pPr>
              <w:jc w:val="both"/>
              <w:rPr>
                <w:rFonts w:cstheme="minorHAnsi"/>
                <w:bCs/>
              </w:rPr>
            </w:pPr>
            <w:r w:rsidRPr="00C53B1E">
              <w:rPr>
                <w:rFonts w:cstheme="minorHAnsi"/>
              </w:rPr>
              <w:t>20.1</w:t>
            </w:r>
          </w:p>
        </w:tc>
        <w:tc>
          <w:tcPr>
            <w:tcW w:w="1038" w:type="dxa"/>
            <w:tcBorders>
              <w:top w:val="double" w:sz="4" w:space="0" w:color="auto"/>
              <w:left w:val="double" w:sz="4" w:space="0" w:color="auto"/>
              <w:bottom w:val="double" w:sz="4" w:space="0" w:color="auto"/>
              <w:right w:val="double" w:sz="4" w:space="0" w:color="auto"/>
            </w:tcBorders>
            <w:vAlign w:val="center"/>
          </w:tcPr>
          <w:p w14:paraId="425F128E" w14:textId="77777777" w:rsidR="00B3210D" w:rsidRPr="00C53B1E" w:rsidRDefault="00B3210D" w:rsidP="00B15E08">
            <w:pPr>
              <w:jc w:val="both"/>
              <w:rPr>
                <w:rFonts w:cstheme="minorHAnsi"/>
              </w:rPr>
            </w:pPr>
            <w:r w:rsidRPr="00C53B1E">
              <w:rPr>
                <w:rFonts w:cstheme="minorHAnsi"/>
              </w:rPr>
              <w:t>17.9</w:t>
            </w:r>
          </w:p>
        </w:tc>
      </w:tr>
    </w:tbl>
    <w:p w14:paraId="42F37F49" w14:textId="77777777" w:rsidR="00B3210D" w:rsidRPr="00C53B1E" w:rsidRDefault="00B3210D" w:rsidP="00B15E08">
      <w:pPr>
        <w:jc w:val="both"/>
        <w:rPr>
          <w:rFonts w:cstheme="minorHAnsi"/>
        </w:rPr>
      </w:pPr>
    </w:p>
    <w:p w14:paraId="1266F48E" w14:textId="7E87785B" w:rsidR="00B3210D" w:rsidRPr="00C53B1E" w:rsidRDefault="000962D4" w:rsidP="000962D4">
      <w:pPr>
        <w:ind w:left="720" w:hanging="720"/>
        <w:jc w:val="both"/>
        <w:rPr>
          <w:rFonts w:cstheme="minorHAnsi"/>
        </w:rPr>
      </w:pPr>
      <w:r>
        <w:rPr>
          <w:rFonts w:cstheme="minorHAnsi"/>
        </w:rPr>
        <w:t>7.10</w:t>
      </w:r>
      <w:r>
        <w:rPr>
          <w:rFonts w:cstheme="minorHAnsi"/>
        </w:rPr>
        <w:tab/>
      </w:r>
      <w:r w:rsidR="00B3210D" w:rsidRPr="00C53B1E">
        <w:rPr>
          <w:rFonts w:cstheme="minorHAnsi"/>
        </w:rPr>
        <w:t>The table above shows how sentence length for custodial outcomes has changed over the past five financial years.  Exploring the data further shows that the jump between 2017-18 and 2018-19 was significant. The length has now gradually come down but is still above the 2017-18 figure.  Over these five years, the length of sentence given to White British young people has been on average 7 months shorter than the sentences for those from other ethnic backgrounds.  Each outcome is individually reviewed and audited by YJS management and information is shared with the Board and partners where relevant. This process is completed to ensure issues of disproportionality, if present, are addressed.</w:t>
      </w:r>
    </w:p>
    <w:p w14:paraId="03ED8B9E" w14:textId="7D31225A" w:rsidR="00B3210D" w:rsidRPr="00C53B1E" w:rsidRDefault="007D298D" w:rsidP="007D298D">
      <w:pPr>
        <w:ind w:left="720" w:hanging="720"/>
        <w:jc w:val="both"/>
        <w:rPr>
          <w:rFonts w:cstheme="minorHAnsi"/>
        </w:rPr>
      </w:pPr>
      <w:r>
        <w:rPr>
          <w:rFonts w:cstheme="minorHAnsi"/>
        </w:rPr>
        <w:t>7.11</w:t>
      </w:r>
      <w:r>
        <w:rPr>
          <w:rFonts w:cstheme="minorHAnsi"/>
        </w:rPr>
        <w:tab/>
      </w:r>
      <w:r w:rsidR="00B3210D" w:rsidRPr="00C53B1E">
        <w:rPr>
          <w:rFonts w:cstheme="minorHAnsi"/>
        </w:rPr>
        <w:t>The current Average sentence length for custodial outcomes is 17.9 months. The average sentence given to White British young people was 7.7 and 24 for young people from other ethnic groups.</w:t>
      </w:r>
    </w:p>
    <w:p w14:paraId="05ACDE3C" w14:textId="5670F225" w:rsidR="00B3210D" w:rsidRPr="00C53B1E" w:rsidRDefault="00B3210D" w:rsidP="00B15E08">
      <w:pPr>
        <w:jc w:val="both"/>
        <w:rPr>
          <w:rFonts w:cstheme="minorHAnsi"/>
          <w:b/>
        </w:rPr>
      </w:pPr>
      <w:r w:rsidRPr="00C53B1E">
        <w:rPr>
          <w:rFonts w:cstheme="minorHAnsi"/>
          <w:b/>
        </w:rPr>
        <w:t>Table</w:t>
      </w:r>
      <w:r w:rsidR="00184862" w:rsidRPr="00C53B1E">
        <w:rPr>
          <w:rFonts w:cstheme="minorHAnsi"/>
          <w:b/>
        </w:rPr>
        <w:t xml:space="preserve"> </w:t>
      </w:r>
      <w:r w:rsidR="008150CF">
        <w:rPr>
          <w:rFonts w:cstheme="minorHAnsi"/>
          <w:b/>
        </w:rPr>
        <w:t>7</w:t>
      </w:r>
      <w:r w:rsidRPr="00C53B1E">
        <w:rPr>
          <w:rFonts w:cstheme="minorHAnsi"/>
          <w:b/>
        </w:rPr>
        <w:t>: Comparative data 2017/18 to 2022/23 (PNC)</w:t>
      </w:r>
    </w:p>
    <w:tbl>
      <w:tblPr>
        <w:tblW w:w="92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30"/>
        <w:gridCol w:w="1217"/>
        <w:gridCol w:w="1217"/>
        <w:gridCol w:w="1218"/>
        <w:gridCol w:w="1218"/>
        <w:gridCol w:w="1218"/>
        <w:gridCol w:w="1150"/>
      </w:tblGrid>
      <w:tr w:rsidR="00B3210D" w:rsidRPr="00C53B1E" w14:paraId="27DA2806" w14:textId="77777777" w:rsidTr="00217EE8">
        <w:trPr>
          <w:trHeight w:val="328"/>
          <w:jc w:val="center"/>
        </w:trPr>
        <w:tc>
          <w:tcPr>
            <w:tcW w:w="2030" w:type="dxa"/>
            <w:shd w:val="clear" w:color="auto" w:fill="FFF2CC" w:themeFill="accent4" w:themeFillTint="33"/>
          </w:tcPr>
          <w:p w14:paraId="53D65A32" w14:textId="77777777" w:rsidR="00B3210D" w:rsidRPr="00C53B1E" w:rsidRDefault="00B3210D" w:rsidP="00B15E08">
            <w:pPr>
              <w:jc w:val="both"/>
              <w:rPr>
                <w:rFonts w:cstheme="minorHAnsi"/>
                <w:b/>
                <w:bCs/>
              </w:rPr>
            </w:pPr>
            <w:r w:rsidRPr="00C53B1E">
              <w:rPr>
                <w:rFonts w:cstheme="minorHAnsi"/>
                <w:b/>
                <w:bCs/>
              </w:rPr>
              <w:t>Rate per 1000 of       10-17 population</w:t>
            </w:r>
          </w:p>
        </w:tc>
        <w:tc>
          <w:tcPr>
            <w:tcW w:w="1217" w:type="dxa"/>
            <w:tcBorders>
              <w:bottom w:val="double" w:sz="4" w:space="0" w:color="auto"/>
            </w:tcBorders>
            <w:shd w:val="clear" w:color="auto" w:fill="FFF2CC" w:themeFill="accent4" w:themeFillTint="33"/>
            <w:vAlign w:val="center"/>
          </w:tcPr>
          <w:p w14:paraId="614F050E" w14:textId="77777777" w:rsidR="00B3210D" w:rsidRPr="00C53B1E" w:rsidRDefault="00B3210D" w:rsidP="00B15E08">
            <w:pPr>
              <w:jc w:val="both"/>
              <w:rPr>
                <w:rFonts w:cstheme="minorHAnsi"/>
                <w:b/>
                <w:bCs/>
              </w:rPr>
            </w:pPr>
            <w:r w:rsidRPr="00C53B1E">
              <w:rPr>
                <w:rFonts w:cstheme="minorHAnsi"/>
                <w:b/>
                <w:bCs/>
              </w:rPr>
              <w:t>2017 - 18</w:t>
            </w:r>
          </w:p>
        </w:tc>
        <w:tc>
          <w:tcPr>
            <w:tcW w:w="1217" w:type="dxa"/>
            <w:tcBorders>
              <w:bottom w:val="double" w:sz="4" w:space="0" w:color="auto"/>
            </w:tcBorders>
            <w:shd w:val="clear" w:color="auto" w:fill="FFF2CC" w:themeFill="accent4" w:themeFillTint="33"/>
            <w:vAlign w:val="center"/>
          </w:tcPr>
          <w:p w14:paraId="2F81E292" w14:textId="77777777" w:rsidR="00B3210D" w:rsidRPr="00C53B1E" w:rsidRDefault="00B3210D" w:rsidP="00B15E08">
            <w:pPr>
              <w:jc w:val="both"/>
              <w:rPr>
                <w:rFonts w:cstheme="minorHAnsi"/>
                <w:b/>
                <w:bCs/>
              </w:rPr>
            </w:pPr>
            <w:r w:rsidRPr="00C53B1E">
              <w:rPr>
                <w:rFonts w:cstheme="minorHAnsi"/>
                <w:b/>
                <w:bCs/>
              </w:rPr>
              <w:t>2018 - 19</w:t>
            </w:r>
          </w:p>
        </w:tc>
        <w:tc>
          <w:tcPr>
            <w:tcW w:w="1218" w:type="dxa"/>
            <w:tcBorders>
              <w:bottom w:val="double" w:sz="4" w:space="0" w:color="auto"/>
            </w:tcBorders>
            <w:shd w:val="clear" w:color="auto" w:fill="FFF2CC" w:themeFill="accent4" w:themeFillTint="33"/>
            <w:vAlign w:val="center"/>
          </w:tcPr>
          <w:p w14:paraId="24DDD7E1" w14:textId="77777777" w:rsidR="00B3210D" w:rsidRPr="00C53B1E" w:rsidRDefault="00B3210D" w:rsidP="00B15E08">
            <w:pPr>
              <w:jc w:val="both"/>
              <w:rPr>
                <w:rFonts w:cstheme="minorHAnsi"/>
                <w:b/>
                <w:bCs/>
              </w:rPr>
            </w:pPr>
            <w:r w:rsidRPr="00C53B1E">
              <w:rPr>
                <w:rFonts w:cstheme="minorHAnsi"/>
                <w:b/>
                <w:bCs/>
              </w:rPr>
              <w:t>2019 - 20</w:t>
            </w:r>
          </w:p>
        </w:tc>
        <w:tc>
          <w:tcPr>
            <w:tcW w:w="1218" w:type="dxa"/>
            <w:tcBorders>
              <w:bottom w:val="double" w:sz="4" w:space="0" w:color="auto"/>
            </w:tcBorders>
            <w:shd w:val="clear" w:color="auto" w:fill="FFF2CC" w:themeFill="accent4" w:themeFillTint="33"/>
            <w:vAlign w:val="center"/>
          </w:tcPr>
          <w:p w14:paraId="6DAF883C" w14:textId="77777777" w:rsidR="00B3210D" w:rsidRPr="00C53B1E" w:rsidRDefault="00B3210D" w:rsidP="00B15E08">
            <w:pPr>
              <w:jc w:val="both"/>
              <w:rPr>
                <w:rFonts w:cstheme="minorHAnsi"/>
                <w:b/>
                <w:bCs/>
              </w:rPr>
            </w:pPr>
            <w:r w:rsidRPr="00C53B1E">
              <w:rPr>
                <w:rFonts w:cstheme="minorHAnsi"/>
                <w:b/>
                <w:bCs/>
              </w:rPr>
              <w:t>2020 - 21</w:t>
            </w:r>
          </w:p>
        </w:tc>
        <w:tc>
          <w:tcPr>
            <w:tcW w:w="1218" w:type="dxa"/>
            <w:tcBorders>
              <w:bottom w:val="double" w:sz="4" w:space="0" w:color="auto"/>
            </w:tcBorders>
            <w:shd w:val="clear" w:color="auto" w:fill="FFF2CC" w:themeFill="accent4" w:themeFillTint="33"/>
            <w:vAlign w:val="center"/>
          </w:tcPr>
          <w:p w14:paraId="020A5A2A" w14:textId="77777777" w:rsidR="00B3210D" w:rsidRPr="00C53B1E" w:rsidRDefault="00B3210D" w:rsidP="00B15E08">
            <w:pPr>
              <w:jc w:val="both"/>
              <w:rPr>
                <w:rFonts w:cstheme="minorHAnsi"/>
                <w:b/>
                <w:bCs/>
              </w:rPr>
            </w:pPr>
            <w:r w:rsidRPr="00C53B1E">
              <w:rPr>
                <w:rFonts w:cstheme="minorHAnsi"/>
                <w:b/>
                <w:bCs/>
              </w:rPr>
              <w:t>2021 - 22</w:t>
            </w:r>
          </w:p>
        </w:tc>
        <w:tc>
          <w:tcPr>
            <w:tcW w:w="1150" w:type="dxa"/>
            <w:tcBorders>
              <w:bottom w:val="double" w:sz="4" w:space="0" w:color="auto"/>
            </w:tcBorders>
            <w:shd w:val="clear" w:color="auto" w:fill="FFF2CC" w:themeFill="accent4" w:themeFillTint="33"/>
            <w:vAlign w:val="center"/>
          </w:tcPr>
          <w:p w14:paraId="6231B42E" w14:textId="77777777" w:rsidR="00B3210D" w:rsidRPr="00C53B1E" w:rsidRDefault="00B3210D" w:rsidP="00B15E08">
            <w:pPr>
              <w:jc w:val="both"/>
              <w:rPr>
                <w:rFonts w:cstheme="minorHAnsi"/>
                <w:b/>
                <w:bCs/>
              </w:rPr>
            </w:pPr>
            <w:r w:rsidRPr="00C53B1E">
              <w:rPr>
                <w:rFonts w:cstheme="minorHAnsi"/>
                <w:b/>
                <w:bCs/>
              </w:rPr>
              <w:t>2022-23</w:t>
            </w:r>
          </w:p>
        </w:tc>
      </w:tr>
      <w:tr w:rsidR="00B3210D" w:rsidRPr="00C53B1E" w14:paraId="6016A0A4" w14:textId="77777777" w:rsidTr="00217EE8">
        <w:trPr>
          <w:trHeight w:val="328"/>
          <w:jc w:val="center"/>
        </w:trPr>
        <w:tc>
          <w:tcPr>
            <w:tcW w:w="2030" w:type="dxa"/>
            <w:shd w:val="clear" w:color="auto" w:fill="FFF2CC" w:themeFill="accent4" w:themeFillTint="33"/>
            <w:vAlign w:val="center"/>
          </w:tcPr>
          <w:p w14:paraId="773E3A74" w14:textId="77777777" w:rsidR="00B3210D" w:rsidRPr="00C53B1E" w:rsidRDefault="00B3210D" w:rsidP="00A60808">
            <w:r w:rsidRPr="00C53B1E">
              <w:t>Nottingham</w:t>
            </w:r>
          </w:p>
        </w:tc>
        <w:tc>
          <w:tcPr>
            <w:tcW w:w="1217" w:type="dxa"/>
            <w:vAlign w:val="center"/>
          </w:tcPr>
          <w:p w14:paraId="295570E6" w14:textId="77777777" w:rsidR="00B3210D" w:rsidRPr="00C53B1E" w:rsidRDefault="00B3210D" w:rsidP="00B15E08">
            <w:pPr>
              <w:jc w:val="both"/>
              <w:rPr>
                <w:rFonts w:cstheme="minorHAnsi"/>
                <w:bCs/>
              </w:rPr>
            </w:pPr>
            <w:r w:rsidRPr="00C53B1E">
              <w:rPr>
                <w:rFonts w:cstheme="minorHAnsi"/>
                <w:bCs/>
              </w:rPr>
              <w:t>1.19</w:t>
            </w:r>
          </w:p>
        </w:tc>
        <w:tc>
          <w:tcPr>
            <w:tcW w:w="1217" w:type="dxa"/>
            <w:vAlign w:val="center"/>
          </w:tcPr>
          <w:p w14:paraId="4DD8EBAA" w14:textId="77777777" w:rsidR="00B3210D" w:rsidRPr="00C53B1E" w:rsidRDefault="00B3210D" w:rsidP="00B15E08">
            <w:pPr>
              <w:jc w:val="both"/>
              <w:rPr>
                <w:rFonts w:cstheme="minorHAnsi"/>
                <w:bCs/>
              </w:rPr>
            </w:pPr>
            <w:r w:rsidRPr="00C53B1E">
              <w:rPr>
                <w:rFonts w:cstheme="minorHAnsi"/>
                <w:bCs/>
              </w:rPr>
              <w:t>0.82</w:t>
            </w:r>
          </w:p>
        </w:tc>
        <w:tc>
          <w:tcPr>
            <w:tcW w:w="1218" w:type="dxa"/>
            <w:vAlign w:val="center"/>
          </w:tcPr>
          <w:p w14:paraId="15D5B6DF" w14:textId="77777777" w:rsidR="00B3210D" w:rsidRPr="00C53B1E" w:rsidRDefault="00B3210D" w:rsidP="00B15E08">
            <w:pPr>
              <w:jc w:val="both"/>
              <w:rPr>
                <w:rFonts w:cstheme="minorHAnsi"/>
                <w:bCs/>
              </w:rPr>
            </w:pPr>
            <w:r w:rsidRPr="00C53B1E">
              <w:rPr>
                <w:rFonts w:cstheme="minorHAnsi"/>
                <w:bCs/>
              </w:rPr>
              <w:t>0.78</w:t>
            </w:r>
          </w:p>
        </w:tc>
        <w:tc>
          <w:tcPr>
            <w:tcW w:w="1218" w:type="dxa"/>
            <w:shd w:val="clear" w:color="auto" w:fill="auto"/>
            <w:vAlign w:val="center"/>
          </w:tcPr>
          <w:p w14:paraId="42D541E2" w14:textId="77777777" w:rsidR="00B3210D" w:rsidRPr="00C53B1E" w:rsidRDefault="00B3210D" w:rsidP="00B15E08">
            <w:pPr>
              <w:jc w:val="both"/>
              <w:rPr>
                <w:rFonts w:cstheme="minorHAnsi"/>
                <w:bCs/>
              </w:rPr>
            </w:pPr>
            <w:r w:rsidRPr="00C53B1E">
              <w:rPr>
                <w:rFonts w:cstheme="minorHAnsi"/>
                <w:bCs/>
              </w:rPr>
              <w:t>0.57</w:t>
            </w:r>
          </w:p>
        </w:tc>
        <w:tc>
          <w:tcPr>
            <w:tcW w:w="1218" w:type="dxa"/>
            <w:shd w:val="clear" w:color="auto" w:fill="FFF2CC" w:themeFill="accent4" w:themeFillTint="33"/>
            <w:vAlign w:val="center"/>
          </w:tcPr>
          <w:p w14:paraId="0A4D4FC6" w14:textId="77777777" w:rsidR="00B3210D" w:rsidRPr="00C53B1E" w:rsidRDefault="00B3210D" w:rsidP="00B15E08">
            <w:pPr>
              <w:jc w:val="both"/>
              <w:rPr>
                <w:rFonts w:cstheme="minorHAnsi"/>
                <w:bCs/>
              </w:rPr>
            </w:pPr>
            <w:r w:rsidRPr="00C53B1E">
              <w:rPr>
                <w:rFonts w:cstheme="minorHAnsi"/>
                <w:bCs/>
              </w:rPr>
              <w:t>0.48</w:t>
            </w:r>
          </w:p>
        </w:tc>
        <w:tc>
          <w:tcPr>
            <w:tcW w:w="1150" w:type="dxa"/>
            <w:shd w:val="clear" w:color="auto" w:fill="FFF2CC" w:themeFill="accent4" w:themeFillTint="33"/>
            <w:vAlign w:val="center"/>
          </w:tcPr>
          <w:p w14:paraId="52FA1C25" w14:textId="49820F9C" w:rsidR="00B3210D" w:rsidRPr="00C53B1E" w:rsidRDefault="00B3210D" w:rsidP="00B15E08">
            <w:pPr>
              <w:jc w:val="both"/>
              <w:rPr>
                <w:rFonts w:cstheme="minorHAnsi"/>
                <w:bCs/>
              </w:rPr>
            </w:pPr>
            <w:r w:rsidRPr="00C53B1E">
              <w:rPr>
                <w:rFonts w:cstheme="minorHAnsi"/>
                <w:bCs/>
              </w:rPr>
              <w:t>0.</w:t>
            </w:r>
            <w:r w:rsidR="002F2682">
              <w:rPr>
                <w:rFonts w:cstheme="minorHAnsi"/>
                <w:bCs/>
              </w:rPr>
              <w:t>24</w:t>
            </w:r>
          </w:p>
        </w:tc>
      </w:tr>
      <w:tr w:rsidR="00B3210D" w:rsidRPr="00C53B1E" w14:paraId="26AF5F8F" w14:textId="77777777" w:rsidTr="00217EE8">
        <w:trPr>
          <w:trHeight w:val="328"/>
          <w:jc w:val="center"/>
        </w:trPr>
        <w:tc>
          <w:tcPr>
            <w:tcW w:w="2030" w:type="dxa"/>
            <w:shd w:val="clear" w:color="auto" w:fill="FFF2CC" w:themeFill="accent4" w:themeFillTint="33"/>
            <w:vAlign w:val="center"/>
          </w:tcPr>
          <w:p w14:paraId="5F1D8E51" w14:textId="77777777" w:rsidR="00B3210D" w:rsidRPr="00C53B1E" w:rsidRDefault="00B3210D" w:rsidP="00A60808">
            <w:r w:rsidRPr="00C53B1E">
              <w:t>Family/Stat Neigh.</w:t>
            </w:r>
          </w:p>
        </w:tc>
        <w:tc>
          <w:tcPr>
            <w:tcW w:w="1217" w:type="dxa"/>
            <w:vAlign w:val="center"/>
          </w:tcPr>
          <w:p w14:paraId="0BE991FF" w14:textId="77777777" w:rsidR="00B3210D" w:rsidRPr="00C53B1E" w:rsidRDefault="00B3210D" w:rsidP="00B15E08">
            <w:pPr>
              <w:jc w:val="both"/>
              <w:rPr>
                <w:rFonts w:cstheme="minorHAnsi"/>
              </w:rPr>
            </w:pPr>
            <w:r w:rsidRPr="00C53B1E">
              <w:rPr>
                <w:rFonts w:cstheme="minorHAnsi"/>
              </w:rPr>
              <w:t>0.82</w:t>
            </w:r>
          </w:p>
        </w:tc>
        <w:tc>
          <w:tcPr>
            <w:tcW w:w="1217" w:type="dxa"/>
            <w:vAlign w:val="center"/>
          </w:tcPr>
          <w:p w14:paraId="1A928B93" w14:textId="77777777" w:rsidR="00B3210D" w:rsidRPr="00C53B1E" w:rsidRDefault="00B3210D" w:rsidP="00B15E08">
            <w:pPr>
              <w:jc w:val="both"/>
              <w:rPr>
                <w:rFonts w:cstheme="minorHAnsi"/>
              </w:rPr>
            </w:pPr>
            <w:r w:rsidRPr="00C53B1E">
              <w:rPr>
                <w:rFonts w:cstheme="minorHAnsi"/>
              </w:rPr>
              <w:t>0.74</w:t>
            </w:r>
          </w:p>
        </w:tc>
        <w:tc>
          <w:tcPr>
            <w:tcW w:w="1218" w:type="dxa"/>
            <w:vAlign w:val="center"/>
          </w:tcPr>
          <w:p w14:paraId="03015921" w14:textId="77777777" w:rsidR="00B3210D" w:rsidRPr="00C53B1E" w:rsidRDefault="00B3210D" w:rsidP="00B15E08">
            <w:pPr>
              <w:jc w:val="both"/>
              <w:rPr>
                <w:rFonts w:cstheme="minorHAnsi"/>
              </w:rPr>
            </w:pPr>
            <w:r w:rsidRPr="00C53B1E">
              <w:rPr>
                <w:rFonts w:cstheme="minorHAnsi"/>
              </w:rPr>
              <w:t>0.55</w:t>
            </w:r>
          </w:p>
        </w:tc>
        <w:tc>
          <w:tcPr>
            <w:tcW w:w="1218" w:type="dxa"/>
            <w:shd w:val="clear" w:color="auto" w:fill="auto"/>
            <w:vAlign w:val="center"/>
          </w:tcPr>
          <w:p w14:paraId="65C4E87B" w14:textId="77777777" w:rsidR="00B3210D" w:rsidRPr="00C53B1E" w:rsidRDefault="00B3210D" w:rsidP="00B15E08">
            <w:pPr>
              <w:jc w:val="both"/>
              <w:rPr>
                <w:rFonts w:cstheme="minorHAnsi"/>
              </w:rPr>
            </w:pPr>
            <w:r w:rsidRPr="00C53B1E">
              <w:rPr>
                <w:rFonts w:cstheme="minorHAnsi"/>
              </w:rPr>
              <w:t>0.33</w:t>
            </w:r>
          </w:p>
        </w:tc>
        <w:tc>
          <w:tcPr>
            <w:tcW w:w="1218" w:type="dxa"/>
            <w:shd w:val="clear" w:color="auto" w:fill="FFF2CC" w:themeFill="accent4" w:themeFillTint="33"/>
            <w:vAlign w:val="center"/>
          </w:tcPr>
          <w:p w14:paraId="4E1797F1" w14:textId="77777777" w:rsidR="00B3210D" w:rsidRPr="00C53B1E" w:rsidRDefault="00B3210D" w:rsidP="00B15E08">
            <w:pPr>
              <w:jc w:val="both"/>
              <w:rPr>
                <w:rFonts w:cstheme="minorHAnsi"/>
              </w:rPr>
            </w:pPr>
            <w:r w:rsidRPr="00C53B1E">
              <w:rPr>
                <w:rFonts w:cstheme="minorHAnsi"/>
              </w:rPr>
              <w:t>0.19</w:t>
            </w:r>
          </w:p>
        </w:tc>
        <w:tc>
          <w:tcPr>
            <w:tcW w:w="1150" w:type="dxa"/>
            <w:shd w:val="clear" w:color="auto" w:fill="FFF2CC" w:themeFill="accent4" w:themeFillTint="33"/>
            <w:vAlign w:val="center"/>
          </w:tcPr>
          <w:p w14:paraId="7A2CE08C" w14:textId="1CD9D6BD" w:rsidR="00B3210D" w:rsidRPr="00C53B1E" w:rsidRDefault="00B3210D" w:rsidP="00B15E08">
            <w:pPr>
              <w:jc w:val="both"/>
              <w:rPr>
                <w:rFonts w:cstheme="minorHAnsi"/>
              </w:rPr>
            </w:pPr>
            <w:r w:rsidRPr="00C53B1E">
              <w:rPr>
                <w:rFonts w:cstheme="minorHAnsi"/>
              </w:rPr>
              <w:t>0.</w:t>
            </w:r>
            <w:r w:rsidR="00C60A18">
              <w:rPr>
                <w:rFonts w:cstheme="minorHAnsi"/>
              </w:rPr>
              <w:t>19</w:t>
            </w:r>
          </w:p>
        </w:tc>
      </w:tr>
      <w:tr w:rsidR="00B3210D" w:rsidRPr="00C53B1E" w14:paraId="508E1247" w14:textId="77777777" w:rsidTr="00217EE8">
        <w:trPr>
          <w:trHeight w:val="328"/>
          <w:jc w:val="center"/>
        </w:trPr>
        <w:tc>
          <w:tcPr>
            <w:tcW w:w="2030" w:type="dxa"/>
            <w:shd w:val="clear" w:color="auto" w:fill="FFF2CC" w:themeFill="accent4" w:themeFillTint="33"/>
            <w:vAlign w:val="center"/>
          </w:tcPr>
          <w:p w14:paraId="30F1BECD" w14:textId="77777777" w:rsidR="00B3210D" w:rsidRPr="00C53B1E" w:rsidRDefault="00B3210D" w:rsidP="00A60808">
            <w:r w:rsidRPr="00C53B1E">
              <w:t>Core Cities</w:t>
            </w:r>
          </w:p>
        </w:tc>
        <w:tc>
          <w:tcPr>
            <w:tcW w:w="1217" w:type="dxa"/>
            <w:vAlign w:val="center"/>
          </w:tcPr>
          <w:p w14:paraId="45318DBF" w14:textId="77777777" w:rsidR="00B3210D" w:rsidRPr="00C53B1E" w:rsidRDefault="00B3210D" w:rsidP="00B15E08">
            <w:pPr>
              <w:jc w:val="both"/>
              <w:rPr>
                <w:rFonts w:cstheme="minorHAnsi"/>
                <w:bCs/>
              </w:rPr>
            </w:pPr>
            <w:r w:rsidRPr="00C53B1E">
              <w:rPr>
                <w:rFonts w:cstheme="minorHAnsi"/>
                <w:bCs/>
              </w:rPr>
              <w:t>0.67</w:t>
            </w:r>
          </w:p>
        </w:tc>
        <w:tc>
          <w:tcPr>
            <w:tcW w:w="1217" w:type="dxa"/>
            <w:vAlign w:val="center"/>
          </w:tcPr>
          <w:p w14:paraId="1917B8F9" w14:textId="77777777" w:rsidR="00B3210D" w:rsidRPr="00C53B1E" w:rsidRDefault="00B3210D" w:rsidP="00B15E08">
            <w:pPr>
              <w:jc w:val="both"/>
              <w:rPr>
                <w:rFonts w:cstheme="minorHAnsi"/>
                <w:bCs/>
              </w:rPr>
            </w:pPr>
            <w:r w:rsidRPr="00C53B1E">
              <w:rPr>
                <w:rFonts w:cstheme="minorHAnsi"/>
                <w:bCs/>
              </w:rPr>
              <w:t>0.69</w:t>
            </w:r>
          </w:p>
        </w:tc>
        <w:tc>
          <w:tcPr>
            <w:tcW w:w="1218" w:type="dxa"/>
            <w:vAlign w:val="center"/>
          </w:tcPr>
          <w:p w14:paraId="3E1FE11A" w14:textId="77777777" w:rsidR="00B3210D" w:rsidRPr="00C53B1E" w:rsidRDefault="00B3210D" w:rsidP="00B15E08">
            <w:pPr>
              <w:jc w:val="both"/>
              <w:rPr>
                <w:rFonts w:cstheme="minorHAnsi"/>
                <w:bCs/>
              </w:rPr>
            </w:pPr>
            <w:r w:rsidRPr="00C53B1E">
              <w:rPr>
                <w:rFonts w:cstheme="minorHAnsi"/>
                <w:bCs/>
              </w:rPr>
              <w:t>0.37</w:t>
            </w:r>
          </w:p>
        </w:tc>
        <w:tc>
          <w:tcPr>
            <w:tcW w:w="1218" w:type="dxa"/>
            <w:shd w:val="clear" w:color="auto" w:fill="auto"/>
            <w:vAlign w:val="center"/>
          </w:tcPr>
          <w:p w14:paraId="680B8892" w14:textId="77777777" w:rsidR="00B3210D" w:rsidRPr="00C53B1E" w:rsidRDefault="00B3210D" w:rsidP="00B15E08">
            <w:pPr>
              <w:jc w:val="both"/>
              <w:rPr>
                <w:rFonts w:cstheme="minorHAnsi"/>
                <w:bCs/>
              </w:rPr>
            </w:pPr>
            <w:r w:rsidRPr="00C53B1E">
              <w:rPr>
                <w:rFonts w:cstheme="minorHAnsi"/>
                <w:bCs/>
              </w:rPr>
              <w:t>0.25</w:t>
            </w:r>
          </w:p>
        </w:tc>
        <w:tc>
          <w:tcPr>
            <w:tcW w:w="1218" w:type="dxa"/>
            <w:shd w:val="clear" w:color="auto" w:fill="FFF2CC" w:themeFill="accent4" w:themeFillTint="33"/>
            <w:vAlign w:val="center"/>
          </w:tcPr>
          <w:p w14:paraId="1D8338FC" w14:textId="77777777" w:rsidR="00B3210D" w:rsidRPr="00C53B1E" w:rsidRDefault="00B3210D" w:rsidP="00B15E08">
            <w:pPr>
              <w:jc w:val="both"/>
              <w:rPr>
                <w:rFonts w:cstheme="minorHAnsi"/>
                <w:bCs/>
              </w:rPr>
            </w:pPr>
            <w:r w:rsidRPr="00C53B1E">
              <w:rPr>
                <w:rFonts w:cstheme="minorHAnsi"/>
                <w:bCs/>
              </w:rPr>
              <w:t>0.14</w:t>
            </w:r>
          </w:p>
        </w:tc>
        <w:tc>
          <w:tcPr>
            <w:tcW w:w="1150" w:type="dxa"/>
            <w:shd w:val="clear" w:color="auto" w:fill="FFF2CC" w:themeFill="accent4" w:themeFillTint="33"/>
            <w:vAlign w:val="center"/>
          </w:tcPr>
          <w:p w14:paraId="4E2DDD42" w14:textId="13456DA3" w:rsidR="00B3210D" w:rsidRPr="00C53B1E" w:rsidRDefault="00B3210D" w:rsidP="00B15E08">
            <w:pPr>
              <w:jc w:val="both"/>
              <w:rPr>
                <w:rFonts w:cstheme="minorHAnsi"/>
                <w:bCs/>
              </w:rPr>
            </w:pPr>
            <w:r w:rsidRPr="00C53B1E">
              <w:rPr>
                <w:rFonts w:cstheme="minorHAnsi"/>
                <w:bCs/>
              </w:rPr>
              <w:t>0.</w:t>
            </w:r>
            <w:r w:rsidR="00A01850">
              <w:rPr>
                <w:rFonts w:cstheme="minorHAnsi"/>
                <w:bCs/>
              </w:rPr>
              <w:t>19</w:t>
            </w:r>
          </w:p>
        </w:tc>
      </w:tr>
      <w:tr w:rsidR="00B3210D" w:rsidRPr="00C53B1E" w14:paraId="3B1842BF" w14:textId="77777777" w:rsidTr="00217EE8">
        <w:trPr>
          <w:trHeight w:val="328"/>
          <w:jc w:val="center"/>
        </w:trPr>
        <w:tc>
          <w:tcPr>
            <w:tcW w:w="2030" w:type="dxa"/>
            <w:shd w:val="clear" w:color="auto" w:fill="FFF2CC" w:themeFill="accent4" w:themeFillTint="33"/>
            <w:vAlign w:val="center"/>
          </w:tcPr>
          <w:p w14:paraId="75601DCF" w14:textId="77777777" w:rsidR="00B3210D" w:rsidRPr="00C53B1E" w:rsidRDefault="00B3210D" w:rsidP="00A60808">
            <w:r w:rsidRPr="00C53B1E">
              <w:t>National</w:t>
            </w:r>
          </w:p>
        </w:tc>
        <w:tc>
          <w:tcPr>
            <w:tcW w:w="1217" w:type="dxa"/>
            <w:vAlign w:val="center"/>
          </w:tcPr>
          <w:p w14:paraId="03647D3F" w14:textId="77777777" w:rsidR="00B3210D" w:rsidRPr="00C53B1E" w:rsidRDefault="00B3210D" w:rsidP="00B15E08">
            <w:pPr>
              <w:jc w:val="both"/>
              <w:rPr>
                <w:rFonts w:cstheme="minorHAnsi"/>
              </w:rPr>
            </w:pPr>
            <w:r w:rsidRPr="00C53B1E">
              <w:rPr>
                <w:rFonts w:cstheme="minorHAnsi"/>
              </w:rPr>
              <w:t>0.37</w:t>
            </w:r>
          </w:p>
        </w:tc>
        <w:tc>
          <w:tcPr>
            <w:tcW w:w="1217" w:type="dxa"/>
            <w:vAlign w:val="center"/>
          </w:tcPr>
          <w:p w14:paraId="412594DB" w14:textId="77777777" w:rsidR="00B3210D" w:rsidRPr="00C53B1E" w:rsidRDefault="00B3210D" w:rsidP="00B15E08">
            <w:pPr>
              <w:jc w:val="both"/>
              <w:rPr>
                <w:rFonts w:cstheme="minorHAnsi"/>
              </w:rPr>
            </w:pPr>
            <w:r w:rsidRPr="00C53B1E">
              <w:rPr>
                <w:rFonts w:cstheme="minorHAnsi"/>
              </w:rPr>
              <w:t>0.30</w:t>
            </w:r>
          </w:p>
        </w:tc>
        <w:tc>
          <w:tcPr>
            <w:tcW w:w="1218" w:type="dxa"/>
            <w:vAlign w:val="center"/>
          </w:tcPr>
          <w:p w14:paraId="59CC6D86" w14:textId="77777777" w:rsidR="00B3210D" w:rsidRPr="00C53B1E" w:rsidRDefault="00B3210D" w:rsidP="00B15E08">
            <w:pPr>
              <w:jc w:val="both"/>
              <w:rPr>
                <w:rFonts w:cstheme="minorHAnsi"/>
              </w:rPr>
            </w:pPr>
            <w:r w:rsidRPr="00C53B1E">
              <w:rPr>
                <w:rFonts w:cstheme="minorHAnsi"/>
              </w:rPr>
              <w:t>0.22</w:t>
            </w:r>
          </w:p>
        </w:tc>
        <w:tc>
          <w:tcPr>
            <w:tcW w:w="1218" w:type="dxa"/>
            <w:shd w:val="clear" w:color="auto" w:fill="auto"/>
            <w:vAlign w:val="center"/>
          </w:tcPr>
          <w:p w14:paraId="129290F6" w14:textId="77777777" w:rsidR="00B3210D" w:rsidRPr="00C53B1E" w:rsidRDefault="00B3210D" w:rsidP="00B15E08">
            <w:pPr>
              <w:jc w:val="both"/>
              <w:rPr>
                <w:rFonts w:cstheme="minorHAnsi"/>
              </w:rPr>
            </w:pPr>
            <w:r w:rsidRPr="00C53B1E">
              <w:rPr>
                <w:rFonts w:cstheme="minorHAnsi"/>
              </w:rPr>
              <w:t>0.13</w:t>
            </w:r>
          </w:p>
        </w:tc>
        <w:tc>
          <w:tcPr>
            <w:tcW w:w="1218" w:type="dxa"/>
            <w:shd w:val="clear" w:color="auto" w:fill="FFF2CC" w:themeFill="accent4" w:themeFillTint="33"/>
            <w:vAlign w:val="center"/>
          </w:tcPr>
          <w:p w14:paraId="1BCFFAB2" w14:textId="77777777" w:rsidR="00B3210D" w:rsidRPr="00C53B1E" w:rsidRDefault="00B3210D" w:rsidP="00B15E08">
            <w:pPr>
              <w:jc w:val="both"/>
              <w:rPr>
                <w:rFonts w:cstheme="minorHAnsi"/>
              </w:rPr>
            </w:pPr>
            <w:r w:rsidRPr="00C53B1E">
              <w:rPr>
                <w:rFonts w:cstheme="minorHAnsi"/>
              </w:rPr>
              <w:t>0.11</w:t>
            </w:r>
          </w:p>
        </w:tc>
        <w:tc>
          <w:tcPr>
            <w:tcW w:w="1150" w:type="dxa"/>
            <w:shd w:val="clear" w:color="auto" w:fill="FFF2CC" w:themeFill="accent4" w:themeFillTint="33"/>
            <w:vAlign w:val="center"/>
          </w:tcPr>
          <w:p w14:paraId="14D14387" w14:textId="77777777" w:rsidR="00B3210D" w:rsidRPr="00C53B1E" w:rsidRDefault="00B3210D" w:rsidP="00B15E08">
            <w:pPr>
              <w:jc w:val="both"/>
              <w:rPr>
                <w:rFonts w:cstheme="minorHAnsi"/>
              </w:rPr>
            </w:pPr>
            <w:r w:rsidRPr="00C53B1E">
              <w:rPr>
                <w:rFonts w:cstheme="minorHAnsi"/>
              </w:rPr>
              <w:t>0.11</w:t>
            </w:r>
          </w:p>
        </w:tc>
      </w:tr>
    </w:tbl>
    <w:p w14:paraId="2CC575C6" w14:textId="77777777" w:rsidR="00B3210D" w:rsidRPr="00C53B1E" w:rsidRDefault="00B3210D" w:rsidP="00B15E08">
      <w:pPr>
        <w:jc w:val="both"/>
        <w:rPr>
          <w:rFonts w:cstheme="minorHAnsi"/>
        </w:rPr>
      </w:pPr>
    </w:p>
    <w:p w14:paraId="2E440559" w14:textId="32F96E60" w:rsidR="00B3210D" w:rsidRPr="00C53B1E" w:rsidRDefault="007D298D" w:rsidP="007D298D">
      <w:pPr>
        <w:pStyle w:val="ListParagraph"/>
        <w:ind w:hanging="720"/>
        <w:rPr>
          <w:rFonts w:asciiTheme="minorHAnsi" w:hAnsiTheme="minorHAnsi" w:cstheme="minorHAnsi"/>
          <w:sz w:val="22"/>
          <w:szCs w:val="22"/>
        </w:rPr>
      </w:pPr>
      <w:r>
        <w:rPr>
          <w:rFonts w:asciiTheme="minorHAnsi" w:hAnsiTheme="minorHAnsi" w:cstheme="minorHAnsi"/>
          <w:sz w:val="22"/>
          <w:szCs w:val="22"/>
        </w:rPr>
        <w:lastRenderedPageBreak/>
        <w:t>7.12</w:t>
      </w:r>
      <w:r>
        <w:rPr>
          <w:rFonts w:asciiTheme="minorHAnsi" w:hAnsiTheme="minorHAnsi" w:cstheme="minorHAnsi"/>
          <w:sz w:val="22"/>
          <w:szCs w:val="22"/>
        </w:rPr>
        <w:tab/>
      </w:r>
      <w:r w:rsidR="00B3210D" w:rsidRPr="00C53B1E">
        <w:rPr>
          <w:rFonts w:asciiTheme="minorHAnsi" w:hAnsiTheme="minorHAnsi" w:cstheme="minorHAnsi"/>
          <w:sz w:val="22"/>
          <w:szCs w:val="22"/>
        </w:rPr>
        <w:t xml:space="preserve">The table above is a statutory measure. To give us a real picture of what this means for Nottingham City YJS, we multiply the .48 by 29 (there are 29,002 </w:t>
      </w:r>
      <w:proofErr w:type="gramStart"/>
      <w:r w:rsidR="00B3210D" w:rsidRPr="00C53B1E">
        <w:rPr>
          <w:rFonts w:asciiTheme="minorHAnsi" w:hAnsiTheme="minorHAnsi" w:cstheme="minorHAnsi"/>
          <w:sz w:val="22"/>
          <w:szCs w:val="22"/>
        </w:rPr>
        <w:t>10-17-year olds</w:t>
      </w:r>
      <w:proofErr w:type="gramEnd"/>
      <w:r w:rsidR="00B3210D" w:rsidRPr="00C53B1E">
        <w:rPr>
          <w:rFonts w:asciiTheme="minorHAnsi" w:hAnsiTheme="minorHAnsi" w:cstheme="minorHAnsi"/>
          <w:sz w:val="22"/>
          <w:szCs w:val="22"/>
        </w:rPr>
        <w:t xml:space="preserve"> in Nottingham City) to give us a total of 12 custodial outcomes. However, we would need the 10-17-year-old populations of each of the given comparators to make clear comparisons.</w:t>
      </w:r>
    </w:p>
    <w:p w14:paraId="028DE7B3" w14:textId="77777777" w:rsidR="00B3210D" w:rsidRPr="00C53B1E" w:rsidRDefault="00B3210D" w:rsidP="00B15E08">
      <w:pPr>
        <w:pStyle w:val="ListParagraph"/>
        <w:ind w:left="0"/>
        <w:rPr>
          <w:rFonts w:asciiTheme="minorHAnsi" w:hAnsiTheme="minorHAnsi" w:cstheme="minorHAnsi"/>
          <w:sz w:val="22"/>
          <w:szCs w:val="22"/>
        </w:rPr>
      </w:pPr>
    </w:p>
    <w:p w14:paraId="2771AE8B" w14:textId="1D333DB0" w:rsidR="005D0268" w:rsidRPr="0079356F" w:rsidRDefault="007D298D" w:rsidP="007D298D">
      <w:pPr>
        <w:pStyle w:val="NoSpacing"/>
        <w:ind w:left="720" w:hanging="720"/>
        <w:jc w:val="both"/>
        <w:rPr>
          <w:b/>
          <w:bCs/>
        </w:rPr>
      </w:pPr>
      <w:r>
        <w:t>7.13</w:t>
      </w:r>
      <w:r>
        <w:tab/>
      </w:r>
      <w:r w:rsidR="005D0268" w:rsidRPr="0079356F">
        <w:t xml:space="preserve">The latest data published by the YJB is for Apr 22 – </w:t>
      </w:r>
      <w:r w:rsidR="00922D9B" w:rsidRPr="0079356F">
        <w:t>Mar 23 and</w:t>
      </w:r>
      <w:r w:rsidR="005D0268" w:rsidRPr="0079356F">
        <w:t xml:space="preserve"> shows a clear reduction in Custodial sentences hence in the Custody rates. Nottingham City had 7 custodial sentences during the above period.</w:t>
      </w:r>
    </w:p>
    <w:p w14:paraId="6C5077E0" w14:textId="46065832" w:rsidR="00516854" w:rsidRDefault="00516854" w:rsidP="00B15E08">
      <w:pPr>
        <w:pStyle w:val="NoSpacing"/>
        <w:jc w:val="both"/>
        <w:rPr>
          <w:rFonts w:cstheme="minorHAnsi"/>
          <w:b/>
          <w:bCs/>
          <w:lang w:eastAsia="en-GB"/>
        </w:rPr>
      </w:pPr>
    </w:p>
    <w:p w14:paraId="27B299CB" w14:textId="77777777" w:rsidR="002010D8" w:rsidRDefault="002010D8" w:rsidP="00B15E08">
      <w:pPr>
        <w:pStyle w:val="NoSpacing"/>
        <w:jc w:val="both"/>
        <w:rPr>
          <w:rFonts w:cstheme="minorHAnsi"/>
          <w:b/>
          <w:bCs/>
          <w:sz w:val="24"/>
          <w:szCs w:val="24"/>
          <w:lang w:eastAsia="en-GB"/>
        </w:rPr>
      </w:pPr>
    </w:p>
    <w:p w14:paraId="12F801CA" w14:textId="77777777" w:rsidR="002010D8" w:rsidRDefault="002010D8" w:rsidP="00B15E08">
      <w:pPr>
        <w:pStyle w:val="NoSpacing"/>
        <w:jc w:val="both"/>
        <w:rPr>
          <w:rFonts w:cstheme="minorHAnsi"/>
          <w:b/>
          <w:bCs/>
          <w:sz w:val="24"/>
          <w:szCs w:val="24"/>
          <w:lang w:eastAsia="en-GB"/>
        </w:rPr>
      </w:pPr>
    </w:p>
    <w:p w14:paraId="6495898C" w14:textId="582517D6" w:rsidR="0079185B" w:rsidRPr="00FB5B91" w:rsidRDefault="0079185B" w:rsidP="00B15E08">
      <w:pPr>
        <w:pStyle w:val="NoSpacing"/>
        <w:jc w:val="both"/>
        <w:rPr>
          <w:rStyle w:val="Heading1Char"/>
        </w:rPr>
      </w:pPr>
      <w:bookmarkStart w:id="8" w:name="_Toc156206880"/>
      <w:r w:rsidRPr="00FB5B91">
        <w:rPr>
          <w:rStyle w:val="Heading1Char"/>
        </w:rPr>
        <w:t>National key performance indicators</w:t>
      </w:r>
      <w:bookmarkEnd w:id="8"/>
    </w:p>
    <w:p w14:paraId="5F1BBECC" w14:textId="3BA74704" w:rsidR="0079185B" w:rsidRPr="00C53B1E" w:rsidRDefault="0079185B" w:rsidP="00B15E08">
      <w:pPr>
        <w:pStyle w:val="NoSpacing"/>
        <w:jc w:val="both"/>
        <w:rPr>
          <w:rFonts w:cstheme="minorHAnsi"/>
          <w:b/>
          <w:bCs/>
          <w:lang w:eastAsia="en-GB"/>
        </w:rPr>
      </w:pPr>
    </w:p>
    <w:p w14:paraId="7E333F24" w14:textId="68194EDE" w:rsidR="00184862" w:rsidRPr="00C53B1E" w:rsidRDefault="00184862" w:rsidP="00B15E08">
      <w:pPr>
        <w:tabs>
          <w:tab w:val="left" w:pos="900"/>
        </w:tabs>
        <w:jc w:val="both"/>
        <w:rPr>
          <w:rFonts w:cstheme="minorHAnsi"/>
          <w:b/>
          <w:bCs/>
        </w:rPr>
      </w:pPr>
      <w:r w:rsidRPr="00C53B1E">
        <w:rPr>
          <w:rFonts w:cstheme="minorHAnsi"/>
          <w:b/>
          <w:bCs/>
        </w:rPr>
        <w:t>First-time entrants to the youth justice system aged 10-17</w:t>
      </w:r>
    </w:p>
    <w:p w14:paraId="21249D4D" w14:textId="254CA6A7" w:rsidR="00D83601" w:rsidRDefault="007D298D" w:rsidP="007D298D">
      <w:pPr>
        <w:pStyle w:val="NoSpacing"/>
        <w:ind w:left="720" w:hanging="720"/>
        <w:jc w:val="both"/>
      </w:pPr>
      <w:r>
        <w:t>8.1</w:t>
      </w:r>
      <w:r>
        <w:tab/>
      </w:r>
      <w:r w:rsidR="00D83601" w:rsidRPr="00231CEC">
        <w:t xml:space="preserve">First-time entrants are young people who enter the Criminal Justice System (CJS) for the first time. To enter the CJS, someone must receive a “substantive outcome”, defined as a court order or a caution, for a criminal offence.  Therefore, those who are subject to community resolutions, Outcomes 20-22s or any of the outcomes related to civil offences, by definition, do not enter the CJS. FTE data is usually only available for those below the age of 18 (estimated to be roughly 40% of the people entering the CJS for the first time) and the official KPI is the proportion of young people aged 10 to 17 years old who live in the area who become </w:t>
      </w:r>
      <w:proofErr w:type="gramStart"/>
      <w:r w:rsidR="00D83601" w:rsidRPr="00231CEC">
        <w:t>a</w:t>
      </w:r>
      <w:proofErr w:type="gramEnd"/>
      <w:r w:rsidR="00D83601" w:rsidRPr="00231CEC">
        <w:t xml:space="preserve"> FTE.</w:t>
      </w:r>
    </w:p>
    <w:p w14:paraId="01DF898B" w14:textId="77777777" w:rsidR="00D83601" w:rsidRDefault="00D83601" w:rsidP="00B15E08">
      <w:pPr>
        <w:pStyle w:val="NoSpacing"/>
        <w:jc w:val="both"/>
      </w:pPr>
    </w:p>
    <w:p w14:paraId="61374A27" w14:textId="7E8C41E8" w:rsidR="00D83601" w:rsidRDefault="007D298D" w:rsidP="007D298D">
      <w:pPr>
        <w:pStyle w:val="NoSpacing"/>
        <w:ind w:left="720" w:hanging="720"/>
        <w:jc w:val="both"/>
      </w:pPr>
      <w:r>
        <w:t>8.2</w:t>
      </w:r>
      <w:r>
        <w:tab/>
      </w:r>
      <w:r w:rsidR="00D83601">
        <w:t>This KPI is sourced from the Police National Computer (PNC) but is also recorded and reported locally using the current case management system.</w:t>
      </w:r>
    </w:p>
    <w:p w14:paraId="6836A0FB" w14:textId="77777777" w:rsidR="00D83601" w:rsidRDefault="00D83601" w:rsidP="00B15E08">
      <w:pPr>
        <w:pStyle w:val="NoSpacing"/>
        <w:jc w:val="both"/>
        <w:rPr>
          <w:rFonts w:cstheme="minorHAnsi"/>
        </w:rPr>
      </w:pPr>
    </w:p>
    <w:p w14:paraId="0F0A3F84" w14:textId="2CC0DE0C" w:rsidR="00184862" w:rsidRPr="00C53B1E" w:rsidRDefault="008C79BD" w:rsidP="008C79BD">
      <w:pPr>
        <w:ind w:left="720" w:hanging="720"/>
        <w:jc w:val="both"/>
        <w:rPr>
          <w:rFonts w:cstheme="minorHAnsi"/>
        </w:rPr>
      </w:pPr>
      <w:r>
        <w:rPr>
          <w:rFonts w:cstheme="minorHAnsi"/>
        </w:rPr>
        <w:t>8.9</w:t>
      </w:r>
      <w:r>
        <w:rPr>
          <w:rFonts w:cstheme="minorHAnsi"/>
        </w:rPr>
        <w:tab/>
      </w:r>
      <w:r w:rsidR="00184862" w:rsidRPr="00C53B1E">
        <w:rPr>
          <w:rFonts w:cstheme="minorHAnsi"/>
        </w:rPr>
        <w:t xml:space="preserve">Nottingham City YJS remains well above family, core city and national figures for First Time Entrants. This plan demonstrates a range of interventions being implemented, piloted, and being sought through external commissioning to address these figures. For example, we have a well-established Targeted Youth Support team who work with children who have been identified as at risk of involvement in Child Criminal Exploitation and Serious Youth Violence; The Alternative Provision taskforce is working with children in schools on the cusp of exclusion and criminality and the Divert Plus scheme is working with children at point of arrest. We are also </w:t>
      </w:r>
      <w:r w:rsidR="00D11309" w:rsidRPr="00C53B1E">
        <w:rPr>
          <w:rFonts w:cstheme="minorHAnsi"/>
        </w:rPr>
        <w:t xml:space="preserve">delivering the Turnaround programme and have made recent bids for funding from the Immediate Justice programme to broaden further our </w:t>
      </w:r>
      <w:r w:rsidR="005C0394" w:rsidRPr="00C53B1E">
        <w:rPr>
          <w:rFonts w:cstheme="minorHAnsi"/>
        </w:rPr>
        <w:t>early intervention and prevention work</w:t>
      </w:r>
      <w:r w:rsidR="00184862" w:rsidRPr="00C53B1E">
        <w:rPr>
          <w:rFonts w:cstheme="minorHAnsi"/>
        </w:rPr>
        <w:t xml:space="preserve">. </w:t>
      </w:r>
    </w:p>
    <w:p w14:paraId="2BD3CFF1" w14:textId="4A6EDE10" w:rsidR="00184862" w:rsidRPr="00C53B1E" w:rsidRDefault="00184862" w:rsidP="00B15E08">
      <w:pPr>
        <w:jc w:val="both"/>
        <w:rPr>
          <w:rFonts w:cstheme="minorHAnsi"/>
          <w:b/>
          <w:bCs/>
        </w:rPr>
      </w:pPr>
      <w:r w:rsidRPr="00C53B1E">
        <w:rPr>
          <w:rFonts w:cstheme="minorHAnsi"/>
          <w:b/>
          <w:bCs/>
        </w:rPr>
        <w:t xml:space="preserve">Table </w:t>
      </w:r>
      <w:r w:rsidR="008150CF">
        <w:rPr>
          <w:rFonts w:cstheme="minorHAnsi"/>
          <w:b/>
          <w:bCs/>
        </w:rPr>
        <w:t>8</w:t>
      </w:r>
      <w:r w:rsidRPr="00C53B1E">
        <w:rPr>
          <w:rFonts w:cstheme="minorHAnsi"/>
          <w:b/>
          <w:bCs/>
        </w:rPr>
        <w:t>: First-time Entrant’s performance by quarters: 2017/18 to 2021/22</w:t>
      </w:r>
    </w:p>
    <w:tbl>
      <w:tblPr>
        <w:tblStyle w:val="TableGrid"/>
        <w:tblW w:w="8806" w:type="dxa"/>
        <w:jc w:val="center"/>
        <w:tblLayout w:type="fixed"/>
        <w:tblLook w:val="04A0" w:firstRow="1" w:lastRow="0" w:firstColumn="1" w:lastColumn="0" w:noHBand="0" w:noVBand="1"/>
      </w:tblPr>
      <w:tblGrid>
        <w:gridCol w:w="1467"/>
        <w:gridCol w:w="1468"/>
        <w:gridCol w:w="1468"/>
        <w:gridCol w:w="1467"/>
        <w:gridCol w:w="1468"/>
        <w:gridCol w:w="1468"/>
      </w:tblGrid>
      <w:tr w:rsidR="00184862" w:rsidRPr="00C53B1E" w14:paraId="4AB80802" w14:textId="77777777" w:rsidTr="00217EE8">
        <w:trPr>
          <w:trHeight w:val="320"/>
          <w:jc w:val="center"/>
        </w:trPr>
        <w:tc>
          <w:tcPr>
            <w:tcW w:w="1467"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77DD1110" w14:textId="77777777" w:rsidR="00184862" w:rsidRPr="00C53B1E" w:rsidRDefault="00184862" w:rsidP="00B15E08">
            <w:pPr>
              <w:keepNext/>
              <w:jc w:val="both"/>
              <w:rPr>
                <w:rFonts w:cstheme="minorHAnsi"/>
                <w:b/>
                <w:bCs/>
              </w:rPr>
            </w:pPr>
          </w:p>
        </w:tc>
        <w:tc>
          <w:tcPr>
            <w:tcW w:w="1468" w:type="dxa"/>
            <w:tcBorders>
              <w:top w:val="double" w:sz="4" w:space="0" w:color="auto"/>
              <w:left w:val="nil"/>
              <w:bottom w:val="double" w:sz="4" w:space="0" w:color="auto"/>
              <w:right w:val="double" w:sz="4" w:space="0" w:color="auto"/>
            </w:tcBorders>
            <w:shd w:val="clear" w:color="auto" w:fill="FFF2CC" w:themeFill="accent4" w:themeFillTint="33"/>
            <w:vAlign w:val="center"/>
          </w:tcPr>
          <w:p w14:paraId="76E47BB6" w14:textId="77777777" w:rsidR="00184862" w:rsidRPr="00C53B1E" w:rsidRDefault="00184862" w:rsidP="00B15E08">
            <w:pPr>
              <w:jc w:val="both"/>
              <w:rPr>
                <w:rFonts w:cstheme="minorHAnsi"/>
                <w:b/>
                <w:bCs/>
              </w:rPr>
            </w:pPr>
            <w:r w:rsidRPr="00C53B1E">
              <w:rPr>
                <w:rFonts w:cstheme="minorHAnsi"/>
                <w:b/>
                <w:bCs/>
              </w:rPr>
              <w:t>Q1</w:t>
            </w:r>
          </w:p>
        </w:tc>
        <w:tc>
          <w:tcPr>
            <w:tcW w:w="1468" w:type="dxa"/>
            <w:tcBorders>
              <w:top w:val="double" w:sz="4" w:space="0" w:color="auto"/>
              <w:left w:val="nil"/>
              <w:bottom w:val="double" w:sz="4" w:space="0" w:color="auto"/>
              <w:right w:val="double" w:sz="4" w:space="0" w:color="auto"/>
            </w:tcBorders>
            <w:shd w:val="clear" w:color="auto" w:fill="FFF2CC" w:themeFill="accent4" w:themeFillTint="33"/>
            <w:vAlign w:val="center"/>
          </w:tcPr>
          <w:p w14:paraId="366ADA59" w14:textId="77777777" w:rsidR="00184862" w:rsidRPr="00C53B1E" w:rsidRDefault="00184862" w:rsidP="00B15E08">
            <w:pPr>
              <w:jc w:val="both"/>
              <w:rPr>
                <w:rFonts w:cstheme="minorHAnsi"/>
                <w:b/>
                <w:bCs/>
              </w:rPr>
            </w:pPr>
            <w:r w:rsidRPr="00C53B1E">
              <w:rPr>
                <w:rFonts w:cstheme="minorHAnsi"/>
                <w:b/>
                <w:bCs/>
              </w:rPr>
              <w:t>Q2</w:t>
            </w:r>
          </w:p>
        </w:tc>
        <w:tc>
          <w:tcPr>
            <w:tcW w:w="1467" w:type="dxa"/>
            <w:tcBorders>
              <w:top w:val="double" w:sz="4" w:space="0" w:color="auto"/>
              <w:left w:val="nil"/>
              <w:bottom w:val="double" w:sz="4" w:space="0" w:color="auto"/>
              <w:right w:val="double" w:sz="4" w:space="0" w:color="auto"/>
            </w:tcBorders>
            <w:shd w:val="clear" w:color="auto" w:fill="FFF2CC" w:themeFill="accent4" w:themeFillTint="33"/>
            <w:vAlign w:val="center"/>
          </w:tcPr>
          <w:p w14:paraId="3C474B18" w14:textId="77777777" w:rsidR="00184862" w:rsidRPr="00C53B1E" w:rsidRDefault="00184862" w:rsidP="00B15E08">
            <w:pPr>
              <w:jc w:val="both"/>
              <w:rPr>
                <w:rFonts w:cstheme="minorHAnsi"/>
                <w:b/>
                <w:bCs/>
              </w:rPr>
            </w:pPr>
            <w:r w:rsidRPr="00C53B1E">
              <w:rPr>
                <w:rFonts w:cstheme="minorHAnsi"/>
                <w:b/>
                <w:bCs/>
              </w:rPr>
              <w:t>Q3</w:t>
            </w:r>
          </w:p>
        </w:tc>
        <w:tc>
          <w:tcPr>
            <w:tcW w:w="1468" w:type="dxa"/>
            <w:tcBorders>
              <w:top w:val="double" w:sz="4" w:space="0" w:color="auto"/>
              <w:left w:val="nil"/>
              <w:bottom w:val="double" w:sz="4" w:space="0" w:color="auto"/>
              <w:right w:val="nil"/>
            </w:tcBorders>
            <w:shd w:val="clear" w:color="auto" w:fill="FFF2CC" w:themeFill="accent4" w:themeFillTint="33"/>
            <w:vAlign w:val="center"/>
          </w:tcPr>
          <w:p w14:paraId="1618AB7E" w14:textId="77777777" w:rsidR="00184862" w:rsidRPr="00C53B1E" w:rsidRDefault="00184862" w:rsidP="00B15E08">
            <w:pPr>
              <w:jc w:val="both"/>
              <w:rPr>
                <w:rFonts w:cstheme="minorHAnsi"/>
                <w:b/>
                <w:bCs/>
              </w:rPr>
            </w:pPr>
            <w:r w:rsidRPr="00C53B1E">
              <w:rPr>
                <w:rFonts w:cstheme="minorHAnsi"/>
                <w:b/>
                <w:bCs/>
              </w:rPr>
              <w:t>Q4</w:t>
            </w:r>
          </w:p>
        </w:tc>
        <w:tc>
          <w:tcPr>
            <w:tcW w:w="1468" w:type="dxa"/>
            <w:tcBorders>
              <w:top w:val="double" w:sz="4" w:space="0" w:color="auto"/>
              <w:left w:val="double" w:sz="4" w:space="0" w:color="auto"/>
              <w:bottom w:val="double" w:sz="4" w:space="0" w:color="auto"/>
              <w:right w:val="double" w:sz="4" w:space="0" w:color="auto"/>
            </w:tcBorders>
            <w:shd w:val="clear" w:color="auto" w:fill="FFF2CC" w:themeFill="accent4" w:themeFillTint="33"/>
            <w:vAlign w:val="center"/>
          </w:tcPr>
          <w:p w14:paraId="4B77B719" w14:textId="77777777" w:rsidR="00184862" w:rsidRPr="00C53B1E" w:rsidRDefault="00184862" w:rsidP="00B15E08">
            <w:pPr>
              <w:jc w:val="both"/>
              <w:rPr>
                <w:rFonts w:cstheme="minorHAnsi"/>
                <w:b/>
                <w:bCs/>
              </w:rPr>
            </w:pPr>
            <w:r w:rsidRPr="00C53B1E">
              <w:rPr>
                <w:rFonts w:cstheme="minorHAnsi"/>
                <w:b/>
                <w:bCs/>
              </w:rPr>
              <w:t>Total</w:t>
            </w:r>
          </w:p>
        </w:tc>
      </w:tr>
      <w:tr w:rsidR="00184862" w:rsidRPr="00C53B1E" w14:paraId="6C733CFD"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11180AF9" w14:textId="77777777" w:rsidR="00184862" w:rsidRPr="00C53B1E" w:rsidRDefault="00184862" w:rsidP="00B15E08">
            <w:pPr>
              <w:jc w:val="both"/>
              <w:rPr>
                <w:rFonts w:cstheme="minorHAnsi"/>
                <w:b/>
                <w:bCs/>
              </w:rPr>
            </w:pPr>
            <w:r w:rsidRPr="00C53B1E">
              <w:rPr>
                <w:rFonts w:cstheme="minorHAnsi"/>
                <w:b/>
                <w:bCs/>
              </w:rPr>
              <w:t>2017-18</w:t>
            </w:r>
          </w:p>
        </w:tc>
        <w:tc>
          <w:tcPr>
            <w:tcW w:w="1468" w:type="dxa"/>
            <w:tcBorders>
              <w:top w:val="nil"/>
              <w:left w:val="nil"/>
              <w:bottom w:val="double" w:sz="4" w:space="0" w:color="auto"/>
              <w:right w:val="double" w:sz="4" w:space="0" w:color="auto"/>
            </w:tcBorders>
            <w:vAlign w:val="center"/>
          </w:tcPr>
          <w:p w14:paraId="6269A88E" w14:textId="77777777" w:rsidR="00184862" w:rsidRPr="00C53B1E" w:rsidRDefault="00184862" w:rsidP="00B15E08">
            <w:pPr>
              <w:jc w:val="both"/>
              <w:rPr>
                <w:rFonts w:cstheme="minorHAnsi"/>
              </w:rPr>
            </w:pPr>
            <w:r w:rsidRPr="00C53B1E">
              <w:rPr>
                <w:rFonts w:cstheme="minorHAnsi"/>
                <w:bCs/>
              </w:rPr>
              <w:t>51</w:t>
            </w:r>
          </w:p>
        </w:tc>
        <w:tc>
          <w:tcPr>
            <w:tcW w:w="1468" w:type="dxa"/>
            <w:tcBorders>
              <w:top w:val="nil"/>
              <w:left w:val="nil"/>
              <w:bottom w:val="double" w:sz="4" w:space="0" w:color="auto"/>
              <w:right w:val="double" w:sz="4" w:space="0" w:color="auto"/>
            </w:tcBorders>
            <w:vAlign w:val="center"/>
          </w:tcPr>
          <w:p w14:paraId="0A742EF9" w14:textId="77777777" w:rsidR="00184862" w:rsidRPr="00C53B1E" w:rsidRDefault="00184862" w:rsidP="00B15E08">
            <w:pPr>
              <w:jc w:val="both"/>
              <w:rPr>
                <w:rFonts w:cstheme="minorHAnsi"/>
              </w:rPr>
            </w:pPr>
            <w:r w:rsidRPr="00C53B1E">
              <w:rPr>
                <w:rFonts w:cstheme="minorHAnsi"/>
                <w:bCs/>
              </w:rPr>
              <w:t>34</w:t>
            </w:r>
          </w:p>
        </w:tc>
        <w:tc>
          <w:tcPr>
            <w:tcW w:w="1467" w:type="dxa"/>
            <w:tcBorders>
              <w:top w:val="nil"/>
              <w:left w:val="nil"/>
              <w:bottom w:val="double" w:sz="4" w:space="0" w:color="auto"/>
              <w:right w:val="double" w:sz="4" w:space="0" w:color="auto"/>
            </w:tcBorders>
            <w:vAlign w:val="center"/>
          </w:tcPr>
          <w:p w14:paraId="263AC2B4" w14:textId="77777777" w:rsidR="00184862" w:rsidRPr="00C53B1E" w:rsidRDefault="00184862" w:rsidP="00B15E08">
            <w:pPr>
              <w:jc w:val="both"/>
              <w:rPr>
                <w:rFonts w:cstheme="minorHAnsi"/>
              </w:rPr>
            </w:pPr>
            <w:r w:rsidRPr="00C53B1E">
              <w:rPr>
                <w:rFonts w:cstheme="minorHAnsi"/>
                <w:bCs/>
              </w:rPr>
              <w:t>49</w:t>
            </w:r>
          </w:p>
        </w:tc>
        <w:tc>
          <w:tcPr>
            <w:tcW w:w="1468" w:type="dxa"/>
            <w:tcBorders>
              <w:top w:val="nil"/>
              <w:left w:val="nil"/>
              <w:bottom w:val="double" w:sz="4" w:space="0" w:color="auto"/>
              <w:right w:val="nil"/>
            </w:tcBorders>
            <w:vAlign w:val="center"/>
          </w:tcPr>
          <w:p w14:paraId="374C285E" w14:textId="77777777" w:rsidR="00184862" w:rsidRPr="00C53B1E" w:rsidRDefault="00184862" w:rsidP="00B15E08">
            <w:pPr>
              <w:jc w:val="both"/>
              <w:rPr>
                <w:rFonts w:cstheme="minorHAnsi"/>
              </w:rPr>
            </w:pPr>
            <w:r w:rsidRPr="00C53B1E">
              <w:rPr>
                <w:rFonts w:cstheme="minorHAnsi"/>
                <w:bCs/>
              </w:rPr>
              <w:t>43</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7FB561BB" w14:textId="77777777" w:rsidR="00184862" w:rsidRPr="00C53B1E" w:rsidRDefault="00184862" w:rsidP="00B15E08">
            <w:pPr>
              <w:jc w:val="both"/>
              <w:rPr>
                <w:rFonts w:cstheme="minorHAnsi"/>
                <w:b/>
                <w:bCs/>
              </w:rPr>
            </w:pPr>
            <w:r w:rsidRPr="00C53B1E">
              <w:rPr>
                <w:rFonts w:cstheme="minorHAnsi"/>
                <w:b/>
                <w:bCs/>
              </w:rPr>
              <w:t>177</w:t>
            </w:r>
          </w:p>
        </w:tc>
      </w:tr>
      <w:tr w:rsidR="00184862" w:rsidRPr="00C53B1E" w14:paraId="36121BA5"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1BF7B212" w14:textId="77777777" w:rsidR="00184862" w:rsidRPr="00C53B1E" w:rsidRDefault="00184862" w:rsidP="00B15E08">
            <w:pPr>
              <w:jc w:val="both"/>
              <w:rPr>
                <w:rFonts w:cstheme="minorHAnsi"/>
                <w:b/>
                <w:bCs/>
              </w:rPr>
            </w:pPr>
            <w:r w:rsidRPr="00C53B1E">
              <w:rPr>
                <w:rFonts w:cstheme="minorHAnsi"/>
                <w:b/>
                <w:bCs/>
              </w:rPr>
              <w:t>2018-19</w:t>
            </w:r>
          </w:p>
        </w:tc>
        <w:tc>
          <w:tcPr>
            <w:tcW w:w="1468" w:type="dxa"/>
            <w:tcBorders>
              <w:top w:val="nil"/>
              <w:left w:val="nil"/>
              <w:bottom w:val="double" w:sz="4" w:space="0" w:color="auto"/>
              <w:right w:val="double" w:sz="4" w:space="0" w:color="auto"/>
            </w:tcBorders>
            <w:shd w:val="clear" w:color="auto" w:fill="FFFFFF"/>
            <w:vAlign w:val="center"/>
          </w:tcPr>
          <w:p w14:paraId="08770F45" w14:textId="77777777" w:rsidR="00184862" w:rsidRPr="00C53B1E" w:rsidRDefault="00184862" w:rsidP="00B15E08">
            <w:pPr>
              <w:jc w:val="both"/>
              <w:rPr>
                <w:rFonts w:cstheme="minorHAnsi"/>
              </w:rPr>
            </w:pPr>
            <w:r w:rsidRPr="00C53B1E">
              <w:rPr>
                <w:rFonts w:cstheme="minorHAnsi"/>
                <w:bCs/>
              </w:rPr>
              <w:t>41</w:t>
            </w:r>
          </w:p>
        </w:tc>
        <w:tc>
          <w:tcPr>
            <w:tcW w:w="1468" w:type="dxa"/>
            <w:tcBorders>
              <w:top w:val="nil"/>
              <w:left w:val="nil"/>
              <w:bottom w:val="double" w:sz="4" w:space="0" w:color="auto"/>
              <w:right w:val="double" w:sz="4" w:space="0" w:color="auto"/>
            </w:tcBorders>
            <w:shd w:val="clear" w:color="auto" w:fill="FFFFFF"/>
            <w:vAlign w:val="center"/>
          </w:tcPr>
          <w:p w14:paraId="5A917C6B" w14:textId="77777777" w:rsidR="00184862" w:rsidRPr="00C53B1E" w:rsidRDefault="00184862" w:rsidP="00B15E08">
            <w:pPr>
              <w:jc w:val="both"/>
              <w:rPr>
                <w:rFonts w:cstheme="minorHAnsi"/>
              </w:rPr>
            </w:pPr>
            <w:r w:rsidRPr="00C53B1E">
              <w:rPr>
                <w:rFonts w:cstheme="minorHAnsi"/>
                <w:bCs/>
              </w:rPr>
              <w:t>44</w:t>
            </w:r>
          </w:p>
        </w:tc>
        <w:tc>
          <w:tcPr>
            <w:tcW w:w="1467" w:type="dxa"/>
            <w:tcBorders>
              <w:top w:val="nil"/>
              <w:left w:val="nil"/>
              <w:bottom w:val="double" w:sz="4" w:space="0" w:color="auto"/>
              <w:right w:val="double" w:sz="4" w:space="0" w:color="auto"/>
            </w:tcBorders>
            <w:vAlign w:val="center"/>
          </w:tcPr>
          <w:p w14:paraId="1A5EF11C" w14:textId="77777777" w:rsidR="00184862" w:rsidRPr="00C53B1E" w:rsidRDefault="00184862" w:rsidP="00B15E08">
            <w:pPr>
              <w:jc w:val="both"/>
              <w:rPr>
                <w:rFonts w:cstheme="minorHAnsi"/>
              </w:rPr>
            </w:pPr>
            <w:r w:rsidRPr="00C53B1E">
              <w:rPr>
                <w:rFonts w:cstheme="minorHAnsi"/>
                <w:bCs/>
              </w:rPr>
              <w:t>31</w:t>
            </w:r>
          </w:p>
        </w:tc>
        <w:tc>
          <w:tcPr>
            <w:tcW w:w="1468" w:type="dxa"/>
            <w:tcBorders>
              <w:top w:val="nil"/>
              <w:left w:val="nil"/>
              <w:bottom w:val="double" w:sz="4" w:space="0" w:color="auto"/>
              <w:right w:val="nil"/>
            </w:tcBorders>
            <w:vAlign w:val="center"/>
          </w:tcPr>
          <w:p w14:paraId="475489A7" w14:textId="77777777" w:rsidR="00184862" w:rsidRPr="00C53B1E" w:rsidRDefault="00184862" w:rsidP="00B15E08">
            <w:pPr>
              <w:jc w:val="both"/>
              <w:rPr>
                <w:rFonts w:cstheme="minorHAnsi"/>
              </w:rPr>
            </w:pPr>
            <w:r w:rsidRPr="00C53B1E">
              <w:rPr>
                <w:rFonts w:cstheme="minorHAnsi"/>
                <w:bCs/>
              </w:rPr>
              <w:t>44</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11319447" w14:textId="77777777" w:rsidR="00184862" w:rsidRPr="00C53B1E" w:rsidRDefault="00184862" w:rsidP="00B15E08">
            <w:pPr>
              <w:jc w:val="both"/>
              <w:rPr>
                <w:rFonts w:cstheme="minorHAnsi"/>
                <w:b/>
                <w:bCs/>
              </w:rPr>
            </w:pPr>
            <w:r w:rsidRPr="00C53B1E">
              <w:rPr>
                <w:rFonts w:cstheme="minorHAnsi"/>
                <w:b/>
                <w:bCs/>
              </w:rPr>
              <w:t>160</w:t>
            </w:r>
          </w:p>
        </w:tc>
      </w:tr>
      <w:tr w:rsidR="00184862" w:rsidRPr="00C53B1E" w14:paraId="7BFC0DB0"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6FBB5717" w14:textId="77777777" w:rsidR="00184862" w:rsidRPr="00C53B1E" w:rsidRDefault="00184862" w:rsidP="00B15E08">
            <w:pPr>
              <w:jc w:val="both"/>
              <w:rPr>
                <w:rFonts w:cstheme="minorHAnsi"/>
                <w:b/>
                <w:bCs/>
              </w:rPr>
            </w:pPr>
            <w:r w:rsidRPr="00C53B1E">
              <w:rPr>
                <w:rFonts w:cstheme="minorHAnsi"/>
                <w:b/>
                <w:bCs/>
              </w:rPr>
              <w:t>2019-20</w:t>
            </w:r>
          </w:p>
        </w:tc>
        <w:tc>
          <w:tcPr>
            <w:tcW w:w="1468" w:type="dxa"/>
            <w:tcBorders>
              <w:top w:val="nil"/>
              <w:left w:val="nil"/>
              <w:bottom w:val="double" w:sz="4" w:space="0" w:color="auto"/>
              <w:right w:val="double" w:sz="4" w:space="0" w:color="auto"/>
            </w:tcBorders>
            <w:shd w:val="clear" w:color="auto" w:fill="FFFFFF"/>
            <w:vAlign w:val="center"/>
          </w:tcPr>
          <w:p w14:paraId="0108F882" w14:textId="77777777" w:rsidR="00184862" w:rsidRPr="00C53B1E" w:rsidRDefault="00184862" w:rsidP="00B15E08">
            <w:pPr>
              <w:jc w:val="both"/>
              <w:rPr>
                <w:rFonts w:cstheme="minorHAnsi"/>
                <w:bCs/>
              </w:rPr>
            </w:pPr>
            <w:r w:rsidRPr="00C53B1E">
              <w:rPr>
                <w:rFonts w:cstheme="minorHAnsi"/>
              </w:rPr>
              <w:t>35</w:t>
            </w:r>
          </w:p>
        </w:tc>
        <w:tc>
          <w:tcPr>
            <w:tcW w:w="1468" w:type="dxa"/>
            <w:tcBorders>
              <w:top w:val="nil"/>
              <w:left w:val="nil"/>
              <w:bottom w:val="double" w:sz="4" w:space="0" w:color="auto"/>
              <w:right w:val="double" w:sz="4" w:space="0" w:color="auto"/>
            </w:tcBorders>
            <w:vAlign w:val="center"/>
          </w:tcPr>
          <w:p w14:paraId="50323D1C" w14:textId="77777777" w:rsidR="00184862" w:rsidRPr="00C53B1E" w:rsidRDefault="00184862" w:rsidP="00B15E08">
            <w:pPr>
              <w:jc w:val="both"/>
              <w:rPr>
                <w:rFonts w:cstheme="minorHAnsi"/>
                <w:bCs/>
              </w:rPr>
            </w:pPr>
            <w:r w:rsidRPr="00C53B1E">
              <w:rPr>
                <w:rFonts w:cstheme="minorHAnsi"/>
              </w:rPr>
              <w:t>40</w:t>
            </w:r>
          </w:p>
        </w:tc>
        <w:tc>
          <w:tcPr>
            <w:tcW w:w="1467" w:type="dxa"/>
            <w:tcBorders>
              <w:top w:val="nil"/>
              <w:left w:val="nil"/>
              <w:bottom w:val="double" w:sz="4" w:space="0" w:color="auto"/>
              <w:right w:val="double" w:sz="4" w:space="0" w:color="auto"/>
            </w:tcBorders>
            <w:vAlign w:val="center"/>
          </w:tcPr>
          <w:p w14:paraId="325F499E" w14:textId="77777777" w:rsidR="00184862" w:rsidRPr="00C53B1E" w:rsidRDefault="00184862" w:rsidP="00B15E08">
            <w:pPr>
              <w:jc w:val="both"/>
              <w:rPr>
                <w:rFonts w:cstheme="minorHAnsi"/>
                <w:bCs/>
              </w:rPr>
            </w:pPr>
            <w:r w:rsidRPr="00C53B1E">
              <w:rPr>
                <w:rFonts w:cstheme="minorHAnsi"/>
              </w:rPr>
              <w:t>30</w:t>
            </w:r>
          </w:p>
        </w:tc>
        <w:tc>
          <w:tcPr>
            <w:tcW w:w="1468" w:type="dxa"/>
            <w:tcBorders>
              <w:top w:val="nil"/>
              <w:left w:val="nil"/>
              <w:bottom w:val="double" w:sz="4" w:space="0" w:color="auto"/>
              <w:right w:val="nil"/>
            </w:tcBorders>
            <w:vAlign w:val="center"/>
          </w:tcPr>
          <w:p w14:paraId="0C980DAA" w14:textId="77777777" w:rsidR="00184862" w:rsidRPr="00C53B1E" w:rsidRDefault="00184862" w:rsidP="00B15E08">
            <w:pPr>
              <w:jc w:val="both"/>
              <w:rPr>
                <w:rFonts w:cstheme="minorHAnsi"/>
                <w:bCs/>
              </w:rPr>
            </w:pPr>
            <w:r w:rsidRPr="00C53B1E">
              <w:rPr>
                <w:rFonts w:cstheme="minorHAnsi"/>
              </w:rPr>
              <w:t>48</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4050EF60" w14:textId="77777777" w:rsidR="00184862" w:rsidRPr="00C53B1E" w:rsidRDefault="00184862" w:rsidP="00B15E08">
            <w:pPr>
              <w:jc w:val="both"/>
              <w:rPr>
                <w:rFonts w:cstheme="minorHAnsi"/>
                <w:b/>
                <w:bCs/>
              </w:rPr>
            </w:pPr>
            <w:r w:rsidRPr="00C53B1E">
              <w:rPr>
                <w:rFonts w:cstheme="minorHAnsi"/>
                <w:b/>
                <w:bCs/>
              </w:rPr>
              <w:t>153</w:t>
            </w:r>
          </w:p>
        </w:tc>
      </w:tr>
      <w:tr w:rsidR="00184862" w:rsidRPr="00C53B1E" w14:paraId="5D54568C"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0FA614A6" w14:textId="77777777" w:rsidR="00184862" w:rsidRPr="00C53B1E" w:rsidRDefault="00184862" w:rsidP="00B15E08">
            <w:pPr>
              <w:jc w:val="both"/>
              <w:rPr>
                <w:rFonts w:cstheme="minorHAnsi"/>
                <w:b/>
                <w:bCs/>
              </w:rPr>
            </w:pPr>
            <w:r w:rsidRPr="00C53B1E">
              <w:rPr>
                <w:rFonts w:cstheme="minorHAnsi"/>
                <w:b/>
                <w:bCs/>
              </w:rPr>
              <w:t>2020-21</w:t>
            </w:r>
          </w:p>
        </w:tc>
        <w:tc>
          <w:tcPr>
            <w:tcW w:w="1468" w:type="dxa"/>
            <w:tcBorders>
              <w:top w:val="nil"/>
              <w:left w:val="nil"/>
              <w:bottom w:val="double" w:sz="4" w:space="0" w:color="auto"/>
              <w:right w:val="double" w:sz="4" w:space="0" w:color="auto"/>
            </w:tcBorders>
            <w:vAlign w:val="center"/>
          </w:tcPr>
          <w:p w14:paraId="7172D395" w14:textId="77777777" w:rsidR="00184862" w:rsidRPr="00C53B1E" w:rsidRDefault="00184862" w:rsidP="00B15E08">
            <w:pPr>
              <w:jc w:val="both"/>
              <w:rPr>
                <w:rFonts w:cstheme="minorHAnsi"/>
              </w:rPr>
            </w:pPr>
            <w:r w:rsidRPr="00C53B1E">
              <w:rPr>
                <w:rFonts w:cstheme="minorHAnsi"/>
                <w:bCs/>
              </w:rPr>
              <w:t>8</w:t>
            </w:r>
          </w:p>
        </w:tc>
        <w:tc>
          <w:tcPr>
            <w:tcW w:w="1468" w:type="dxa"/>
            <w:tcBorders>
              <w:top w:val="nil"/>
              <w:left w:val="nil"/>
              <w:bottom w:val="double" w:sz="4" w:space="0" w:color="auto"/>
              <w:right w:val="double" w:sz="4" w:space="0" w:color="auto"/>
            </w:tcBorders>
            <w:vAlign w:val="center"/>
          </w:tcPr>
          <w:p w14:paraId="5D2BEC92" w14:textId="77777777" w:rsidR="00184862" w:rsidRPr="00C53B1E" w:rsidRDefault="00184862" w:rsidP="00B15E08">
            <w:pPr>
              <w:jc w:val="both"/>
              <w:rPr>
                <w:rFonts w:cstheme="minorHAnsi"/>
              </w:rPr>
            </w:pPr>
            <w:r w:rsidRPr="00C53B1E">
              <w:rPr>
                <w:rFonts w:cstheme="minorHAnsi"/>
                <w:bCs/>
              </w:rPr>
              <w:t>36</w:t>
            </w:r>
          </w:p>
        </w:tc>
        <w:tc>
          <w:tcPr>
            <w:tcW w:w="1467" w:type="dxa"/>
            <w:tcBorders>
              <w:top w:val="nil"/>
              <w:left w:val="nil"/>
              <w:bottom w:val="double" w:sz="4" w:space="0" w:color="auto"/>
              <w:right w:val="double" w:sz="4" w:space="0" w:color="auto"/>
            </w:tcBorders>
            <w:vAlign w:val="center"/>
          </w:tcPr>
          <w:p w14:paraId="791F772D" w14:textId="77777777" w:rsidR="00184862" w:rsidRPr="00C53B1E" w:rsidRDefault="00184862" w:rsidP="00B15E08">
            <w:pPr>
              <w:jc w:val="both"/>
              <w:rPr>
                <w:rFonts w:cstheme="minorHAnsi"/>
              </w:rPr>
            </w:pPr>
            <w:r w:rsidRPr="00C53B1E">
              <w:rPr>
                <w:rFonts w:cstheme="minorHAnsi"/>
                <w:bCs/>
              </w:rPr>
              <w:t>36</w:t>
            </w:r>
          </w:p>
        </w:tc>
        <w:tc>
          <w:tcPr>
            <w:tcW w:w="1468" w:type="dxa"/>
            <w:tcBorders>
              <w:top w:val="nil"/>
              <w:left w:val="nil"/>
              <w:bottom w:val="double" w:sz="4" w:space="0" w:color="auto"/>
              <w:right w:val="nil"/>
            </w:tcBorders>
            <w:vAlign w:val="center"/>
          </w:tcPr>
          <w:p w14:paraId="472BE6E5" w14:textId="77777777" w:rsidR="00184862" w:rsidRPr="00C53B1E" w:rsidRDefault="00184862" w:rsidP="00B15E08">
            <w:pPr>
              <w:jc w:val="both"/>
              <w:rPr>
                <w:rFonts w:cstheme="minorHAnsi"/>
              </w:rPr>
            </w:pPr>
            <w:r w:rsidRPr="00C53B1E">
              <w:rPr>
                <w:rFonts w:cstheme="minorHAnsi"/>
                <w:bCs/>
              </w:rPr>
              <w:t>33</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7A45A83E" w14:textId="77777777" w:rsidR="00184862" w:rsidRPr="00C53B1E" w:rsidRDefault="00184862" w:rsidP="00B15E08">
            <w:pPr>
              <w:jc w:val="both"/>
              <w:rPr>
                <w:rFonts w:cstheme="minorHAnsi"/>
                <w:b/>
                <w:bCs/>
              </w:rPr>
            </w:pPr>
            <w:r w:rsidRPr="00C53B1E">
              <w:rPr>
                <w:rFonts w:cstheme="minorHAnsi"/>
                <w:b/>
                <w:bCs/>
              </w:rPr>
              <w:t>113</w:t>
            </w:r>
          </w:p>
        </w:tc>
      </w:tr>
      <w:tr w:rsidR="00184862" w:rsidRPr="00C53B1E" w14:paraId="18AB500E"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078914CD" w14:textId="77777777" w:rsidR="00184862" w:rsidRPr="00C53B1E" w:rsidRDefault="00184862" w:rsidP="00B15E08">
            <w:pPr>
              <w:jc w:val="both"/>
              <w:rPr>
                <w:rFonts w:cstheme="minorHAnsi"/>
                <w:b/>
                <w:bCs/>
              </w:rPr>
            </w:pPr>
            <w:r w:rsidRPr="00C53B1E">
              <w:rPr>
                <w:rFonts w:cstheme="minorHAnsi"/>
                <w:b/>
                <w:bCs/>
              </w:rPr>
              <w:t>2021-22</w:t>
            </w:r>
          </w:p>
        </w:tc>
        <w:tc>
          <w:tcPr>
            <w:tcW w:w="1468" w:type="dxa"/>
            <w:tcBorders>
              <w:top w:val="nil"/>
              <w:left w:val="nil"/>
              <w:bottom w:val="double" w:sz="4" w:space="0" w:color="auto"/>
              <w:right w:val="double" w:sz="4" w:space="0" w:color="auto"/>
            </w:tcBorders>
            <w:vAlign w:val="center"/>
          </w:tcPr>
          <w:p w14:paraId="30EFAB14" w14:textId="77777777" w:rsidR="00184862" w:rsidRPr="00C53B1E" w:rsidRDefault="00184862" w:rsidP="00B15E08">
            <w:pPr>
              <w:jc w:val="both"/>
              <w:rPr>
                <w:rFonts w:cstheme="minorHAnsi"/>
                <w:bCs/>
              </w:rPr>
            </w:pPr>
            <w:r w:rsidRPr="00C53B1E">
              <w:rPr>
                <w:rFonts w:cstheme="minorHAnsi"/>
                <w:bCs/>
              </w:rPr>
              <w:t>29</w:t>
            </w:r>
          </w:p>
        </w:tc>
        <w:tc>
          <w:tcPr>
            <w:tcW w:w="1468" w:type="dxa"/>
            <w:tcBorders>
              <w:top w:val="nil"/>
              <w:left w:val="nil"/>
              <w:bottom w:val="double" w:sz="4" w:space="0" w:color="auto"/>
              <w:right w:val="double" w:sz="4" w:space="0" w:color="auto"/>
            </w:tcBorders>
            <w:vAlign w:val="center"/>
          </w:tcPr>
          <w:p w14:paraId="7582F75A" w14:textId="77777777" w:rsidR="00184862" w:rsidRPr="00C53B1E" w:rsidRDefault="00184862" w:rsidP="00B15E08">
            <w:pPr>
              <w:jc w:val="both"/>
              <w:rPr>
                <w:rFonts w:cstheme="minorHAnsi"/>
                <w:bCs/>
              </w:rPr>
            </w:pPr>
            <w:r w:rsidRPr="00C53B1E">
              <w:rPr>
                <w:rFonts w:cstheme="minorHAnsi"/>
                <w:bCs/>
              </w:rPr>
              <w:t>27</w:t>
            </w:r>
          </w:p>
        </w:tc>
        <w:tc>
          <w:tcPr>
            <w:tcW w:w="1467" w:type="dxa"/>
            <w:tcBorders>
              <w:top w:val="nil"/>
              <w:left w:val="nil"/>
              <w:bottom w:val="double" w:sz="4" w:space="0" w:color="auto"/>
              <w:right w:val="double" w:sz="4" w:space="0" w:color="auto"/>
            </w:tcBorders>
            <w:vAlign w:val="center"/>
          </w:tcPr>
          <w:p w14:paraId="3C5836C6" w14:textId="77777777" w:rsidR="00184862" w:rsidRPr="00C53B1E" w:rsidRDefault="00184862" w:rsidP="00B15E08">
            <w:pPr>
              <w:jc w:val="both"/>
              <w:rPr>
                <w:rFonts w:cstheme="minorHAnsi"/>
                <w:bCs/>
              </w:rPr>
            </w:pPr>
            <w:r w:rsidRPr="00C53B1E">
              <w:rPr>
                <w:rFonts w:cstheme="minorHAnsi"/>
                <w:bCs/>
              </w:rPr>
              <w:t>36</w:t>
            </w:r>
          </w:p>
        </w:tc>
        <w:tc>
          <w:tcPr>
            <w:tcW w:w="1468" w:type="dxa"/>
            <w:tcBorders>
              <w:top w:val="nil"/>
              <w:left w:val="nil"/>
              <w:bottom w:val="double" w:sz="4" w:space="0" w:color="auto"/>
              <w:right w:val="nil"/>
            </w:tcBorders>
            <w:vAlign w:val="center"/>
          </w:tcPr>
          <w:p w14:paraId="1F3A262B" w14:textId="77777777" w:rsidR="00184862" w:rsidRPr="00C53B1E" w:rsidRDefault="00184862" w:rsidP="00B15E08">
            <w:pPr>
              <w:jc w:val="both"/>
              <w:rPr>
                <w:rFonts w:cstheme="minorHAnsi"/>
                <w:bCs/>
              </w:rPr>
            </w:pPr>
            <w:r w:rsidRPr="00C53B1E">
              <w:rPr>
                <w:rFonts w:cstheme="minorHAnsi"/>
                <w:bCs/>
              </w:rPr>
              <w:t>31</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14D70A1A" w14:textId="77777777" w:rsidR="00184862" w:rsidRPr="00C53B1E" w:rsidRDefault="00184862" w:rsidP="00B15E08">
            <w:pPr>
              <w:jc w:val="both"/>
              <w:rPr>
                <w:rFonts w:cstheme="minorHAnsi"/>
                <w:b/>
                <w:bCs/>
              </w:rPr>
            </w:pPr>
            <w:r w:rsidRPr="00C53B1E">
              <w:rPr>
                <w:rFonts w:cstheme="minorHAnsi"/>
                <w:b/>
                <w:bCs/>
              </w:rPr>
              <w:t>123</w:t>
            </w:r>
          </w:p>
        </w:tc>
      </w:tr>
      <w:tr w:rsidR="00184862" w:rsidRPr="00C53B1E" w14:paraId="2F102A73" w14:textId="77777777" w:rsidTr="00217EE8">
        <w:trPr>
          <w:trHeight w:val="320"/>
          <w:jc w:val="center"/>
        </w:trPr>
        <w:tc>
          <w:tcPr>
            <w:tcW w:w="1467"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7F2ADCEF" w14:textId="77777777" w:rsidR="00184862" w:rsidRPr="00C53B1E" w:rsidRDefault="00184862" w:rsidP="00B15E08">
            <w:pPr>
              <w:jc w:val="both"/>
              <w:rPr>
                <w:rFonts w:cstheme="minorHAnsi"/>
                <w:b/>
                <w:bCs/>
              </w:rPr>
            </w:pPr>
            <w:r w:rsidRPr="00C53B1E">
              <w:rPr>
                <w:rFonts w:cstheme="minorHAnsi"/>
                <w:b/>
                <w:bCs/>
              </w:rPr>
              <w:t>2022-23</w:t>
            </w:r>
          </w:p>
        </w:tc>
        <w:tc>
          <w:tcPr>
            <w:tcW w:w="1468" w:type="dxa"/>
            <w:tcBorders>
              <w:top w:val="nil"/>
              <w:left w:val="nil"/>
              <w:bottom w:val="double" w:sz="4" w:space="0" w:color="auto"/>
              <w:right w:val="double" w:sz="4" w:space="0" w:color="auto"/>
            </w:tcBorders>
            <w:shd w:val="clear" w:color="auto" w:fill="FFF2CC" w:themeFill="accent4" w:themeFillTint="33"/>
            <w:vAlign w:val="center"/>
          </w:tcPr>
          <w:p w14:paraId="2A6AB157" w14:textId="77777777" w:rsidR="00184862" w:rsidRPr="00C53B1E" w:rsidRDefault="00184862" w:rsidP="00B15E08">
            <w:pPr>
              <w:jc w:val="both"/>
              <w:rPr>
                <w:rFonts w:cstheme="minorHAnsi"/>
                <w:bCs/>
              </w:rPr>
            </w:pPr>
            <w:r w:rsidRPr="00C53B1E">
              <w:rPr>
                <w:rFonts w:cstheme="minorHAnsi"/>
                <w:bCs/>
              </w:rPr>
              <w:t>41</w:t>
            </w:r>
          </w:p>
        </w:tc>
        <w:tc>
          <w:tcPr>
            <w:tcW w:w="1468" w:type="dxa"/>
            <w:tcBorders>
              <w:top w:val="nil"/>
              <w:left w:val="nil"/>
              <w:bottom w:val="double" w:sz="4" w:space="0" w:color="auto"/>
              <w:right w:val="double" w:sz="4" w:space="0" w:color="auto"/>
            </w:tcBorders>
            <w:shd w:val="clear" w:color="auto" w:fill="FFF2CC" w:themeFill="accent4" w:themeFillTint="33"/>
            <w:vAlign w:val="center"/>
          </w:tcPr>
          <w:p w14:paraId="5A221B77" w14:textId="77777777" w:rsidR="00184862" w:rsidRPr="00C53B1E" w:rsidRDefault="00184862" w:rsidP="00B15E08">
            <w:pPr>
              <w:jc w:val="both"/>
              <w:rPr>
                <w:rFonts w:cstheme="minorHAnsi"/>
                <w:bCs/>
              </w:rPr>
            </w:pPr>
            <w:r w:rsidRPr="00C53B1E">
              <w:rPr>
                <w:rFonts w:cstheme="minorHAnsi"/>
                <w:bCs/>
              </w:rPr>
              <w:t>46</w:t>
            </w:r>
          </w:p>
        </w:tc>
        <w:tc>
          <w:tcPr>
            <w:tcW w:w="1467" w:type="dxa"/>
            <w:tcBorders>
              <w:top w:val="nil"/>
              <w:left w:val="nil"/>
              <w:bottom w:val="double" w:sz="4" w:space="0" w:color="auto"/>
              <w:right w:val="double" w:sz="4" w:space="0" w:color="auto"/>
            </w:tcBorders>
            <w:shd w:val="clear" w:color="auto" w:fill="FFF2CC" w:themeFill="accent4" w:themeFillTint="33"/>
            <w:vAlign w:val="center"/>
          </w:tcPr>
          <w:p w14:paraId="69847B4C" w14:textId="77777777" w:rsidR="00184862" w:rsidRPr="00C53B1E" w:rsidRDefault="00184862" w:rsidP="00B15E08">
            <w:pPr>
              <w:jc w:val="both"/>
              <w:rPr>
                <w:rFonts w:cstheme="minorHAnsi"/>
                <w:bCs/>
              </w:rPr>
            </w:pPr>
            <w:r w:rsidRPr="00C53B1E">
              <w:rPr>
                <w:rFonts w:cstheme="minorHAnsi"/>
                <w:bCs/>
              </w:rPr>
              <w:t>30</w:t>
            </w:r>
          </w:p>
        </w:tc>
        <w:tc>
          <w:tcPr>
            <w:tcW w:w="1468" w:type="dxa"/>
            <w:tcBorders>
              <w:top w:val="nil"/>
              <w:left w:val="nil"/>
              <w:bottom w:val="double" w:sz="4" w:space="0" w:color="auto"/>
              <w:right w:val="nil"/>
            </w:tcBorders>
            <w:shd w:val="clear" w:color="auto" w:fill="FFF2CC" w:themeFill="accent4" w:themeFillTint="33"/>
            <w:vAlign w:val="center"/>
          </w:tcPr>
          <w:p w14:paraId="1A7AEF00" w14:textId="77777777" w:rsidR="00184862" w:rsidRPr="00C53B1E" w:rsidRDefault="00184862" w:rsidP="00B15E08">
            <w:pPr>
              <w:jc w:val="both"/>
              <w:rPr>
                <w:rFonts w:cstheme="minorHAnsi"/>
                <w:bCs/>
              </w:rPr>
            </w:pPr>
            <w:r w:rsidRPr="00C53B1E">
              <w:rPr>
                <w:rFonts w:cstheme="minorHAnsi"/>
                <w:bCs/>
              </w:rPr>
              <w:t>29</w:t>
            </w:r>
          </w:p>
        </w:tc>
        <w:tc>
          <w:tcPr>
            <w:tcW w:w="1468" w:type="dxa"/>
            <w:tcBorders>
              <w:top w:val="nil"/>
              <w:left w:val="double" w:sz="4" w:space="0" w:color="auto"/>
              <w:bottom w:val="double" w:sz="4" w:space="0" w:color="auto"/>
              <w:right w:val="double" w:sz="4" w:space="0" w:color="auto"/>
            </w:tcBorders>
            <w:shd w:val="clear" w:color="auto" w:fill="FFF2CC" w:themeFill="accent4" w:themeFillTint="33"/>
            <w:vAlign w:val="center"/>
          </w:tcPr>
          <w:p w14:paraId="792F850D" w14:textId="77777777" w:rsidR="00184862" w:rsidRPr="00C53B1E" w:rsidRDefault="00184862" w:rsidP="00B15E08">
            <w:pPr>
              <w:jc w:val="both"/>
              <w:rPr>
                <w:rFonts w:cstheme="minorHAnsi"/>
                <w:b/>
                <w:bCs/>
              </w:rPr>
            </w:pPr>
            <w:r w:rsidRPr="00C53B1E">
              <w:rPr>
                <w:rFonts w:cstheme="minorHAnsi"/>
                <w:b/>
                <w:bCs/>
              </w:rPr>
              <w:t>146</w:t>
            </w:r>
          </w:p>
        </w:tc>
      </w:tr>
    </w:tbl>
    <w:p w14:paraId="1A3958D1" w14:textId="77777777" w:rsidR="00184862" w:rsidRPr="00C53B1E" w:rsidRDefault="00184862" w:rsidP="00B15E08">
      <w:pPr>
        <w:jc w:val="both"/>
        <w:rPr>
          <w:rFonts w:cstheme="minorHAnsi"/>
          <w:b/>
          <w:bCs/>
          <w:lang w:eastAsia="en-GB"/>
        </w:rPr>
      </w:pPr>
    </w:p>
    <w:p w14:paraId="515B3F87" w14:textId="583665C7" w:rsidR="00184862" w:rsidRDefault="008C79BD" w:rsidP="008C79BD">
      <w:pPr>
        <w:pStyle w:val="NoSpacing"/>
        <w:ind w:left="720" w:hanging="720"/>
        <w:jc w:val="both"/>
        <w:rPr>
          <w:lang w:eastAsia="en-GB"/>
        </w:rPr>
      </w:pPr>
      <w:r>
        <w:rPr>
          <w:lang w:eastAsia="en-GB"/>
        </w:rPr>
        <w:lastRenderedPageBreak/>
        <w:t>8.10</w:t>
      </w:r>
      <w:r>
        <w:rPr>
          <w:lang w:eastAsia="en-GB"/>
        </w:rPr>
        <w:tab/>
      </w:r>
      <w:r w:rsidR="00184862" w:rsidRPr="00904CF8">
        <w:rPr>
          <w:lang w:eastAsia="en-GB"/>
        </w:rPr>
        <w:t xml:space="preserve">Table </w:t>
      </w:r>
      <w:r w:rsidR="00596238">
        <w:rPr>
          <w:lang w:eastAsia="en-GB"/>
        </w:rPr>
        <w:t>8</w:t>
      </w:r>
      <w:r w:rsidR="00184862" w:rsidRPr="00904CF8">
        <w:rPr>
          <w:lang w:eastAsia="en-GB"/>
        </w:rPr>
        <w:t xml:space="preserve"> shows the number of First Time Entrants locally reported extracted from the service’s case management system.</w:t>
      </w:r>
      <w:r w:rsidR="001E24FB" w:rsidRPr="00904CF8">
        <w:rPr>
          <w:lang w:eastAsia="en-GB"/>
        </w:rPr>
        <w:t xml:space="preserve">  Table </w:t>
      </w:r>
      <w:r w:rsidR="00596238">
        <w:rPr>
          <w:lang w:eastAsia="en-GB"/>
        </w:rPr>
        <w:t>9</w:t>
      </w:r>
      <w:r w:rsidR="001E24FB" w:rsidRPr="00904CF8">
        <w:rPr>
          <w:lang w:eastAsia="en-GB"/>
        </w:rPr>
        <w:t xml:space="preserve"> provides the FTE rates from the PNC. The latest available period is Jan 22 – Dec 22.</w:t>
      </w:r>
    </w:p>
    <w:p w14:paraId="5B34B6D6" w14:textId="39EB5F88" w:rsidR="00904CF8" w:rsidRDefault="00904CF8" w:rsidP="00B15E08">
      <w:pPr>
        <w:pStyle w:val="NoSpacing"/>
        <w:jc w:val="both"/>
        <w:rPr>
          <w:lang w:eastAsia="en-GB"/>
        </w:rPr>
      </w:pPr>
    </w:p>
    <w:p w14:paraId="34A0F1E4" w14:textId="20A2C1D7" w:rsidR="00184862" w:rsidRPr="00C53B1E" w:rsidRDefault="00184862" w:rsidP="00B15E08">
      <w:pPr>
        <w:jc w:val="both"/>
        <w:rPr>
          <w:rFonts w:cstheme="minorHAnsi"/>
          <w:b/>
          <w:bCs/>
          <w:lang w:eastAsia="en-GB"/>
        </w:rPr>
      </w:pPr>
      <w:r w:rsidRPr="00C53B1E">
        <w:rPr>
          <w:rFonts w:cstheme="minorHAnsi"/>
          <w:b/>
          <w:bCs/>
          <w:lang w:eastAsia="en-GB"/>
        </w:rPr>
        <w:t xml:space="preserve">Table </w:t>
      </w:r>
      <w:r w:rsidR="008150CF">
        <w:rPr>
          <w:rFonts w:cstheme="minorHAnsi"/>
          <w:b/>
          <w:bCs/>
          <w:lang w:eastAsia="en-GB"/>
        </w:rPr>
        <w:t>9</w:t>
      </w:r>
      <w:r w:rsidRPr="00C53B1E">
        <w:rPr>
          <w:rFonts w:cstheme="minorHAnsi"/>
          <w:b/>
          <w:bCs/>
          <w:lang w:eastAsia="en-GB"/>
        </w:rPr>
        <w:t>: First time entrants per 100,000 of 10-17 population (PNC data)</w:t>
      </w:r>
    </w:p>
    <w:tbl>
      <w:tblPr>
        <w:tblStyle w:val="TableGrid"/>
        <w:tblW w:w="10503" w:type="dxa"/>
        <w:jc w:val="center"/>
        <w:tblLook w:val="04A0" w:firstRow="1" w:lastRow="0" w:firstColumn="1" w:lastColumn="0" w:noHBand="0" w:noVBand="1"/>
      </w:tblPr>
      <w:tblGrid>
        <w:gridCol w:w="2221"/>
        <w:gridCol w:w="1106"/>
        <w:gridCol w:w="1105"/>
        <w:gridCol w:w="1105"/>
        <w:gridCol w:w="1105"/>
        <w:gridCol w:w="1359"/>
        <w:gridCol w:w="1251"/>
        <w:gridCol w:w="1251"/>
      </w:tblGrid>
      <w:tr w:rsidR="00EB6229" w:rsidRPr="00C53B1E" w14:paraId="4A43D9F0" w14:textId="4A4B701F" w:rsidTr="00EB6229">
        <w:trPr>
          <w:trHeight w:val="351"/>
          <w:jc w:val="center"/>
        </w:trPr>
        <w:tc>
          <w:tcPr>
            <w:tcW w:w="2221"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1D6C751F" w14:textId="77777777" w:rsidR="00EB6229" w:rsidRPr="00C53B1E" w:rsidRDefault="00EB6229" w:rsidP="00EB6229">
            <w:pPr>
              <w:jc w:val="both"/>
              <w:rPr>
                <w:rFonts w:cstheme="minorHAnsi"/>
                <w:b/>
                <w:bCs/>
                <w:lang w:eastAsia="en-GB"/>
              </w:rPr>
            </w:pPr>
          </w:p>
        </w:tc>
        <w:tc>
          <w:tcPr>
            <w:tcW w:w="1106" w:type="dxa"/>
            <w:tcBorders>
              <w:top w:val="double" w:sz="6" w:space="0" w:color="auto"/>
              <w:left w:val="nil"/>
              <w:bottom w:val="double" w:sz="6" w:space="0" w:color="auto"/>
              <w:right w:val="double" w:sz="6" w:space="0" w:color="auto"/>
            </w:tcBorders>
            <w:shd w:val="clear" w:color="auto" w:fill="FFF2CC" w:themeFill="accent4" w:themeFillTint="33"/>
            <w:vAlign w:val="center"/>
          </w:tcPr>
          <w:p w14:paraId="64D5F010" w14:textId="77777777" w:rsidR="00EB6229" w:rsidRPr="00C53B1E" w:rsidRDefault="00EB6229" w:rsidP="00EB6229">
            <w:pPr>
              <w:jc w:val="both"/>
              <w:rPr>
                <w:rFonts w:cstheme="minorHAnsi"/>
                <w:b/>
                <w:bCs/>
                <w:lang w:eastAsia="en-GB"/>
              </w:rPr>
            </w:pPr>
            <w:r w:rsidRPr="00C53B1E">
              <w:rPr>
                <w:rFonts w:cstheme="minorHAnsi"/>
                <w:b/>
                <w:bCs/>
                <w:lang w:eastAsia="en-GB"/>
              </w:rPr>
              <w:t>2017-18</w:t>
            </w:r>
          </w:p>
        </w:tc>
        <w:tc>
          <w:tcPr>
            <w:tcW w:w="1105" w:type="dxa"/>
            <w:tcBorders>
              <w:top w:val="double" w:sz="6" w:space="0" w:color="auto"/>
              <w:left w:val="nil"/>
              <w:bottom w:val="double" w:sz="6" w:space="0" w:color="auto"/>
              <w:right w:val="double" w:sz="6" w:space="0" w:color="auto"/>
            </w:tcBorders>
            <w:shd w:val="clear" w:color="auto" w:fill="FFF2CC" w:themeFill="accent4" w:themeFillTint="33"/>
            <w:vAlign w:val="center"/>
          </w:tcPr>
          <w:p w14:paraId="7E6792CA" w14:textId="77777777" w:rsidR="00EB6229" w:rsidRPr="00C53B1E" w:rsidRDefault="00EB6229" w:rsidP="00EB6229">
            <w:pPr>
              <w:jc w:val="both"/>
              <w:rPr>
                <w:rFonts w:cstheme="minorHAnsi"/>
                <w:b/>
                <w:bCs/>
                <w:lang w:eastAsia="en-GB"/>
              </w:rPr>
            </w:pPr>
            <w:r w:rsidRPr="00C53B1E">
              <w:rPr>
                <w:rFonts w:cstheme="minorHAnsi"/>
                <w:b/>
                <w:bCs/>
                <w:lang w:eastAsia="en-GB"/>
              </w:rPr>
              <w:t>2018-19</w:t>
            </w:r>
          </w:p>
        </w:tc>
        <w:tc>
          <w:tcPr>
            <w:tcW w:w="1105" w:type="dxa"/>
            <w:tcBorders>
              <w:top w:val="double" w:sz="6" w:space="0" w:color="auto"/>
              <w:left w:val="nil"/>
              <w:bottom w:val="double" w:sz="6" w:space="0" w:color="auto"/>
              <w:right w:val="double" w:sz="6" w:space="0" w:color="auto"/>
            </w:tcBorders>
            <w:shd w:val="clear" w:color="auto" w:fill="FFF2CC" w:themeFill="accent4" w:themeFillTint="33"/>
            <w:vAlign w:val="center"/>
          </w:tcPr>
          <w:p w14:paraId="66774EAF" w14:textId="77777777" w:rsidR="00EB6229" w:rsidRPr="00C53B1E" w:rsidRDefault="00EB6229" w:rsidP="00EB6229">
            <w:pPr>
              <w:jc w:val="both"/>
              <w:rPr>
                <w:rFonts w:cstheme="minorHAnsi"/>
                <w:b/>
                <w:bCs/>
                <w:lang w:eastAsia="en-GB"/>
              </w:rPr>
            </w:pPr>
            <w:r w:rsidRPr="00C53B1E">
              <w:rPr>
                <w:rFonts w:cstheme="minorHAnsi"/>
                <w:b/>
                <w:bCs/>
                <w:lang w:eastAsia="en-GB"/>
              </w:rPr>
              <w:t>2019-20</w:t>
            </w:r>
          </w:p>
        </w:tc>
        <w:tc>
          <w:tcPr>
            <w:tcW w:w="1105" w:type="dxa"/>
            <w:tcBorders>
              <w:top w:val="double" w:sz="6" w:space="0" w:color="auto"/>
              <w:left w:val="nil"/>
              <w:bottom w:val="double" w:sz="6" w:space="0" w:color="auto"/>
              <w:right w:val="double" w:sz="6" w:space="0" w:color="auto"/>
            </w:tcBorders>
            <w:shd w:val="clear" w:color="auto" w:fill="FFF2CC" w:themeFill="accent4" w:themeFillTint="33"/>
            <w:vAlign w:val="center"/>
          </w:tcPr>
          <w:p w14:paraId="0A1280CB" w14:textId="77777777" w:rsidR="00EB6229" w:rsidRPr="00C53B1E" w:rsidRDefault="00EB6229" w:rsidP="00EB6229">
            <w:pPr>
              <w:jc w:val="both"/>
              <w:rPr>
                <w:rFonts w:cstheme="minorHAnsi"/>
                <w:b/>
                <w:bCs/>
                <w:lang w:eastAsia="en-GB"/>
              </w:rPr>
            </w:pPr>
            <w:r w:rsidRPr="00C53B1E">
              <w:rPr>
                <w:rFonts w:cstheme="minorHAnsi"/>
                <w:b/>
                <w:bCs/>
                <w:lang w:eastAsia="en-GB"/>
              </w:rPr>
              <w:t>2020-21</w:t>
            </w:r>
          </w:p>
        </w:tc>
        <w:tc>
          <w:tcPr>
            <w:tcW w:w="1359"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02E3B0D6" w14:textId="77777777" w:rsidR="00EB6229" w:rsidRPr="00C53B1E" w:rsidRDefault="00EB6229" w:rsidP="00EB6229">
            <w:pPr>
              <w:jc w:val="both"/>
              <w:rPr>
                <w:rFonts w:cstheme="minorHAnsi"/>
                <w:b/>
                <w:bCs/>
                <w:lang w:eastAsia="en-GB"/>
              </w:rPr>
            </w:pPr>
            <w:r w:rsidRPr="00C53B1E">
              <w:rPr>
                <w:rFonts w:cstheme="minorHAnsi"/>
                <w:b/>
                <w:bCs/>
                <w:lang w:eastAsia="en-GB"/>
              </w:rPr>
              <w:t>2021*</w:t>
            </w:r>
          </w:p>
        </w:tc>
        <w:tc>
          <w:tcPr>
            <w:tcW w:w="1251"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7403A0FC" w14:textId="77777777" w:rsidR="00EB6229" w:rsidRPr="00C53B1E" w:rsidRDefault="00EB6229" w:rsidP="00EB6229">
            <w:pPr>
              <w:jc w:val="both"/>
              <w:rPr>
                <w:rFonts w:cstheme="minorHAnsi"/>
                <w:b/>
                <w:bCs/>
                <w:lang w:eastAsia="en-GB"/>
              </w:rPr>
            </w:pPr>
            <w:r w:rsidRPr="00C53B1E">
              <w:rPr>
                <w:rFonts w:cstheme="minorHAnsi"/>
                <w:b/>
                <w:bCs/>
                <w:lang w:eastAsia="en-GB"/>
              </w:rPr>
              <w:t>2021-22</w:t>
            </w:r>
          </w:p>
        </w:tc>
        <w:tc>
          <w:tcPr>
            <w:tcW w:w="1251" w:type="dxa"/>
            <w:tcBorders>
              <w:top w:val="double" w:sz="6" w:space="0" w:color="auto"/>
              <w:left w:val="double" w:sz="6" w:space="0" w:color="auto"/>
              <w:bottom w:val="double" w:sz="6" w:space="0" w:color="auto"/>
              <w:right w:val="double" w:sz="6" w:space="0" w:color="auto"/>
            </w:tcBorders>
            <w:shd w:val="clear" w:color="auto" w:fill="FFF2CC" w:themeFill="accent4" w:themeFillTint="33"/>
            <w:vAlign w:val="center"/>
          </w:tcPr>
          <w:p w14:paraId="13582DDB" w14:textId="6F0D4EE4" w:rsidR="00EB6229" w:rsidRPr="00C53B1E" w:rsidRDefault="00EB6229" w:rsidP="00EB6229">
            <w:pPr>
              <w:jc w:val="both"/>
              <w:rPr>
                <w:rFonts w:cstheme="minorHAnsi"/>
                <w:b/>
                <w:bCs/>
                <w:lang w:eastAsia="en-GB"/>
              </w:rPr>
            </w:pPr>
            <w:r w:rsidRPr="00C53B1E">
              <w:rPr>
                <w:rFonts w:cstheme="minorHAnsi"/>
                <w:b/>
                <w:bCs/>
                <w:lang w:eastAsia="en-GB"/>
              </w:rPr>
              <w:t>2021-22</w:t>
            </w:r>
          </w:p>
        </w:tc>
      </w:tr>
      <w:tr w:rsidR="00EB6229" w:rsidRPr="00C53B1E" w14:paraId="1E42BEBD" w14:textId="5269D6A8" w:rsidTr="00EB6229">
        <w:trPr>
          <w:trHeight w:val="351"/>
          <w:jc w:val="center"/>
        </w:trPr>
        <w:tc>
          <w:tcPr>
            <w:tcW w:w="222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280C9671" w14:textId="77777777" w:rsidR="00EB6229" w:rsidRPr="00C53B1E" w:rsidRDefault="00EB6229" w:rsidP="00EB6229">
            <w:pPr>
              <w:jc w:val="both"/>
              <w:rPr>
                <w:rFonts w:cstheme="minorHAnsi"/>
                <w:b/>
                <w:bCs/>
                <w:lang w:eastAsia="en-GB"/>
              </w:rPr>
            </w:pPr>
            <w:r w:rsidRPr="00C53B1E">
              <w:rPr>
                <w:rFonts w:cstheme="minorHAnsi"/>
                <w:b/>
                <w:bCs/>
                <w:lang w:eastAsia="en-GB"/>
              </w:rPr>
              <w:t>Nottingham</w:t>
            </w:r>
          </w:p>
        </w:tc>
        <w:tc>
          <w:tcPr>
            <w:tcW w:w="1106" w:type="dxa"/>
            <w:tcBorders>
              <w:top w:val="nil"/>
              <w:left w:val="nil"/>
              <w:bottom w:val="double" w:sz="6" w:space="0" w:color="auto"/>
              <w:right w:val="double" w:sz="6" w:space="0" w:color="auto"/>
            </w:tcBorders>
            <w:shd w:val="clear" w:color="auto" w:fill="FFF2CC" w:themeFill="accent4" w:themeFillTint="33"/>
            <w:vAlign w:val="center"/>
          </w:tcPr>
          <w:p w14:paraId="05F4471E" w14:textId="77777777" w:rsidR="00EB6229" w:rsidRPr="00C53B1E" w:rsidRDefault="00EB6229" w:rsidP="00EB6229">
            <w:pPr>
              <w:jc w:val="both"/>
              <w:rPr>
                <w:rFonts w:cstheme="minorHAnsi"/>
                <w:lang w:eastAsia="en-GB"/>
              </w:rPr>
            </w:pPr>
            <w:r w:rsidRPr="00C53B1E">
              <w:rPr>
                <w:rFonts w:cstheme="minorHAnsi"/>
                <w:lang w:eastAsia="en-GB"/>
              </w:rPr>
              <w:t>547</w:t>
            </w:r>
          </w:p>
        </w:tc>
        <w:tc>
          <w:tcPr>
            <w:tcW w:w="1105" w:type="dxa"/>
            <w:tcBorders>
              <w:top w:val="nil"/>
              <w:left w:val="nil"/>
              <w:bottom w:val="double" w:sz="6" w:space="0" w:color="auto"/>
              <w:right w:val="double" w:sz="6" w:space="0" w:color="auto"/>
            </w:tcBorders>
            <w:shd w:val="clear" w:color="auto" w:fill="FFF2CC" w:themeFill="accent4" w:themeFillTint="33"/>
            <w:vAlign w:val="center"/>
          </w:tcPr>
          <w:p w14:paraId="07590A1E" w14:textId="77777777" w:rsidR="00EB6229" w:rsidRPr="00C53B1E" w:rsidRDefault="00EB6229" w:rsidP="00EB6229">
            <w:pPr>
              <w:jc w:val="both"/>
              <w:rPr>
                <w:rFonts w:cstheme="minorHAnsi"/>
                <w:lang w:eastAsia="en-GB"/>
              </w:rPr>
            </w:pPr>
            <w:r w:rsidRPr="00C53B1E">
              <w:rPr>
                <w:rFonts w:cstheme="minorHAnsi"/>
                <w:lang w:eastAsia="en-GB"/>
              </w:rPr>
              <w:t>568</w:t>
            </w:r>
          </w:p>
        </w:tc>
        <w:tc>
          <w:tcPr>
            <w:tcW w:w="1105" w:type="dxa"/>
            <w:tcBorders>
              <w:top w:val="nil"/>
              <w:left w:val="nil"/>
              <w:bottom w:val="double" w:sz="6" w:space="0" w:color="auto"/>
              <w:right w:val="double" w:sz="6" w:space="0" w:color="auto"/>
            </w:tcBorders>
            <w:shd w:val="clear" w:color="auto" w:fill="FFF2CC" w:themeFill="accent4" w:themeFillTint="33"/>
            <w:vAlign w:val="center"/>
          </w:tcPr>
          <w:p w14:paraId="7DE5C78F" w14:textId="77777777" w:rsidR="00EB6229" w:rsidRPr="00C53B1E" w:rsidRDefault="00EB6229" w:rsidP="00EB6229">
            <w:pPr>
              <w:jc w:val="both"/>
              <w:rPr>
                <w:rFonts w:cstheme="minorHAnsi"/>
                <w:lang w:eastAsia="en-GB"/>
              </w:rPr>
            </w:pPr>
            <w:r w:rsidRPr="00C53B1E">
              <w:rPr>
                <w:rFonts w:cstheme="minorHAnsi"/>
                <w:lang w:eastAsia="en-GB"/>
              </w:rPr>
              <w:t>394</w:t>
            </w:r>
          </w:p>
        </w:tc>
        <w:tc>
          <w:tcPr>
            <w:tcW w:w="1105" w:type="dxa"/>
            <w:tcBorders>
              <w:top w:val="double" w:sz="6" w:space="0" w:color="auto"/>
              <w:left w:val="nil"/>
              <w:bottom w:val="double" w:sz="6" w:space="0" w:color="auto"/>
              <w:right w:val="double" w:sz="6" w:space="0" w:color="auto"/>
            </w:tcBorders>
            <w:shd w:val="clear" w:color="auto" w:fill="FFF2CC" w:themeFill="accent4" w:themeFillTint="33"/>
            <w:vAlign w:val="center"/>
          </w:tcPr>
          <w:p w14:paraId="7325AEA9" w14:textId="77777777" w:rsidR="00EB6229" w:rsidRPr="00C53B1E" w:rsidRDefault="00EB6229" w:rsidP="00EB6229">
            <w:pPr>
              <w:jc w:val="both"/>
              <w:rPr>
                <w:rFonts w:cstheme="minorHAnsi"/>
                <w:lang w:eastAsia="en-GB"/>
              </w:rPr>
            </w:pPr>
            <w:r w:rsidRPr="00C53B1E">
              <w:rPr>
                <w:rFonts w:cstheme="minorHAnsi"/>
                <w:lang w:eastAsia="en-GB"/>
              </w:rPr>
              <w:t>358</w:t>
            </w:r>
          </w:p>
        </w:tc>
        <w:tc>
          <w:tcPr>
            <w:tcW w:w="1359"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07AA7106" w14:textId="77777777" w:rsidR="00EB6229" w:rsidRPr="00C53B1E" w:rsidRDefault="00EB6229" w:rsidP="00EB6229">
            <w:pPr>
              <w:jc w:val="both"/>
              <w:rPr>
                <w:rFonts w:cstheme="minorHAnsi"/>
                <w:lang w:eastAsia="en-GB"/>
              </w:rPr>
            </w:pPr>
            <w:r w:rsidRPr="00C53B1E">
              <w:rPr>
                <w:rFonts w:cstheme="minorHAnsi"/>
                <w:lang w:eastAsia="en-GB"/>
              </w:rPr>
              <w:t>440</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30BEAEC0" w14:textId="77777777" w:rsidR="00EB6229" w:rsidRPr="00C53B1E" w:rsidRDefault="00EB6229" w:rsidP="00EB6229">
            <w:pPr>
              <w:jc w:val="both"/>
              <w:rPr>
                <w:rFonts w:cstheme="minorHAnsi"/>
                <w:lang w:eastAsia="en-GB"/>
              </w:rPr>
            </w:pPr>
            <w:r w:rsidRPr="00C53B1E">
              <w:rPr>
                <w:rFonts w:cstheme="minorHAnsi"/>
                <w:lang w:eastAsia="en-GB"/>
              </w:rPr>
              <w:t>486</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37CB362F" w14:textId="6C9875DD" w:rsidR="00EB6229" w:rsidRPr="00EB6229" w:rsidRDefault="00EB6229" w:rsidP="00EB6229">
            <w:pPr>
              <w:jc w:val="both"/>
              <w:rPr>
                <w:rFonts w:cstheme="minorHAnsi"/>
                <w:lang w:eastAsia="en-GB"/>
              </w:rPr>
            </w:pPr>
            <w:r w:rsidRPr="00EB6229">
              <w:rPr>
                <w:rFonts w:cstheme="minorHAnsi"/>
                <w:lang w:eastAsia="en-GB"/>
              </w:rPr>
              <w:t>455</w:t>
            </w:r>
          </w:p>
        </w:tc>
      </w:tr>
      <w:tr w:rsidR="00EB6229" w:rsidRPr="00C53B1E" w14:paraId="30C94371" w14:textId="50E0342B" w:rsidTr="00EB6229">
        <w:trPr>
          <w:trHeight w:val="351"/>
          <w:jc w:val="center"/>
        </w:trPr>
        <w:tc>
          <w:tcPr>
            <w:tcW w:w="222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019C1AFA" w14:textId="77777777" w:rsidR="00EB6229" w:rsidRPr="00C53B1E" w:rsidRDefault="00EB6229" w:rsidP="00EB6229">
            <w:pPr>
              <w:jc w:val="both"/>
              <w:rPr>
                <w:rFonts w:cstheme="minorHAnsi"/>
                <w:b/>
                <w:bCs/>
                <w:lang w:eastAsia="en-GB"/>
              </w:rPr>
            </w:pPr>
            <w:r w:rsidRPr="00C53B1E">
              <w:rPr>
                <w:rFonts w:cstheme="minorHAnsi"/>
                <w:b/>
                <w:bCs/>
                <w:lang w:eastAsia="en-GB"/>
              </w:rPr>
              <w:t>Family / SNs</w:t>
            </w:r>
          </w:p>
        </w:tc>
        <w:tc>
          <w:tcPr>
            <w:tcW w:w="1106" w:type="dxa"/>
            <w:tcBorders>
              <w:top w:val="nil"/>
              <w:left w:val="nil"/>
              <w:bottom w:val="double" w:sz="6" w:space="0" w:color="auto"/>
              <w:right w:val="double" w:sz="6" w:space="0" w:color="auto"/>
            </w:tcBorders>
            <w:shd w:val="clear" w:color="auto" w:fill="auto"/>
            <w:vAlign w:val="center"/>
          </w:tcPr>
          <w:p w14:paraId="5CC392C7" w14:textId="77777777" w:rsidR="00EB6229" w:rsidRPr="00C53B1E" w:rsidRDefault="00EB6229" w:rsidP="00EB6229">
            <w:pPr>
              <w:jc w:val="both"/>
              <w:rPr>
                <w:rFonts w:cstheme="minorHAnsi"/>
                <w:lang w:eastAsia="en-GB"/>
              </w:rPr>
            </w:pPr>
            <w:r w:rsidRPr="00C53B1E">
              <w:rPr>
                <w:rFonts w:cstheme="minorHAnsi"/>
                <w:lang w:eastAsia="en-GB"/>
              </w:rPr>
              <w:t>419</w:t>
            </w:r>
          </w:p>
        </w:tc>
        <w:tc>
          <w:tcPr>
            <w:tcW w:w="1105" w:type="dxa"/>
            <w:tcBorders>
              <w:top w:val="nil"/>
              <w:left w:val="nil"/>
              <w:bottom w:val="double" w:sz="6" w:space="0" w:color="auto"/>
              <w:right w:val="double" w:sz="6" w:space="0" w:color="auto"/>
            </w:tcBorders>
            <w:shd w:val="clear" w:color="auto" w:fill="auto"/>
            <w:vAlign w:val="center"/>
          </w:tcPr>
          <w:p w14:paraId="55E2D1B5" w14:textId="77777777" w:rsidR="00EB6229" w:rsidRPr="00C53B1E" w:rsidRDefault="00EB6229" w:rsidP="00EB6229">
            <w:pPr>
              <w:jc w:val="both"/>
              <w:rPr>
                <w:rFonts w:cstheme="minorHAnsi"/>
                <w:lang w:eastAsia="en-GB"/>
              </w:rPr>
            </w:pPr>
            <w:r w:rsidRPr="00C53B1E">
              <w:rPr>
                <w:rFonts w:cstheme="minorHAnsi"/>
                <w:lang w:eastAsia="en-GB"/>
              </w:rPr>
              <w:t>346</w:t>
            </w:r>
          </w:p>
        </w:tc>
        <w:tc>
          <w:tcPr>
            <w:tcW w:w="1105" w:type="dxa"/>
            <w:tcBorders>
              <w:top w:val="nil"/>
              <w:left w:val="nil"/>
              <w:bottom w:val="double" w:sz="6" w:space="0" w:color="auto"/>
              <w:right w:val="double" w:sz="6" w:space="0" w:color="auto"/>
            </w:tcBorders>
            <w:shd w:val="clear" w:color="auto" w:fill="auto"/>
            <w:vAlign w:val="center"/>
          </w:tcPr>
          <w:p w14:paraId="7993E3E4" w14:textId="77777777" w:rsidR="00EB6229" w:rsidRPr="00C53B1E" w:rsidRDefault="00EB6229" w:rsidP="00EB6229">
            <w:pPr>
              <w:jc w:val="both"/>
              <w:rPr>
                <w:rFonts w:cstheme="minorHAnsi"/>
                <w:lang w:eastAsia="en-GB"/>
              </w:rPr>
            </w:pPr>
            <w:r w:rsidRPr="00C53B1E">
              <w:rPr>
                <w:rFonts w:cstheme="minorHAnsi"/>
                <w:lang w:eastAsia="en-GB"/>
              </w:rPr>
              <w:t>303</w:t>
            </w:r>
          </w:p>
        </w:tc>
        <w:tc>
          <w:tcPr>
            <w:tcW w:w="1105" w:type="dxa"/>
            <w:tcBorders>
              <w:top w:val="double" w:sz="6" w:space="0" w:color="auto"/>
              <w:left w:val="nil"/>
              <w:bottom w:val="double" w:sz="6" w:space="0" w:color="auto"/>
              <w:right w:val="double" w:sz="6" w:space="0" w:color="auto"/>
            </w:tcBorders>
            <w:vAlign w:val="center"/>
          </w:tcPr>
          <w:p w14:paraId="399AAB8C" w14:textId="77777777" w:rsidR="00EB6229" w:rsidRPr="00C53B1E" w:rsidRDefault="00EB6229" w:rsidP="00EB6229">
            <w:pPr>
              <w:jc w:val="both"/>
              <w:rPr>
                <w:rFonts w:cstheme="minorHAnsi"/>
                <w:lang w:eastAsia="en-GB"/>
              </w:rPr>
            </w:pPr>
            <w:r w:rsidRPr="00C53B1E">
              <w:rPr>
                <w:rFonts w:cstheme="minorHAnsi"/>
                <w:lang w:eastAsia="en-GB"/>
              </w:rPr>
              <w:t>223</w:t>
            </w:r>
          </w:p>
        </w:tc>
        <w:tc>
          <w:tcPr>
            <w:tcW w:w="1359"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7DB3EE4D" w14:textId="77777777" w:rsidR="00EB6229" w:rsidRPr="00C53B1E" w:rsidRDefault="00EB6229" w:rsidP="00EB6229">
            <w:pPr>
              <w:jc w:val="both"/>
              <w:rPr>
                <w:rFonts w:cstheme="minorHAnsi"/>
                <w:lang w:eastAsia="en-GB"/>
              </w:rPr>
            </w:pPr>
            <w:r w:rsidRPr="00C53B1E">
              <w:rPr>
                <w:rFonts w:cstheme="minorHAnsi"/>
                <w:lang w:eastAsia="en-GB"/>
              </w:rPr>
              <w:t>207</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7AC9F502" w14:textId="77777777" w:rsidR="00EB6229" w:rsidRPr="00C53B1E" w:rsidRDefault="00EB6229" w:rsidP="00EB6229">
            <w:pPr>
              <w:jc w:val="both"/>
              <w:rPr>
                <w:rFonts w:cstheme="minorHAnsi"/>
                <w:lang w:eastAsia="en-GB"/>
              </w:rPr>
            </w:pPr>
            <w:r w:rsidRPr="00C53B1E">
              <w:rPr>
                <w:rFonts w:cstheme="minorHAnsi"/>
                <w:lang w:eastAsia="en-GB"/>
              </w:rPr>
              <w:t>162</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020F194F" w14:textId="2FEE9500" w:rsidR="00EB6229" w:rsidRPr="00EB6229" w:rsidRDefault="00EB6229" w:rsidP="00EB6229">
            <w:pPr>
              <w:jc w:val="both"/>
              <w:rPr>
                <w:rFonts w:cstheme="minorHAnsi"/>
                <w:lang w:eastAsia="en-GB"/>
              </w:rPr>
            </w:pPr>
            <w:r w:rsidRPr="00EB6229">
              <w:rPr>
                <w:rFonts w:cstheme="minorHAnsi"/>
                <w:lang w:eastAsia="en-GB"/>
              </w:rPr>
              <w:t>163</w:t>
            </w:r>
          </w:p>
        </w:tc>
      </w:tr>
      <w:tr w:rsidR="00EB6229" w:rsidRPr="00C53B1E" w14:paraId="58659854" w14:textId="43131E95" w:rsidTr="00EB6229">
        <w:trPr>
          <w:trHeight w:val="351"/>
          <w:jc w:val="center"/>
        </w:trPr>
        <w:tc>
          <w:tcPr>
            <w:tcW w:w="222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342D0750" w14:textId="77777777" w:rsidR="00EB6229" w:rsidRPr="00C53B1E" w:rsidRDefault="00EB6229" w:rsidP="00EB6229">
            <w:pPr>
              <w:jc w:val="both"/>
              <w:rPr>
                <w:rFonts w:cstheme="minorHAnsi"/>
                <w:b/>
                <w:bCs/>
                <w:lang w:eastAsia="en-GB"/>
              </w:rPr>
            </w:pPr>
            <w:r w:rsidRPr="00C53B1E">
              <w:rPr>
                <w:rFonts w:cstheme="minorHAnsi"/>
                <w:b/>
                <w:bCs/>
                <w:lang w:eastAsia="en-GB"/>
              </w:rPr>
              <w:t>Core Cities</w:t>
            </w:r>
          </w:p>
        </w:tc>
        <w:tc>
          <w:tcPr>
            <w:tcW w:w="1106" w:type="dxa"/>
            <w:tcBorders>
              <w:top w:val="nil"/>
              <w:left w:val="nil"/>
              <w:bottom w:val="double" w:sz="6" w:space="0" w:color="auto"/>
              <w:right w:val="double" w:sz="6" w:space="0" w:color="auto"/>
            </w:tcBorders>
            <w:shd w:val="clear" w:color="auto" w:fill="auto"/>
            <w:vAlign w:val="center"/>
          </w:tcPr>
          <w:p w14:paraId="3E7E69EB" w14:textId="77777777" w:rsidR="00EB6229" w:rsidRPr="00C53B1E" w:rsidRDefault="00EB6229" w:rsidP="00EB6229">
            <w:pPr>
              <w:jc w:val="both"/>
              <w:rPr>
                <w:rFonts w:cstheme="minorHAnsi"/>
                <w:lang w:eastAsia="en-GB"/>
              </w:rPr>
            </w:pPr>
            <w:r w:rsidRPr="00C53B1E">
              <w:rPr>
                <w:rFonts w:cstheme="minorHAnsi"/>
                <w:lang w:eastAsia="en-GB"/>
              </w:rPr>
              <w:t>389</w:t>
            </w:r>
          </w:p>
        </w:tc>
        <w:tc>
          <w:tcPr>
            <w:tcW w:w="1105" w:type="dxa"/>
            <w:tcBorders>
              <w:top w:val="nil"/>
              <w:left w:val="nil"/>
              <w:bottom w:val="double" w:sz="6" w:space="0" w:color="auto"/>
              <w:right w:val="double" w:sz="6" w:space="0" w:color="auto"/>
            </w:tcBorders>
            <w:shd w:val="clear" w:color="auto" w:fill="auto"/>
            <w:vAlign w:val="center"/>
          </w:tcPr>
          <w:p w14:paraId="12B23EC1" w14:textId="77777777" w:rsidR="00EB6229" w:rsidRPr="00C53B1E" w:rsidRDefault="00EB6229" w:rsidP="00EB6229">
            <w:pPr>
              <w:jc w:val="both"/>
              <w:rPr>
                <w:rFonts w:cstheme="minorHAnsi"/>
                <w:lang w:eastAsia="en-GB"/>
              </w:rPr>
            </w:pPr>
            <w:r w:rsidRPr="00C53B1E">
              <w:rPr>
                <w:rFonts w:cstheme="minorHAnsi"/>
                <w:lang w:eastAsia="en-GB"/>
              </w:rPr>
              <w:t>323</w:t>
            </w:r>
          </w:p>
        </w:tc>
        <w:tc>
          <w:tcPr>
            <w:tcW w:w="1105" w:type="dxa"/>
            <w:tcBorders>
              <w:top w:val="nil"/>
              <w:left w:val="nil"/>
              <w:bottom w:val="double" w:sz="6" w:space="0" w:color="auto"/>
              <w:right w:val="double" w:sz="6" w:space="0" w:color="auto"/>
            </w:tcBorders>
            <w:shd w:val="clear" w:color="auto" w:fill="auto"/>
            <w:vAlign w:val="center"/>
          </w:tcPr>
          <w:p w14:paraId="5B1E388B" w14:textId="77777777" w:rsidR="00EB6229" w:rsidRPr="00C53B1E" w:rsidRDefault="00EB6229" w:rsidP="00EB6229">
            <w:pPr>
              <w:jc w:val="both"/>
              <w:rPr>
                <w:rFonts w:cstheme="minorHAnsi"/>
                <w:lang w:eastAsia="en-GB"/>
              </w:rPr>
            </w:pPr>
            <w:r w:rsidRPr="00C53B1E">
              <w:rPr>
                <w:rFonts w:cstheme="minorHAnsi"/>
                <w:lang w:eastAsia="en-GB"/>
              </w:rPr>
              <w:t>287</w:t>
            </w:r>
          </w:p>
        </w:tc>
        <w:tc>
          <w:tcPr>
            <w:tcW w:w="1105" w:type="dxa"/>
            <w:tcBorders>
              <w:top w:val="double" w:sz="6" w:space="0" w:color="auto"/>
              <w:left w:val="nil"/>
              <w:bottom w:val="double" w:sz="6" w:space="0" w:color="auto"/>
              <w:right w:val="double" w:sz="6" w:space="0" w:color="auto"/>
            </w:tcBorders>
            <w:vAlign w:val="center"/>
          </w:tcPr>
          <w:p w14:paraId="316C22CF" w14:textId="77777777" w:rsidR="00EB6229" w:rsidRPr="00C53B1E" w:rsidRDefault="00EB6229" w:rsidP="00EB6229">
            <w:pPr>
              <w:jc w:val="both"/>
              <w:rPr>
                <w:rFonts w:cstheme="minorHAnsi"/>
                <w:lang w:eastAsia="en-GB"/>
              </w:rPr>
            </w:pPr>
            <w:r w:rsidRPr="00C53B1E">
              <w:rPr>
                <w:rFonts w:cstheme="minorHAnsi"/>
                <w:lang w:eastAsia="en-GB"/>
              </w:rPr>
              <w:t>217</w:t>
            </w:r>
          </w:p>
        </w:tc>
        <w:tc>
          <w:tcPr>
            <w:tcW w:w="1359"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1C8031C6" w14:textId="77777777" w:rsidR="00EB6229" w:rsidRPr="00C53B1E" w:rsidRDefault="00EB6229" w:rsidP="00EB6229">
            <w:pPr>
              <w:jc w:val="both"/>
              <w:rPr>
                <w:rFonts w:cstheme="minorHAnsi"/>
                <w:lang w:eastAsia="en-GB"/>
              </w:rPr>
            </w:pPr>
            <w:r w:rsidRPr="00C53B1E">
              <w:rPr>
                <w:rFonts w:cstheme="minorHAnsi"/>
                <w:lang w:eastAsia="en-GB"/>
              </w:rPr>
              <w:t>191</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7D0232D9" w14:textId="77777777" w:rsidR="00EB6229" w:rsidRPr="00C53B1E" w:rsidRDefault="00EB6229" w:rsidP="00EB6229">
            <w:pPr>
              <w:jc w:val="both"/>
              <w:rPr>
                <w:rFonts w:cstheme="minorHAnsi"/>
                <w:lang w:eastAsia="en-GB"/>
              </w:rPr>
            </w:pPr>
            <w:r w:rsidRPr="00C53B1E">
              <w:rPr>
                <w:rFonts w:cstheme="minorHAnsi"/>
                <w:lang w:eastAsia="en-GB"/>
              </w:rPr>
              <w:t>172</w:t>
            </w:r>
          </w:p>
        </w:tc>
        <w:tc>
          <w:tcPr>
            <w:tcW w:w="1251" w:type="dxa"/>
            <w:tcBorders>
              <w:top w:val="nil"/>
              <w:left w:val="double" w:sz="6" w:space="0" w:color="auto"/>
              <w:bottom w:val="double" w:sz="6" w:space="0" w:color="auto"/>
              <w:right w:val="double" w:sz="6" w:space="0" w:color="auto"/>
            </w:tcBorders>
            <w:shd w:val="clear" w:color="auto" w:fill="FFF2CC" w:themeFill="accent4" w:themeFillTint="33"/>
            <w:vAlign w:val="center"/>
          </w:tcPr>
          <w:p w14:paraId="45C7FCAE" w14:textId="6ED6E243" w:rsidR="00EB6229" w:rsidRPr="00EB6229" w:rsidRDefault="00EB6229" w:rsidP="00EB6229">
            <w:pPr>
              <w:jc w:val="both"/>
              <w:rPr>
                <w:rFonts w:cstheme="minorHAnsi"/>
                <w:lang w:eastAsia="en-GB"/>
              </w:rPr>
            </w:pPr>
            <w:r w:rsidRPr="00EB6229">
              <w:rPr>
                <w:rFonts w:cstheme="minorHAnsi"/>
                <w:lang w:eastAsia="en-GB"/>
              </w:rPr>
              <w:t>178</w:t>
            </w:r>
          </w:p>
        </w:tc>
      </w:tr>
      <w:tr w:rsidR="00EB6229" w:rsidRPr="00C53B1E" w14:paraId="6CE03415" w14:textId="7A6665EE" w:rsidTr="00EB6229">
        <w:trPr>
          <w:trHeight w:val="351"/>
          <w:jc w:val="center"/>
        </w:trPr>
        <w:tc>
          <w:tcPr>
            <w:tcW w:w="2221" w:type="dxa"/>
            <w:tcBorders>
              <w:top w:val="nil"/>
              <w:left w:val="double" w:sz="6" w:space="0" w:color="auto"/>
              <w:bottom w:val="double" w:sz="4" w:space="0" w:color="000000"/>
              <w:right w:val="double" w:sz="6" w:space="0" w:color="auto"/>
            </w:tcBorders>
            <w:shd w:val="clear" w:color="auto" w:fill="FFF2CC" w:themeFill="accent4" w:themeFillTint="33"/>
            <w:vAlign w:val="center"/>
          </w:tcPr>
          <w:p w14:paraId="4C91C520" w14:textId="77777777" w:rsidR="00EB6229" w:rsidRPr="00C53B1E" w:rsidRDefault="00EB6229" w:rsidP="00EB6229">
            <w:pPr>
              <w:jc w:val="both"/>
              <w:rPr>
                <w:rFonts w:cstheme="minorHAnsi"/>
                <w:b/>
                <w:bCs/>
                <w:lang w:eastAsia="en-GB"/>
              </w:rPr>
            </w:pPr>
            <w:r w:rsidRPr="00C53B1E">
              <w:rPr>
                <w:rFonts w:cstheme="minorHAnsi"/>
                <w:b/>
                <w:bCs/>
                <w:lang w:eastAsia="en-GB"/>
              </w:rPr>
              <w:t>National</w:t>
            </w:r>
          </w:p>
        </w:tc>
        <w:tc>
          <w:tcPr>
            <w:tcW w:w="1106" w:type="dxa"/>
            <w:tcBorders>
              <w:top w:val="nil"/>
              <w:left w:val="nil"/>
              <w:bottom w:val="double" w:sz="4" w:space="0" w:color="000000"/>
              <w:right w:val="double" w:sz="6" w:space="0" w:color="auto"/>
            </w:tcBorders>
            <w:shd w:val="clear" w:color="auto" w:fill="auto"/>
            <w:vAlign w:val="center"/>
          </w:tcPr>
          <w:p w14:paraId="0F444B13" w14:textId="77777777" w:rsidR="00EB6229" w:rsidRPr="00C53B1E" w:rsidRDefault="00EB6229" w:rsidP="00EB6229">
            <w:pPr>
              <w:jc w:val="both"/>
              <w:rPr>
                <w:rFonts w:cstheme="minorHAnsi"/>
                <w:lang w:eastAsia="en-GB"/>
              </w:rPr>
            </w:pPr>
            <w:r w:rsidRPr="00C53B1E">
              <w:rPr>
                <w:rFonts w:cstheme="minorHAnsi"/>
                <w:lang w:eastAsia="en-GB"/>
              </w:rPr>
              <w:t>280</w:t>
            </w:r>
          </w:p>
        </w:tc>
        <w:tc>
          <w:tcPr>
            <w:tcW w:w="1105" w:type="dxa"/>
            <w:tcBorders>
              <w:top w:val="nil"/>
              <w:left w:val="nil"/>
              <w:bottom w:val="double" w:sz="4" w:space="0" w:color="000000"/>
              <w:right w:val="double" w:sz="6" w:space="0" w:color="auto"/>
            </w:tcBorders>
            <w:shd w:val="clear" w:color="auto" w:fill="auto"/>
            <w:vAlign w:val="center"/>
          </w:tcPr>
          <w:p w14:paraId="4A00C156" w14:textId="77777777" w:rsidR="00EB6229" w:rsidRPr="00C53B1E" w:rsidRDefault="00EB6229" w:rsidP="00EB6229">
            <w:pPr>
              <w:jc w:val="both"/>
              <w:rPr>
                <w:rFonts w:cstheme="minorHAnsi"/>
                <w:lang w:eastAsia="en-GB"/>
              </w:rPr>
            </w:pPr>
            <w:r w:rsidRPr="00C53B1E">
              <w:rPr>
                <w:rFonts w:cstheme="minorHAnsi"/>
                <w:lang w:eastAsia="en-GB"/>
              </w:rPr>
              <w:t>226</w:t>
            </w:r>
          </w:p>
        </w:tc>
        <w:tc>
          <w:tcPr>
            <w:tcW w:w="1105" w:type="dxa"/>
            <w:tcBorders>
              <w:top w:val="nil"/>
              <w:left w:val="nil"/>
              <w:bottom w:val="double" w:sz="4" w:space="0" w:color="000000"/>
              <w:right w:val="double" w:sz="6" w:space="0" w:color="auto"/>
            </w:tcBorders>
            <w:shd w:val="clear" w:color="auto" w:fill="auto"/>
            <w:vAlign w:val="center"/>
          </w:tcPr>
          <w:p w14:paraId="1A05EB3E" w14:textId="77777777" w:rsidR="00EB6229" w:rsidRPr="00C53B1E" w:rsidRDefault="00EB6229" w:rsidP="00EB6229">
            <w:pPr>
              <w:jc w:val="both"/>
              <w:rPr>
                <w:rFonts w:cstheme="minorHAnsi"/>
                <w:lang w:eastAsia="en-GB"/>
              </w:rPr>
            </w:pPr>
            <w:r w:rsidRPr="00C53B1E">
              <w:rPr>
                <w:rFonts w:cstheme="minorHAnsi"/>
                <w:lang w:eastAsia="en-GB"/>
              </w:rPr>
              <w:t>207</w:t>
            </w:r>
          </w:p>
        </w:tc>
        <w:tc>
          <w:tcPr>
            <w:tcW w:w="1105" w:type="dxa"/>
            <w:tcBorders>
              <w:top w:val="double" w:sz="6" w:space="0" w:color="auto"/>
              <w:left w:val="nil"/>
              <w:bottom w:val="double" w:sz="4" w:space="0" w:color="000000"/>
              <w:right w:val="double" w:sz="6" w:space="0" w:color="auto"/>
            </w:tcBorders>
            <w:vAlign w:val="center"/>
          </w:tcPr>
          <w:p w14:paraId="701E6BAF" w14:textId="77777777" w:rsidR="00EB6229" w:rsidRPr="00C53B1E" w:rsidRDefault="00EB6229" w:rsidP="00EB6229">
            <w:pPr>
              <w:jc w:val="both"/>
              <w:rPr>
                <w:rFonts w:cstheme="minorHAnsi"/>
                <w:lang w:eastAsia="en-GB"/>
              </w:rPr>
            </w:pPr>
            <w:r w:rsidRPr="00C53B1E">
              <w:rPr>
                <w:rFonts w:cstheme="minorHAnsi"/>
                <w:lang w:eastAsia="en-GB"/>
              </w:rPr>
              <w:t>157</w:t>
            </w:r>
          </w:p>
        </w:tc>
        <w:tc>
          <w:tcPr>
            <w:tcW w:w="1359" w:type="dxa"/>
            <w:tcBorders>
              <w:top w:val="nil"/>
              <w:left w:val="double" w:sz="6" w:space="0" w:color="auto"/>
              <w:bottom w:val="double" w:sz="4" w:space="0" w:color="000000"/>
              <w:right w:val="double" w:sz="6" w:space="0" w:color="auto"/>
            </w:tcBorders>
            <w:shd w:val="clear" w:color="auto" w:fill="FFF2CC" w:themeFill="accent4" w:themeFillTint="33"/>
            <w:vAlign w:val="center"/>
          </w:tcPr>
          <w:p w14:paraId="5A160153" w14:textId="77777777" w:rsidR="00EB6229" w:rsidRPr="00C53B1E" w:rsidRDefault="00EB6229" w:rsidP="00EB6229">
            <w:pPr>
              <w:jc w:val="both"/>
              <w:rPr>
                <w:rFonts w:cstheme="minorHAnsi"/>
                <w:lang w:eastAsia="en-GB"/>
              </w:rPr>
            </w:pPr>
            <w:r w:rsidRPr="00C53B1E">
              <w:rPr>
                <w:rFonts w:cstheme="minorHAnsi"/>
                <w:lang w:eastAsia="en-GB"/>
              </w:rPr>
              <w:t>154</w:t>
            </w:r>
          </w:p>
        </w:tc>
        <w:tc>
          <w:tcPr>
            <w:tcW w:w="1251" w:type="dxa"/>
            <w:tcBorders>
              <w:top w:val="nil"/>
              <w:left w:val="double" w:sz="6" w:space="0" w:color="auto"/>
              <w:bottom w:val="double" w:sz="4" w:space="0" w:color="000000"/>
              <w:right w:val="double" w:sz="6" w:space="0" w:color="auto"/>
            </w:tcBorders>
            <w:shd w:val="clear" w:color="auto" w:fill="FFF2CC" w:themeFill="accent4" w:themeFillTint="33"/>
            <w:vAlign w:val="center"/>
          </w:tcPr>
          <w:p w14:paraId="193DA499" w14:textId="77777777" w:rsidR="00EB6229" w:rsidRPr="00C53B1E" w:rsidRDefault="00EB6229" w:rsidP="00EB6229">
            <w:pPr>
              <w:jc w:val="both"/>
              <w:rPr>
                <w:rFonts w:cstheme="minorHAnsi"/>
                <w:lang w:eastAsia="en-GB"/>
              </w:rPr>
            </w:pPr>
            <w:r w:rsidRPr="00C53B1E">
              <w:rPr>
                <w:rFonts w:cstheme="minorHAnsi"/>
                <w:lang w:eastAsia="en-GB"/>
              </w:rPr>
              <w:t>146</w:t>
            </w:r>
          </w:p>
        </w:tc>
        <w:tc>
          <w:tcPr>
            <w:tcW w:w="1251" w:type="dxa"/>
            <w:tcBorders>
              <w:top w:val="nil"/>
              <w:left w:val="double" w:sz="6" w:space="0" w:color="auto"/>
              <w:bottom w:val="double" w:sz="4" w:space="0" w:color="000000"/>
              <w:right w:val="double" w:sz="6" w:space="0" w:color="auto"/>
            </w:tcBorders>
            <w:shd w:val="clear" w:color="auto" w:fill="FFF2CC" w:themeFill="accent4" w:themeFillTint="33"/>
            <w:vAlign w:val="center"/>
          </w:tcPr>
          <w:p w14:paraId="5A754B61" w14:textId="44B30632" w:rsidR="00EB6229" w:rsidRPr="00EB6229" w:rsidRDefault="00EB6229" w:rsidP="00EB6229">
            <w:pPr>
              <w:jc w:val="both"/>
              <w:rPr>
                <w:rFonts w:cstheme="minorHAnsi"/>
                <w:lang w:eastAsia="en-GB"/>
              </w:rPr>
            </w:pPr>
            <w:r w:rsidRPr="00EB6229">
              <w:rPr>
                <w:rFonts w:cstheme="minorHAnsi"/>
                <w:lang w:eastAsia="en-GB"/>
              </w:rPr>
              <w:t>148</w:t>
            </w:r>
          </w:p>
        </w:tc>
      </w:tr>
    </w:tbl>
    <w:p w14:paraId="778EFC4B" w14:textId="53B18AAD" w:rsidR="00184862" w:rsidRPr="00C53B1E" w:rsidRDefault="00184862" w:rsidP="00B15E08">
      <w:pPr>
        <w:pStyle w:val="NoSpacing"/>
        <w:jc w:val="both"/>
        <w:rPr>
          <w:rFonts w:cstheme="minorHAnsi"/>
          <w:b/>
          <w:bCs/>
          <w:lang w:eastAsia="en-GB"/>
        </w:rPr>
      </w:pPr>
    </w:p>
    <w:p w14:paraId="30E2A4F0" w14:textId="1BDDF289" w:rsidR="00874135" w:rsidRPr="00A1686B" w:rsidRDefault="008C79BD" w:rsidP="00B15E08">
      <w:pPr>
        <w:pStyle w:val="NoSpacing"/>
        <w:jc w:val="both"/>
      </w:pPr>
      <w:r>
        <w:t>8.11</w:t>
      </w:r>
      <w:r>
        <w:tab/>
      </w:r>
      <w:r w:rsidR="00874135" w:rsidRPr="00A1686B">
        <w:t xml:space="preserve">Between </w:t>
      </w:r>
      <w:r w:rsidR="00874135">
        <w:t>1</w:t>
      </w:r>
      <w:r w:rsidR="00874135" w:rsidRPr="00A1686B">
        <w:rPr>
          <w:vertAlign w:val="superscript"/>
        </w:rPr>
        <w:t>st</w:t>
      </w:r>
      <w:r w:rsidR="00874135">
        <w:t xml:space="preserve"> June 22 and 31</w:t>
      </w:r>
      <w:r w:rsidR="00874135" w:rsidRPr="00A1686B">
        <w:rPr>
          <w:vertAlign w:val="superscript"/>
        </w:rPr>
        <w:t>st</w:t>
      </w:r>
      <w:r w:rsidR="00874135">
        <w:t xml:space="preserve"> May 23, </w:t>
      </w:r>
      <w:r w:rsidR="00874135" w:rsidRPr="00A1686B">
        <w:t>there were 148 First Time Entrants</w:t>
      </w:r>
      <w:r w:rsidR="00874135">
        <w:rPr>
          <w:b/>
          <w:bCs/>
        </w:rPr>
        <w:t xml:space="preserve"> </w:t>
      </w:r>
      <w:r w:rsidR="00874135" w:rsidRPr="00A1686B">
        <w:t>that received the following interventions.</w:t>
      </w:r>
      <w:r w:rsidR="00874135">
        <w:rPr>
          <w:b/>
          <w:bCs/>
        </w:rPr>
        <w:t xml:space="preserve"> </w:t>
      </w:r>
      <w:r w:rsidR="009201AF" w:rsidRPr="009201AF">
        <w:t>It should be noted that Table 10</w:t>
      </w:r>
      <w:r w:rsidR="009201AF">
        <w:rPr>
          <w:b/>
          <w:bCs/>
        </w:rPr>
        <w:t xml:space="preserve"> </w:t>
      </w:r>
      <w:r w:rsidR="009201AF" w:rsidRPr="009201AF">
        <w:t>provides</w:t>
      </w:r>
      <w:r w:rsidR="009201AF">
        <w:t xml:space="preserve"> the outcome for First Time Entrants, the </w:t>
      </w:r>
      <w:r w:rsidR="006861E5">
        <w:t xml:space="preserve">offences committed is </w:t>
      </w:r>
      <w:r w:rsidR="00D257C8">
        <w:t xml:space="preserve">recorded </w:t>
      </w:r>
      <w:r w:rsidR="001D5459">
        <w:t xml:space="preserve">in Appendix </w:t>
      </w:r>
      <w:r w:rsidR="002815C0">
        <w:t>Six</w:t>
      </w:r>
    </w:p>
    <w:p w14:paraId="01DE48C8" w14:textId="77777777" w:rsidR="00874135" w:rsidRDefault="00874135" w:rsidP="00B15E08">
      <w:pPr>
        <w:pStyle w:val="NoSpacing"/>
        <w:jc w:val="both"/>
        <w:rPr>
          <w:b/>
          <w:bCs/>
        </w:rPr>
      </w:pPr>
    </w:p>
    <w:p w14:paraId="479ADFF8" w14:textId="0723C93E" w:rsidR="00874135" w:rsidRPr="00A1686B" w:rsidRDefault="00874135" w:rsidP="00B15E08">
      <w:pPr>
        <w:pStyle w:val="NoSpacing"/>
        <w:jc w:val="both"/>
        <w:rPr>
          <w:b/>
          <w:bCs/>
        </w:rPr>
      </w:pPr>
      <w:r>
        <w:rPr>
          <w:b/>
          <w:bCs/>
        </w:rPr>
        <w:t xml:space="preserve">Table </w:t>
      </w:r>
      <w:r w:rsidR="00596238">
        <w:rPr>
          <w:b/>
          <w:bCs/>
        </w:rPr>
        <w:t>10</w:t>
      </w:r>
      <w:r>
        <w:rPr>
          <w:b/>
          <w:bCs/>
        </w:rPr>
        <w:t xml:space="preserve"> </w:t>
      </w:r>
      <w:r w:rsidRPr="00A1686B">
        <w:rPr>
          <w:b/>
          <w:bCs/>
        </w:rPr>
        <w:t>Breakdown by outcome received:</w:t>
      </w:r>
    </w:p>
    <w:p w14:paraId="1B8F1998" w14:textId="77777777" w:rsidR="00874135" w:rsidRPr="00A1686B" w:rsidRDefault="00874135" w:rsidP="00B15E08">
      <w:pPr>
        <w:pStyle w:val="NoSpacing"/>
        <w:jc w:val="both"/>
        <w:rPr>
          <w:b/>
          <w:bCs/>
        </w:rPr>
      </w:pPr>
    </w:p>
    <w:tbl>
      <w:tblPr>
        <w:tblW w:w="0" w:type="auto"/>
        <w:tblCellMar>
          <w:left w:w="0" w:type="dxa"/>
          <w:right w:w="0" w:type="dxa"/>
        </w:tblCellMar>
        <w:tblLook w:val="04A0" w:firstRow="1" w:lastRow="0" w:firstColumn="1" w:lastColumn="0" w:noHBand="0" w:noVBand="1"/>
      </w:tblPr>
      <w:tblGrid>
        <w:gridCol w:w="4980"/>
        <w:gridCol w:w="820"/>
      </w:tblGrid>
      <w:tr w:rsidR="00874135" w:rsidRPr="00A1686B" w14:paraId="7C0B1530" w14:textId="77777777" w:rsidTr="00217EE8">
        <w:trPr>
          <w:trHeight w:val="300"/>
        </w:trPr>
        <w:tc>
          <w:tcPr>
            <w:tcW w:w="4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BD5A74C" w14:textId="77777777" w:rsidR="00874135" w:rsidRPr="00A1686B" w:rsidRDefault="00874135" w:rsidP="00B15E08">
            <w:pPr>
              <w:pStyle w:val="NoSpacing"/>
              <w:jc w:val="both"/>
              <w:rPr>
                <w:b/>
                <w:bCs/>
              </w:rPr>
            </w:pPr>
            <w:r w:rsidRPr="00A1686B">
              <w:rPr>
                <w:b/>
                <w:bCs/>
              </w:rPr>
              <w:t>Outcome</w:t>
            </w:r>
          </w:p>
        </w:tc>
        <w:tc>
          <w:tcPr>
            <w:tcW w:w="8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E7FE89A" w14:textId="77777777" w:rsidR="00874135" w:rsidRPr="00A1686B" w:rsidRDefault="00874135" w:rsidP="00B15E08">
            <w:pPr>
              <w:pStyle w:val="NoSpacing"/>
              <w:jc w:val="both"/>
              <w:rPr>
                <w:b/>
                <w:bCs/>
              </w:rPr>
            </w:pPr>
            <w:r w:rsidRPr="00A1686B">
              <w:rPr>
                <w:b/>
                <w:bCs/>
              </w:rPr>
              <w:t>FTE</w:t>
            </w:r>
          </w:p>
        </w:tc>
      </w:tr>
      <w:tr w:rsidR="00874135" w:rsidRPr="00A1686B" w14:paraId="2A6BE832"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38C9F3" w14:textId="77777777" w:rsidR="00874135" w:rsidRPr="00A1686B" w:rsidRDefault="00874135" w:rsidP="00B15E08">
            <w:pPr>
              <w:pStyle w:val="NoSpacing"/>
              <w:jc w:val="both"/>
            </w:pPr>
            <w:r w:rsidRPr="00A1686B">
              <w:t>Youth Caution</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2DA83E54" w14:textId="77777777" w:rsidR="00874135" w:rsidRPr="00A1686B" w:rsidRDefault="00874135" w:rsidP="00B15E08">
            <w:pPr>
              <w:pStyle w:val="NoSpacing"/>
              <w:jc w:val="both"/>
            </w:pPr>
            <w:r w:rsidRPr="00A1686B">
              <w:t>50</w:t>
            </w:r>
          </w:p>
        </w:tc>
      </w:tr>
      <w:tr w:rsidR="00874135" w:rsidRPr="00A1686B" w14:paraId="6469ED0D"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B78B2D" w14:textId="77777777" w:rsidR="00874135" w:rsidRPr="00A1686B" w:rsidRDefault="00874135" w:rsidP="00B15E08">
            <w:pPr>
              <w:pStyle w:val="NoSpacing"/>
              <w:jc w:val="both"/>
            </w:pPr>
            <w:r w:rsidRPr="00A1686B">
              <w:t>Referral Order</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62FBFE" w14:textId="77777777" w:rsidR="00874135" w:rsidRPr="00A1686B" w:rsidRDefault="00874135" w:rsidP="00B15E08">
            <w:pPr>
              <w:pStyle w:val="NoSpacing"/>
              <w:jc w:val="both"/>
            </w:pPr>
            <w:r w:rsidRPr="00A1686B">
              <w:t>47</w:t>
            </w:r>
          </w:p>
        </w:tc>
      </w:tr>
      <w:tr w:rsidR="00874135" w:rsidRPr="00A1686B" w14:paraId="2B7D29F1"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B80B40" w14:textId="77777777" w:rsidR="00874135" w:rsidRPr="00A1686B" w:rsidRDefault="00874135" w:rsidP="00B15E08">
            <w:pPr>
              <w:pStyle w:val="NoSpacing"/>
              <w:jc w:val="both"/>
            </w:pPr>
            <w:r w:rsidRPr="00A1686B">
              <w:t>Youth Conditional Caution</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059475F0" w14:textId="77777777" w:rsidR="00874135" w:rsidRPr="00A1686B" w:rsidRDefault="00874135" w:rsidP="00B15E08">
            <w:pPr>
              <w:pStyle w:val="NoSpacing"/>
              <w:jc w:val="both"/>
            </w:pPr>
            <w:r w:rsidRPr="00A1686B">
              <w:t>35</w:t>
            </w:r>
          </w:p>
        </w:tc>
      </w:tr>
      <w:tr w:rsidR="00874135" w:rsidRPr="00A1686B" w14:paraId="22FEB169"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BECD67" w14:textId="77777777" w:rsidR="00874135" w:rsidRPr="00A1686B" w:rsidRDefault="00874135" w:rsidP="00B15E08">
            <w:pPr>
              <w:pStyle w:val="NoSpacing"/>
              <w:jc w:val="both"/>
            </w:pPr>
            <w:r w:rsidRPr="00A1686B">
              <w:t>Youth Rehabilitation Order</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61DAD3DD" w14:textId="77777777" w:rsidR="00874135" w:rsidRPr="00A1686B" w:rsidRDefault="00874135" w:rsidP="00B15E08">
            <w:pPr>
              <w:pStyle w:val="NoSpacing"/>
              <w:jc w:val="both"/>
            </w:pPr>
            <w:r w:rsidRPr="00A1686B">
              <w:t>6</w:t>
            </w:r>
          </w:p>
        </w:tc>
      </w:tr>
      <w:tr w:rsidR="00874135" w:rsidRPr="00A1686B" w14:paraId="3D93C8B3"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E8C0BE" w14:textId="77777777" w:rsidR="00874135" w:rsidRPr="00A1686B" w:rsidRDefault="00874135" w:rsidP="00B15E08">
            <w:pPr>
              <w:pStyle w:val="NoSpacing"/>
              <w:jc w:val="both"/>
            </w:pPr>
            <w:r w:rsidRPr="00A1686B">
              <w:t>Conditional Discharge</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370A52" w14:textId="77777777" w:rsidR="00874135" w:rsidRPr="00A1686B" w:rsidRDefault="00874135" w:rsidP="00B15E08">
            <w:pPr>
              <w:pStyle w:val="NoSpacing"/>
              <w:jc w:val="both"/>
            </w:pPr>
            <w:r w:rsidRPr="00A1686B">
              <w:t>5</w:t>
            </w:r>
          </w:p>
        </w:tc>
      </w:tr>
      <w:tr w:rsidR="00874135" w:rsidRPr="00A1686B" w14:paraId="7361B80E"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875DDB" w14:textId="77777777" w:rsidR="00874135" w:rsidRPr="00A1686B" w:rsidRDefault="00874135" w:rsidP="00B15E08">
            <w:pPr>
              <w:pStyle w:val="NoSpacing"/>
              <w:jc w:val="both"/>
            </w:pPr>
            <w:r w:rsidRPr="00A1686B">
              <w:t>Youth Caution + Conditions</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09288ACE" w14:textId="77777777" w:rsidR="00874135" w:rsidRPr="00A1686B" w:rsidRDefault="00874135" w:rsidP="00B15E08">
            <w:pPr>
              <w:pStyle w:val="NoSpacing"/>
              <w:jc w:val="both"/>
            </w:pPr>
            <w:r w:rsidRPr="00A1686B">
              <w:t>2</w:t>
            </w:r>
          </w:p>
        </w:tc>
      </w:tr>
      <w:tr w:rsidR="00874135" w:rsidRPr="00A1686B" w14:paraId="6ECBEB4C"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DEEC46" w14:textId="77777777" w:rsidR="00874135" w:rsidRPr="00A1686B" w:rsidRDefault="00874135" w:rsidP="00B15E08">
            <w:pPr>
              <w:pStyle w:val="NoSpacing"/>
              <w:jc w:val="both"/>
            </w:pPr>
            <w:r w:rsidRPr="00A1686B">
              <w:t>Fine</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1ADE39" w14:textId="77777777" w:rsidR="00874135" w:rsidRPr="00A1686B" w:rsidRDefault="00874135" w:rsidP="00B15E08">
            <w:pPr>
              <w:pStyle w:val="NoSpacing"/>
              <w:jc w:val="both"/>
            </w:pPr>
            <w:r w:rsidRPr="00A1686B">
              <w:t>1</w:t>
            </w:r>
          </w:p>
        </w:tc>
      </w:tr>
      <w:tr w:rsidR="00874135" w:rsidRPr="00A1686B" w14:paraId="4A7F0BA7"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0EC476" w14:textId="352BA630" w:rsidR="00874135" w:rsidRPr="00A1686B" w:rsidRDefault="00874135" w:rsidP="00B15E08">
            <w:pPr>
              <w:pStyle w:val="NoSpacing"/>
              <w:jc w:val="both"/>
            </w:pPr>
            <w:r w:rsidRPr="00A1686B">
              <w:t>Section 250 (was Section 91 Order</w:t>
            </w:r>
            <w:r w:rsidR="00202059">
              <w:t>)</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7193B476" w14:textId="77777777" w:rsidR="00874135" w:rsidRPr="00A1686B" w:rsidRDefault="00874135" w:rsidP="00B15E08">
            <w:pPr>
              <w:pStyle w:val="NoSpacing"/>
              <w:jc w:val="both"/>
            </w:pPr>
            <w:r w:rsidRPr="00A1686B">
              <w:t>1</w:t>
            </w:r>
          </w:p>
        </w:tc>
      </w:tr>
      <w:tr w:rsidR="00874135" w:rsidRPr="00A1686B" w14:paraId="5AE1A6E0"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ED805" w14:textId="77777777" w:rsidR="00874135" w:rsidRPr="00A1686B" w:rsidRDefault="00874135" w:rsidP="00B15E08">
            <w:pPr>
              <w:pStyle w:val="NoSpacing"/>
              <w:jc w:val="both"/>
            </w:pPr>
            <w:r w:rsidRPr="00A1686B">
              <w:t>Youth Rehabilitation Order ISS Requirement Band 2</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E1DCD6" w14:textId="77777777" w:rsidR="00874135" w:rsidRPr="00A1686B" w:rsidRDefault="00874135" w:rsidP="00B15E08">
            <w:pPr>
              <w:pStyle w:val="NoSpacing"/>
              <w:jc w:val="both"/>
            </w:pPr>
            <w:r w:rsidRPr="00A1686B">
              <w:t>1</w:t>
            </w:r>
          </w:p>
        </w:tc>
      </w:tr>
    </w:tbl>
    <w:p w14:paraId="1DCBD4DD" w14:textId="77777777" w:rsidR="00874135" w:rsidRPr="00A1686B" w:rsidRDefault="00874135" w:rsidP="00B15E08">
      <w:pPr>
        <w:pStyle w:val="NoSpacing"/>
        <w:jc w:val="both"/>
      </w:pPr>
    </w:p>
    <w:p w14:paraId="2FB1F4EF" w14:textId="4DC70940" w:rsidR="00874135" w:rsidRPr="00A1686B" w:rsidRDefault="002E6492" w:rsidP="002E6492">
      <w:pPr>
        <w:pStyle w:val="NoSpacing"/>
        <w:ind w:left="720" w:hanging="720"/>
        <w:jc w:val="both"/>
      </w:pPr>
      <w:r>
        <w:t>8.12</w:t>
      </w:r>
      <w:r>
        <w:tab/>
      </w:r>
      <w:r w:rsidR="00796D01">
        <w:t>At this time</w:t>
      </w:r>
      <w:r w:rsidR="00D32130">
        <w:t>,</w:t>
      </w:r>
      <w:r w:rsidR="00796D01">
        <w:t xml:space="preserve"> we are uncertain as to whether the Youth Cautions </w:t>
      </w:r>
      <w:r w:rsidR="00D846CC">
        <w:t xml:space="preserve">are Police issued or following the multi-agency Out of Court Panel, and this is a data set that is being analysed for future </w:t>
      </w:r>
      <w:r w:rsidR="00D32130">
        <w:t xml:space="preserve">reporting. We anticipate that with the increased use of Outcome 22 and the changes to the Knife Crime process, this will see a significant impact on our First Time Entrant cohort. </w:t>
      </w:r>
      <w:r>
        <w:t xml:space="preserve">Of greatest significance is that </w:t>
      </w:r>
      <w:r w:rsidR="00874135" w:rsidRPr="00A1686B">
        <w:t xml:space="preserve">of these 148 only 21 </w:t>
      </w:r>
      <w:r w:rsidR="00874135">
        <w:t>r</w:t>
      </w:r>
      <w:r w:rsidR="00874135" w:rsidRPr="00A1686B">
        <w:t xml:space="preserve">eoffended </w:t>
      </w:r>
      <w:r w:rsidR="00874135">
        <w:t xml:space="preserve">equating to a reoffending rate of just </w:t>
      </w:r>
      <w:r w:rsidR="00874135" w:rsidRPr="00A1686B">
        <w:t>14%.</w:t>
      </w:r>
    </w:p>
    <w:p w14:paraId="4247E575" w14:textId="77777777" w:rsidR="00874135" w:rsidRDefault="00874135" w:rsidP="00B15E08">
      <w:pPr>
        <w:pStyle w:val="NoSpacing"/>
        <w:jc w:val="both"/>
        <w:rPr>
          <w:b/>
          <w:bCs/>
        </w:rPr>
      </w:pPr>
    </w:p>
    <w:p w14:paraId="112F6C80" w14:textId="7BFB4A65" w:rsidR="00874135" w:rsidRPr="00A1686B" w:rsidRDefault="00596238" w:rsidP="00B15E08">
      <w:pPr>
        <w:pStyle w:val="NoSpacing"/>
        <w:jc w:val="both"/>
        <w:rPr>
          <w:b/>
          <w:bCs/>
        </w:rPr>
      </w:pPr>
      <w:r>
        <w:rPr>
          <w:b/>
          <w:bCs/>
        </w:rPr>
        <w:t xml:space="preserve">Table 11 </w:t>
      </w:r>
      <w:r w:rsidR="00874135" w:rsidRPr="00A1686B">
        <w:rPr>
          <w:b/>
          <w:bCs/>
        </w:rPr>
        <w:t>Breakdown of Re-offenders by initial outcome received:</w:t>
      </w:r>
    </w:p>
    <w:p w14:paraId="636214C2" w14:textId="77777777" w:rsidR="00874135" w:rsidRPr="00A1686B" w:rsidRDefault="00874135" w:rsidP="00B15E08">
      <w:pPr>
        <w:pStyle w:val="NoSpacing"/>
        <w:jc w:val="both"/>
      </w:pPr>
    </w:p>
    <w:tbl>
      <w:tblPr>
        <w:tblW w:w="0" w:type="auto"/>
        <w:tblCellMar>
          <w:left w:w="0" w:type="dxa"/>
          <w:right w:w="0" w:type="dxa"/>
        </w:tblCellMar>
        <w:tblLook w:val="04A0" w:firstRow="1" w:lastRow="0" w:firstColumn="1" w:lastColumn="0" w:noHBand="0" w:noVBand="1"/>
      </w:tblPr>
      <w:tblGrid>
        <w:gridCol w:w="4980"/>
        <w:gridCol w:w="1533"/>
      </w:tblGrid>
      <w:tr w:rsidR="00874135" w:rsidRPr="00A1686B" w14:paraId="45E6988B" w14:textId="77777777" w:rsidTr="00217EE8">
        <w:trPr>
          <w:trHeight w:val="300"/>
        </w:trPr>
        <w:tc>
          <w:tcPr>
            <w:tcW w:w="4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4C34166" w14:textId="77777777" w:rsidR="00874135" w:rsidRPr="00A1686B" w:rsidRDefault="00874135" w:rsidP="00B15E08">
            <w:pPr>
              <w:pStyle w:val="NoSpacing"/>
              <w:jc w:val="both"/>
              <w:rPr>
                <w:b/>
                <w:bCs/>
              </w:rPr>
            </w:pPr>
            <w:r w:rsidRPr="00A1686B">
              <w:rPr>
                <w:b/>
                <w:bCs/>
              </w:rPr>
              <w:t>FTE Outcome</w:t>
            </w:r>
          </w:p>
        </w:tc>
        <w:tc>
          <w:tcPr>
            <w:tcW w:w="153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1B0C79D" w14:textId="77777777" w:rsidR="00874135" w:rsidRPr="00A1686B" w:rsidRDefault="00874135" w:rsidP="00B15E08">
            <w:pPr>
              <w:pStyle w:val="NoSpacing"/>
              <w:jc w:val="both"/>
              <w:rPr>
                <w:b/>
                <w:bCs/>
              </w:rPr>
            </w:pPr>
            <w:r w:rsidRPr="00A1686B">
              <w:rPr>
                <w:b/>
                <w:bCs/>
              </w:rPr>
              <w:t>Re-offenders</w:t>
            </w:r>
          </w:p>
        </w:tc>
      </w:tr>
      <w:tr w:rsidR="00874135" w:rsidRPr="00A1686B" w14:paraId="40ACC2A9"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6E36A" w14:textId="77777777" w:rsidR="00874135" w:rsidRPr="00A1686B" w:rsidRDefault="00874135" w:rsidP="00B15E08">
            <w:pPr>
              <w:pStyle w:val="NoSpacing"/>
              <w:jc w:val="both"/>
            </w:pPr>
            <w:r w:rsidRPr="00A1686B">
              <w:t>Referral Order</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7DFF27F4" w14:textId="77777777" w:rsidR="00874135" w:rsidRPr="00A1686B" w:rsidRDefault="00874135" w:rsidP="00B15E08">
            <w:pPr>
              <w:pStyle w:val="NoSpacing"/>
              <w:jc w:val="both"/>
            </w:pPr>
            <w:r w:rsidRPr="00A1686B">
              <w:t>14</w:t>
            </w:r>
          </w:p>
        </w:tc>
      </w:tr>
      <w:tr w:rsidR="00874135" w:rsidRPr="00A1686B" w14:paraId="0802FD0E"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B4B386" w14:textId="77777777" w:rsidR="00874135" w:rsidRPr="00A1686B" w:rsidRDefault="00874135" w:rsidP="00B15E08">
            <w:pPr>
              <w:pStyle w:val="NoSpacing"/>
              <w:jc w:val="both"/>
            </w:pPr>
            <w:r w:rsidRPr="00A1686B">
              <w:t>Youth Caution</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3557E543" w14:textId="77777777" w:rsidR="00874135" w:rsidRPr="00A1686B" w:rsidRDefault="00874135" w:rsidP="00B15E08">
            <w:pPr>
              <w:pStyle w:val="NoSpacing"/>
              <w:jc w:val="both"/>
            </w:pPr>
            <w:r w:rsidRPr="00A1686B">
              <w:t>5</w:t>
            </w:r>
          </w:p>
        </w:tc>
      </w:tr>
      <w:tr w:rsidR="00874135" w:rsidRPr="00A1686B" w14:paraId="5DB5B448"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B2C106" w14:textId="77777777" w:rsidR="00874135" w:rsidRPr="00A1686B" w:rsidRDefault="00874135" w:rsidP="00B15E08">
            <w:pPr>
              <w:pStyle w:val="NoSpacing"/>
              <w:jc w:val="both"/>
            </w:pPr>
            <w:r w:rsidRPr="00A1686B">
              <w:t>Conditional Discharge</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65A3F332" w14:textId="77777777" w:rsidR="00874135" w:rsidRPr="00A1686B" w:rsidRDefault="00874135" w:rsidP="00B15E08">
            <w:pPr>
              <w:pStyle w:val="NoSpacing"/>
              <w:jc w:val="both"/>
            </w:pPr>
            <w:r w:rsidRPr="00A1686B">
              <w:t>1</w:t>
            </w:r>
          </w:p>
        </w:tc>
      </w:tr>
      <w:tr w:rsidR="00874135" w:rsidRPr="00A1686B" w14:paraId="516E1834"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D2164F" w14:textId="77777777" w:rsidR="00874135" w:rsidRPr="00A1686B" w:rsidRDefault="00874135" w:rsidP="00B15E08">
            <w:pPr>
              <w:pStyle w:val="NoSpacing"/>
              <w:jc w:val="both"/>
            </w:pPr>
            <w:r w:rsidRPr="00A1686B">
              <w:t>Youth Rehabilitation Order</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7CAE9A9B" w14:textId="77777777" w:rsidR="00874135" w:rsidRPr="00A1686B" w:rsidRDefault="00874135" w:rsidP="00B15E08">
            <w:pPr>
              <w:pStyle w:val="NoSpacing"/>
              <w:jc w:val="both"/>
            </w:pPr>
            <w:r w:rsidRPr="00A1686B">
              <w:t>1</w:t>
            </w:r>
          </w:p>
        </w:tc>
      </w:tr>
    </w:tbl>
    <w:p w14:paraId="07A37250" w14:textId="77777777" w:rsidR="00874135" w:rsidRPr="00A1686B" w:rsidRDefault="00874135" w:rsidP="00B15E08">
      <w:pPr>
        <w:pStyle w:val="NoSpacing"/>
        <w:jc w:val="both"/>
      </w:pPr>
    </w:p>
    <w:p w14:paraId="24651E5D" w14:textId="61366653" w:rsidR="00874135" w:rsidRPr="00A1686B" w:rsidRDefault="002E6492" w:rsidP="002E6492">
      <w:pPr>
        <w:pStyle w:val="NoSpacing"/>
        <w:ind w:left="720" w:hanging="720"/>
        <w:jc w:val="both"/>
      </w:pPr>
      <w:r>
        <w:t>8.13</w:t>
      </w:r>
      <w:r>
        <w:tab/>
      </w:r>
      <w:r w:rsidR="00B946A0">
        <w:t xml:space="preserve">Further analysis is needed on the escalation of offending when reoffending and this will be provided for future reporting. </w:t>
      </w:r>
      <w:r w:rsidR="00715CFA">
        <w:t xml:space="preserve">All children who receive an Out of Court Disposal do receive YJS </w:t>
      </w:r>
      <w:r w:rsidR="00715CFA">
        <w:lastRenderedPageBreak/>
        <w:t xml:space="preserve">intervention and support. </w:t>
      </w:r>
      <w:r w:rsidR="00874135" w:rsidRPr="00A1686B">
        <w:t>Of those that went on to reoffend, the breakdown of outcomes received after FTE outcome</w:t>
      </w:r>
      <w:r w:rsidR="00874135">
        <w:t xml:space="preserve"> is as follows</w:t>
      </w:r>
      <w:r w:rsidR="00874135" w:rsidRPr="00A1686B">
        <w:t>:</w:t>
      </w:r>
    </w:p>
    <w:p w14:paraId="07859B02" w14:textId="77777777" w:rsidR="008C79BD" w:rsidRDefault="008C79BD" w:rsidP="00B15E08">
      <w:pPr>
        <w:pStyle w:val="NoSpacing"/>
        <w:jc w:val="both"/>
      </w:pPr>
    </w:p>
    <w:p w14:paraId="5F1AE326" w14:textId="77777777" w:rsidR="00715CFA" w:rsidRDefault="00715CFA" w:rsidP="00B15E08">
      <w:pPr>
        <w:pStyle w:val="NoSpacing"/>
        <w:jc w:val="both"/>
        <w:rPr>
          <w:b/>
          <w:bCs/>
        </w:rPr>
      </w:pPr>
    </w:p>
    <w:p w14:paraId="175381CB" w14:textId="77777777" w:rsidR="00715CFA" w:rsidRDefault="00715CFA" w:rsidP="00B15E08">
      <w:pPr>
        <w:pStyle w:val="NoSpacing"/>
        <w:jc w:val="both"/>
        <w:rPr>
          <w:b/>
          <w:bCs/>
        </w:rPr>
      </w:pPr>
    </w:p>
    <w:p w14:paraId="33CD54A3" w14:textId="25891767" w:rsidR="00596238" w:rsidRPr="00596238" w:rsidRDefault="00596238" w:rsidP="00B15E08">
      <w:pPr>
        <w:pStyle w:val="NoSpacing"/>
        <w:jc w:val="both"/>
        <w:rPr>
          <w:b/>
          <w:bCs/>
        </w:rPr>
      </w:pPr>
      <w:r w:rsidRPr="00596238">
        <w:rPr>
          <w:b/>
          <w:bCs/>
        </w:rPr>
        <w:t>Table 12 Outcomes received after FTE outcome</w:t>
      </w:r>
    </w:p>
    <w:p w14:paraId="3EA402D9" w14:textId="77777777" w:rsidR="00596238" w:rsidRPr="00A1686B" w:rsidRDefault="00596238" w:rsidP="00B15E08">
      <w:pPr>
        <w:pStyle w:val="NoSpacing"/>
        <w:jc w:val="both"/>
      </w:pPr>
    </w:p>
    <w:tbl>
      <w:tblPr>
        <w:tblW w:w="0" w:type="auto"/>
        <w:tblCellMar>
          <w:left w:w="0" w:type="dxa"/>
          <w:right w:w="0" w:type="dxa"/>
        </w:tblCellMar>
        <w:tblLook w:val="04A0" w:firstRow="1" w:lastRow="0" w:firstColumn="1" w:lastColumn="0" w:noHBand="0" w:noVBand="1"/>
      </w:tblPr>
      <w:tblGrid>
        <w:gridCol w:w="4980"/>
        <w:gridCol w:w="1533"/>
      </w:tblGrid>
      <w:tr w:rsidR="00874135" w:rsidRPr="00A1686B" w14:paraId="5CD7672E" w14:textId="77777777" w:rsidTr="00217EE8">
        <w:trPr>
          <w:trHeight w:val="300"/>
        </w:trPr>
        <w:tc>
          <w:tcPr>
            <w:tcW w:w="4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CB5DA7" w14:textId="77777777" w:rsidR="00874135" w:rsidRPr="00A1686B" w:rsidRDefault="00874135" w:rsidP="00B15E08">
            <w:pPr>
              <w:pStyle w:val="NoSpacing"/>
              <w:jc w:val="both"/>
              <w:rPr>
                <w:b/>
                <w:bCs/>
              </w:rPr>
            </w:pPr>
            <w:r w:rsidRPr="00A1686B">
              <w:rPr>
                <w:b/>
                <w:bCs/>
              </w:rPr>
              <w:t>Next Outcome</w:t>
            </w:r>
          </w:p>
        </w:tc>
        <w:tc>
          <w:tcPr>
            <w:tcW w:w="153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D48AA4" w14:textId="77777777" w:rsidR="00874135" w:rsidRPr="00A1686B" w:rsidRDefault="00874135" w:rsidP="00B15E08">
            <w:pPr>
              <w:pStyle w:val="NoSpacing"/>
              <w:jc w:val="both"/>
              <w:rPr>
                <w:b/>
                <w:bCs/>
              </w:rPr>
            </w:pPr>
            <w:r w:rsidRPr="00A1686B">
              <w:rPr>
                <w:b/>
                <w:bCs/>
              </w:rPr>
              <w:t>Re-offenders</w:t>
            </w:r>
          </w:p>
        </w:tc>
      </w:tr>
      <w:tr w:rsidR="00874135" w:rsidRPr="00A1686B" w14:paraId="5C8B63CE"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9E32FE" w14:textId="77777777" w:rsidR="00874135" w:rsidRPr="00A1686B" w:rsidRDefault="00874135" w:rsidP="00B15E08">
            <w:pPr>
              <w:pStyle w:val="NoSpacing"/>
              <w:jc w:val="both"/>
            </w:pPr>
            <w:r w:rsidRPr="00A1686B">
              <w:t>No outcome decided yet</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2617079A" w14:textId="77777777" w:rsidR="00874135" w:rsidRPr="00A1686B" w:rsidRDefault="00874135" w:rsidP="00B15E08">
            <w:pPr>
              <w:pStyle w:val="NoSpacing"/>
              <w:jc w:val="both"/>
            </w:pPr>
            <w:r w:rsidRPr="00A1686B">
              <w:t>5</w:t>
            </w:r>
          </w:p>
        </w:tc>
      </w:tr>
      <w:tr w:rsidR="00874135" w:rsidRPr="00A1686B" w14:paraId="7976E6C0"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0ACE6" w14:textId="77777777" w:rsidR="00874135" w:rsidRPr="00A1686B" w:rsidRDefault="00874135" w:rsidP="00B15E08">
            <w:pPr>
              <w:pStyle w:val="NoSpacing"/>
              <w:jc w:val="both"/>
            </w:pPr>
            <w:r w:rsidRPr="00A1686B">
              <w:t>Community Resolution Police Facilitated</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6575F64D" w14:textId="77777777" w:rsidR="00874135" w:rsidRPr="00A1686B" w:rsidRDefault="00874135" w:rsidP="00B15E08">
            <w:pPr>
              <w:pStyle w:val="NoSpacing"/>
              <w:jc w:val="both"/>
            </w:pPr>
            <w:r w:rsidRPr="00A1686B">
              <w:t>3</w:t>
            </w:r>
          </w:p>
        </w:tc>
      </w:tr>
      <w:tr w:rsidR="00874135" w:rsidRPr="00A1686B" w14:paraId="5552D87F"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7F3A7A" w14:textId="77777777" w:rsidR="00874135" w:rsidRPr="00A1686B" w:rsidRDefault="00874135" w:rsidP="00B15E08">
            <w:pPr>
              <w:pStyle w:val="NoSpacing"/>
              <w:jc w:val="both"/>
            </w:pPr>
            <w:r w:rsidRPr="00A1686B">
              <w:t>Detention + Training Order (Custody)</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68F3355B" w14:textId="77777777" w:rsidR="00874135" w:rsidRPr="00A1686B" w:rsidRDefault="00874135" w:rsidP="00B15E08">
            <w:pPr>
              <w:pStyle w:val="NoSpacing"/>
              <w:jc w:val="both"/>
            </w:pPr>
            <w:r w:rsidRPr="00A1686B">
              <w:t>2</w:t>
            </w:r>
          </w:p>
        </w:tc>
      </w:tr>
      <w:tr w:rsidR="00874135" w:rsidRPr="00A1686B" w14:paraId="048BD914"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486450" w14:textId="77777777" w:rsidR="00874135" w:rsidRPr="00A1686B" w:rsidRDefault="00874135" w:rsidP="00B15E08">
            <w:pPr>
              <w:pStyle w:val="NoSpacing"/>
              <w:jc w:val="both"/>
            </w:pPr>
            <w:r w:rsidRPr="00A1686B">
              <w:t>Order Varied</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023D4BA6" w14:textId="77777777" w:rsidR="00874135" w:rsidRPr="00A1686B" w:rsidRDefault="00874135" w:rsidP="00B15E08">
            <w:pPr>
              <w:pStyle w:val="NoSpacing"/>
              <w:jc w:val="both"/>
            </w:pPr>
            <w:r w:rsidRPr="00A1686B">
              <w:t>2</w:t>
            </w:r>
          </w:p>
        </w:tc>
      </w:tr>
      <w:tr w:rsidR="00874135" w:rsidRPr="00A1686B" w14:paraId="5CE906DA"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138979" w14:textId="77777777" w:rsidR="00874135" w:rsidRPr="00A1686B" w:rsidRDefault="00874135" w:rsidP="00B15E08">
            <w:pPr>
              <w:pStyle w:val="NoSpacing"/>
              <w:jc w:val="both"/>
            </w:pPr>
            <w:r w:rsidRPr="00A1686B">
              <w:t>Youth Rehabilitation Order</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7C8D89B6" w14:textId="77777777" w:rsidR="00874135" w:rsidRPr="00A1686B" w:rsidRDefault="00874135" w:rsidP="00B15E08">
            <w:pPr>
              <w:pStyle w:val="NoSpacing"/>
              <w:jc w:val="both"/>
            </w:pPr>
            <w:r w:rsidRPr="00A1686B">
              <w:t>2</w:t>
            </w:r>
          </w:p>
        </w:tc>
      </w:tr>
      <w:tr w:rsidR="00874135" w:rsidRPr="00A1686B" w14:paraId="1D4B235A"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B8B62E" w14:textId="77777777" w:rsidR="00874135" w:rsidRPr="00A1686B" w:rsidRDefault="00874135" w:rsidP="00B15E08">
            <w:pPr>
              <w:pStyle w:val="NoSpacing"/>
              <w:jc w:val="both"/>
            </w:pPr>
            <w:r w:rsidRPr="00A1686B">
              <w:t>Community Resolution (Non</w:t>
            </w:r>
            <w:r>
              <w:t>-s</w:t>
            </w:r>
            <w:r w:rsidRPr="00A1686B">
              <w:t>ubstantive/Voluntary)</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3331EC83" w14:textId="77777777" w:rsidR="00874135" w:rsidRPr="00A1686B" w:rsidRDefault="00874135" w:rsidP="00B15E08">
            <w:pPr>
              <w:pStyle w:val="NoSpacing"/>
              <w:jc w:val="both"/>
            </w:pPr>
            <w:r w:rsidRPr="00A1686B">
              <w:t>1</w:t>
            </w:r>
          </w:p>
        </w:tc>
      </w:tr>
      <w:tr w:rsidR="00874135" w:rsidRPr="00A1686B" w14:paraId="0FB94A69"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97EB4A" w14:textId="77777777" w:rsidR="00874135" w:rsidRPr="00A1686B" w:rsidRDefault="00874135" w:rsidP="00B15E08">
            <w:pPr>
              <w:pStyle w:val="NoSpacing"/>
              <w:jc w:val="both"/>
            </w:pPr>
            <w:r w:rsidRPr="00A1686B">
              <w:t>Deferred Prosecution Outcome 22</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6D2A6D8A" w14:textId="77777777" w:rsidR="00874135" w:rsidRPr="00A1686B" w:rsidRDefault="00874135" w:rsidP="00B15E08">
            <w:pPr>
              <w:pStyle w:val="NoSpacing"/>
              <w:jc w:val="both"/>
            </w:pPr>
            <w:r w:rsidRPr="00A1686B">
              <w:t>1</w:t>
            </w:r>
          </w:p>
        </w:tc>
      </w:tr>
      <w:tr w:rsidR="00874135" w:rsidRPr="00A1686B" w14:paraId="3FA1A898"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685A9C" w14:textId="77777777" w:rsidR="00874135" w:rsidRPr="00A1686B" w:rsidRDefault="00874135" w:rsidP="00B15E08">
            <w:pPr>
              <w:pStyle w:val="NoSpacing"/>
              <w:jc w:val="both"/>
            </w:pPr>
            <w:r w:rsidRPr="00A1686B">
              <w:t>Outcome 22</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086902EB" w14:textId="77777777" w:rsidR="00874135" w:rsidRPr="00A1686B" w:rsidRDefault="00874135" w:rsidP="00B15E08">
            <w:pPr>
              <w:pStyle w:val="NoSpacing"/>
              <w:jc w:val="both"/>
            </w:pPr>
            <w:r w:rsidRPr="00A1686B">
              <w:t>1</w:t>
            </w:r>
          </w:p>
        </w:tc>
      </w:tr>
      <w:tr w:rsidR="00874135" w:rsidRPr="00A1686B" w14:paraId="0CE1A5FB"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CDA40A" w14:textId="77777777" w:rsidR="00874135" w:rsidRPr="00A1686B" w:rsidRDefault="00874135" w:rsidP="00B15E08">
            <w:pPr>
              <w:pStyle w:val="NoSpacing"/>
              <w:jc w:val="both"/>
            </w:pPr>
            <w:r w:rsidRPr="00A1686B">
              <w:t>Referral Order</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671ADEC9" w14:textId="77777777" w:rsidR="00874135" w:rsidRPr="00A1686B" w:rsidRDefault="00874135" w:rsidP="00B15E08">
            <w:pPr>
              <w:pStyle w:val="NoSpacing"/>
              <w:jc w:val="both"/>
            </w:pPr>
            <w:r w:rsidRPr="00A1686B">
              <w:t>1</w:t>
            </w:r>
          </w:p>
        </w:tc>
      </w:tr>
      <w:tr w:rsidR="00874135" w:rsidRPr="00A1686B" w14:paraId="5356F929"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A9434F" w14:textId="77777777" w:rsidR="00874135" w:rsidRPr="00A1686B" w:rsidRDefault="00874135" w:rsidP="00B15E08">
            <w:pPr>
              <w:pStyle w:val="NoSpacing"/>
              <w:jc w:val="both"/>
            </w:pPr>
            <w:r w:rsidRPr="00A1686B">
              <w:t>Referral Order + Additions</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4387FF39" w14:textId="77777777" w:rsidR="00874135" w:rsidRPr="00A1686B" w:rsidRDefault="00874135" w:rsidP="00B15E08">
            <w:pPr>
              <w:pStyle w:val="NoSpacing"/>
              <w:jc w:val="both"/>
            </w:pPr>
            <w:r w:rsidRPr="00A1686B">
              <w:t>1</w:t>
            </w:r>
          </w:p>
        </w:tc>
      </w:tr>
      <w:tr w:rsidR="00874135" w:rsidRPr="00A1686B" w14:paraId="43ED9A67" w14:textId="77777777" w:rsidTr="00217EE8">
        <w:trPr>
          <w:trHeight w:val="300"/>
        </w:trPr>
        <w:tc>
          <w:tcPr>
            <w:tcW w:w="4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A1705D" w14:textId="77777777" w:rsidR="00874135" w:rsidRPr="00A1686B" w:rsidRDefault="00874135" w:rsidP="00B15E08">
            <w:pPr>
              <w:pStyle w:val="NoSpacing"/>
              <w:jc w:val="both"/>
            </w:pPr>
            <w:r w:rsidRPr="00A1686B">
              <w:t>Remand to LAA Status/Programme no outcome yet</w:t>
            </w:r>
          </w:p>
        </w:tc>
        <w:tc>
          <w:tcPr>
            <w:tcW w:w="1533" w:type="dxa"/>
            <w:tcBorders>
              <w:top w:val="nil"/>
              <w:left w:val="nil"/>
              <w:bottom w:val="single" w:sz="8" w:space="0" w:color="auto"/>
              <w:right w:val="single" w:sz="8" w:space="0" w:color="auto"/>
            </w:tcBorders>
            <w:noWrap/>
            <w:tcMar>
              <w:top w:w="0" w:type="dxa"/>
              <w:left w:w="108" w:type="dxa"/>
              <w:bottom w:w="0" w:type="dxa"/>
              <w:right w:w="108" w:type="dxa"/>
            </w:tcMar>
            <w:hideMark/>
          </w:tcPr>
          <w:p w14:paraId="2E606ACA" w14:textId="77777777" w:rsidR="00874135" w:rsidRPr="00A1686B" w:rsidRDefault="00874135" w:rsidP="00B15E08">
            <w:pPr>
              <w:pStyle w:val="NoSpacing"/>
              <w:jc w:val="both"/>
            </w:pPr>
            <w:r w:rsidRPr="00A1686B">
              <w:t>1</w:t>
            </w:r>
          </w:p>
        </w:tc>
      </w:tr>
    </w:tbl>
    <w:p w14:paraId="2652F3B5" w14:textId="77777777" w:rsidR="002010D8" w:rsidRDefault="002010D8" w:rsidP="00B15E08">
      <w:pPr>
        <w:pStyle w:val="NoSpacing"/>
        <w:jc w:val="both"/>
        <w:rPr>
          <w:b/>
          <w:bCs/>
        </w:rPr>
      </w:pPr>
    </w:p>
    <w:p w14:paraId="7DBEBA78" w14:textId="1C9A43B6" w:rsidR="00565BCA" w:rsidRDefault="00565BCA" w:rsidP="00B15E08">
      <w:pPr>
        <w:pStyle w:val="NoSpacing"/>
        <w:jc w:val="both"/>
        <w:rPr>
          <w:b/>
          <w:bCs/>
        </w:rPr>
      </w:pPr>
      <w:r w:rsidRPr="00565BCA">
        <w:rPr>
          <w:b/>
          <w:bCs/>
        </w:rPr>
        <w:t>New Key Performance Indicators</w:t>
      </w:r>
    </w:p>
    <w:p w14:paraId="652466B2" w14:textId="77777777" w:rsidR="00753283" w:rsidRPr="00565BCA" w:rsidRDefault="00753283" w:rsidP="00B15E08">
      <w:pPr>
        <w:pStyle w:val="NoSpacing"/>
        <w:jc w:val="both"/>
        <w:rPr>
          <w:b/>
          <w:bCs/>
        </w:rPr>
      </w:pPr>
    </w:p>
    <w:p w14:paraId="779B089C" w14:textId="03B4A809" w:rsidR="001B7E3F" w:rsidRPr="00C53B1E" w:rsidRDefault="00D010CB" w:rsidP="00D010CB">
      <w:pPr>
        <w:ind w:left="720" w:hanging="720"/>
        <w:jc w:val="both"/>
        <w:rPr>
          <w:rFonts w:cstheme="minorHAnsi"/>
        </w:rPr>
      </w:pPr>
      <w:r>
        <w:rPr>
          <w:rFonts w:cstheme="minorHAnsi"/>
        </w:rPr>
        <w:t>8.1</w:t>
      </w:r>
      <w:r w:rsidR="002E6492">
        <w:rPr>
          <w:rFonts w:cstheme="minorHAnsi"/>
        </w:rPr>
        <w:t>4</w:t>
      </w:r>
      <w:r>
        <w:rPr>
          <w:rFonts w:cstheme="minorHAnsi"/>
        </w:rPr>
        <w:tab/>
      </w:r>
      <w:r w:rsidR="001B7E3F" w:rsidRPr="00C53B1E">
        <w:rPr>
          <w:rFonts w:cstheme="minorHAnsi"/>
        </w:rPr>
        <w:t>The introduction of the new KPI measures has coincided with our adoption of a new case management system.  As such, the opportunity has been used to change and improve recording practices within Nottingham YJS and with our partners; we are now able to both record, and report from, information held about children in relation to mental health, substance use, and education in a way that was not previously possible.   Work is ongoing with YJS staff to embed these recording principles into routine practice so data can be readily investigated and analysed.  This is a change from the previous situation where data were previously held across a range of alternative formats, and often recorded in a qualitative fashion in assessments such as Asset+.</w:t>
      </w:r>
    </w:p>
    <w:p w14:paraId="11A633BF" w14:textId="27FF7D23" w:rsidR="001B7E3F" w:rsidRPr="00C53B1E" w:rsidRDefault="00D010CB" w:rsidP="00D010CB">
      <w:pPr>
        <w:ind w:left="720" w:hanging="720"/>
        <w:jc w:val="both"/>
        <w:rPr>
          <w:rFonts w:cstheme="minorHAnsi"/>
        </w:rPr>
      </w:pPr>
      <w:r>
        <w:rPr>
          <w:rFonts w:cstheme="minorHAnsi"/>
        </w:rPr>
        <w:t>8.1</w:t>
      </w:r>
      <w:r w:rsidR="002E6492">
        <w:rPr>
          <w:rFonts w:cstheme="minorHAnsi"/>
        </w:rPr>
        <w:t>5</w:t>
      </w:r>
      <w:r>
        <w:rPr>
          <w:rFonts w:cstheme="minorHAnsi"/>
        </w:rPr>
        <w:tab/>
      </w:r>
      <w:r w:rsidR="001B7E3F" w:rsidRPr="00C53B1E">
        <w:rPr>
          <w:rFonts w:cstheme="minorHAnsi"/>
        </w:rPr>
        <w:t xml:space="preserve">This has also required the YJS to reconfigure and update many information sharing mechanisms with education, health, Police and other partners to ensure that the YJS is in receipt of accurate and timely data about children known to the YJS, and especially for those </w:t>
      </w:r>
      <w:proofErr w:type="gramStart"/>
      <w:r w:rsidR="001B7E3F" w:rsidRPr="00C53B1E">
        <w:rPr>
          <w:rFonts w:cstheme="minorHAnsi"/>
        </w:rPr>
        <w:t>first time</w:t>
      </w:r>
      <w:proofErr w:type="gramEnd"/>
      <w:r w:rsidR="001B7E3F" w:rsidRPr="00C53B1E">
        <w:rPr>
          <w:rFonts w:cstheme="minorHAnsi"/>
        </w:rPr>
        <w:t xml:space="preserve"> entrants to YJS previously known to other services.   There remain some challenges in these areas, as the commissioning arrangements with many of these partners was not undertaken with knowledge of these new KPIs, and some partners do not record, or are unable to easily extract, the datasets required to inform some of the KPI measures. </w:t>
      </w:r>
    </w:p>
    <w:p w14:paraId="301BEF98" w14:textId="6510D0D7" w:rsidR="001B7E3F" w:rsidRPr="00C53B1E" w:rsidRDefault="00D010CB" w:rsidP="00D010CB">
      <w:pPr>
        <w:ind w:left="720" w:hanging="720"/>
        <w:jc w:val="both"/>
        <w:rPr>
          <w:rFonts w:cstheme="minorHAnsi"/>
        </w:rPr>
      </w:pPr>
      <w:r>
        <w:rPr>
          <w:rFonts w:cstheme="minorHAnsi"/>
        </w:rPr>
        <w:t>8.1</w:t>
      </w:r>
      <w:r w:rsidR="002E6492">
        <w:rPr>
          <w:rFonts w:cstheme="minorHAnsi"/>
        </w:rPr>
        <w:t>6</w:t>
      </w:r>
      <w:r>
        <w:rPr>
          <w:rFonts w:cstheme="minorHAnsi"/>
        </w:rPr>
        <w:tab/>
      </w:r>
      <w:r w:rsidR="001B7E3F" w:rsidRPr="00C53B1E">
        <w:rPr>
          <w:rFonts w:cstheme="minorHAnsi"/>
        </w:rPr>
        <w:t xml:space="preserve">This means that obtaining the relevant data is both resource intensive, and problematic.  For example, the mental health and emotional wellbeing KPI asks if the child has received treatment for mental health or emotional wellbeing prior to becoming known to YJS.  What is meant by treatment is not clearly defined, but it is clear the support delivered in line with the NHS THRIVE framework could be recorded across at least 4 independent case record systems, not all of which are accessible to health staff seconded to YJS.   In relation to ETE, the proliferation of multi-academy trusts means that there is no requirement for a central recording mechanism for school attendance data beyond the school census returns.  This </w:t>
      </w:r>
      <w:r w:rsidR="001B7E3F" w:rsidRPr="00C53B1E">
        <w:rPr>
          <w:rFonts w:cstheme="minorHAnsi"/>
        </w:rPr>
        <w:lastRenderedPageBreak/>
        <w:t>dataset is only available in retrospect and as such it requires individual contact to be made with each education provider to obtain the necessary data, rather than it being possible to obtain this from a centralised system.</w:t>
      </w:r>
    </w:p>
    <w:p w14:paraId="4334E331" w14:textId="77777777" w:rsidR="00FB5B91" w:rsidRDefault="00D010CB" w:rsidP="00FB5B91">
      <w:pPr>
        <w:ind w:left="720" w:hanging="720"/>
        <w:jc w:val="both"/>
        <w:rPr>
          <w:rFonts w:cstheme="minorHAnsi"/>
          <w:lang w:val="en-US"/>
        </w:rPr>
      </w:pPr>
      <w:r>
        <w:rPr>
          <w:rFonts w:cstheme="minorHAnsi"/>
        </w:rPr>
        <w:t>8.1</w:t>
      </w:r>
      <w:r w:rsidR="002E6492">
        <w:rPr>
          <w:rFonts w:cstheme="minorHAnsi"/>
        </w:rPr>
        <w:t>7</w:t>
      </w:r>
      <w:r>
        <w:rPr>
          <w:rFonts w:cstheme="minorHAnsi"/>
        </w:rPr>
        <w:tab/>
      </w:r>
      <w:r w:rsidR="001B7E3F" w:rsidRPr="00C53B1E">
        <w:rPr>
          <w:rFonts w:cstheme="minorHAnsi"/>
        </w:rPr>
        <w:t xml:space="preserve">Other barriers relate to decisions and processes that take place outside of the direct scope of influence of the YJS.  In relation to victims, much of the KPI measure is predicated on victims giving consent to be </w:t>
      </w:r>
      <w:r w:rsidR="001B7E3F" w:rsidRPr="00C53B1E">
        <w:rPr>
          <w:rFonts w:cstheme="minorHAnsi"/>
          <w:lang w:val="en-US"/>
        </w:rPr>
        <w:t>contacted by the YJS.  If this consent is not obtained by the Police Officer in the Case, this presents an immediate barrier to the YJS making an offer of Restorative Justice opportunities or obtaining victim views.</w:t>
      </w:r>
    </w:p>
    <w:p w14:paraId="754CAC96" w14:textId="57A72B4C" w:rsidR="0079185B" w:rsidRPr="00FB5B91" w:rsidRDefault="0079185B" w:rsidP="00FB5B91">
      <w:pPr>
        <w:ind w:left="720" w:hanging="720"/>
        <w:jc w:val="both"/>
        <w:rPr>
          <w:rStyle w:val="Heading1Char"/>
          <w:rFonts w:asciiTheme="minorHAnsi" w:eastAsiaTheme="minorHAnsi" w:hAnsiTheme="minorHAnsi" w:cstheme="minorHAnsi"/>
          <w:color w:val="auto"/>
          <w:sz w:val="22"/>
          <w:szCs w:val="22"/>
        </w:rPr>
      </w:pPr>
      <w:bookmarkStart w:id="9" w:name="_Toc156206881"/>
      <w:r w:rsidRPr="00FB5B91">
        <w:rPr>
          <w:rStyle w:val="Heading1Char"/>
        </w:rPr>
        <w:t>Priorities</w:t>
      </w:r>
      <w:bookmarkEnd w:id="9"/>
    </w:p>
    <w:p w14:paraId="389A5E59" w14:textId="77777777" w:rsidR="00EB7453" w:rsidRPr="00C53B1E" w:rsidRDefault="00EB7453" w:rsidP="00B15E08">
      <w:pPr>
        <w:pStyle w:val="NoSpacing"/>
        <w:jc w:val="both"/>
        <w:rPr>
          <w:rFonts w:cstheme="minorHAnsi"/>
          <w:b/>
          <w:bCs/>
          <w:lang w:eastAsia="en-GB"/>
        </w:rPr>
      </w:pPr>
    </w:p>
    <w:p w14:paraId="2C21C01F" w14:textId="08DA451F" w:rsidR="0079185B" w:rsidRPr="00C53B1E" w:rsidRDefault="0079185B" w:rsidP="00B15E08">
      <w:pPr>
        <w:pStyle w:val="NoSpacing"/>
        <w:jc w:val="both"/>
        <w:rPr>
          <w:rFonts w:cstheme="minorHAnsi"/>
          <w:b/>
          <w:bCs/>
          <w:lang w:eastAsia="en-GB"/>
        </w:rPr>
      </w:pPr>
      <w:r w:rsidRPr="00C53B1E">
        <w:rPr>
          <w:rFonts w:cstheme="minorHAnsi"/>
          <w:b/>
          <w:bCs/>
          <w:lang w:eastAsia="en-GB"/>
        </w:rPr>
        <w:t>Children from groups which are over-represented</w:t>
      </w:r>
    </w:p>
    <w:p w14:paraId="1603A363" w14:textId="587611C3" w:rsidR="00D56831" w:rsidRPr="00C53B1E" w:rsidRDefault="00D56831" w:rsidP="00B15E08">
      <w:pPr>
        <w:pStyle w:val="NoSpacing"/>
        <w:jc w:val="both"/>
        <w:rPr>
          <w:rFonts w:cstheme="minorHAnsi"/>
          <w:b/>
          <w:bCs/>
          <w:lang w:eastAsia="en-GB"/>
        </w:rPr>
      </w:pPr>
    </w:p>
    <w:p w14:paraId="1FF019CC" w14:textId="662ED2D6" w:rsidR="00073C85" w:rsidRPr="00C53B1E" w:rsidRDefault="00D010CB" w:rsidP="00D010CB">
      <w:pPr>
        <w:pStyle w:val="NoSpacing"/>
        <w:ind w:left="720" w:hanging="720"/>
        <w:jc w:val="both"/>
        <w:rPr>
          <w:rFonts w:eastAsiaTheme="minorEastAsia" w:cstheme="minorHAnsi"/>
          <w:noProof/>
          <w:lang w:eastAsia="en-GB"/>
        </w:rPr>
      </w:pPr>
      <w:r>
        <w:rPr>
          <w:rFonts w:eastAsiaTheme="minorEastAsia" w:cstheme="minorHAnsi"/>
          <w:noProof/>
          <w:lang w:eastAsia="en-GB"/>
        </w:rPr>
        <w:t>9.1</w:t>
      </w:r>
      <w:r>
        <w:rPr>
          <w:rFonts w:eastAsiaTheme="minorEastAsia" w:cstheme="minorHAnsi"/>
          <w:noProof/>
          <w:lang w:eastAsia="en-GB"/>
        </w:rPr>
        <w:tab/>
      </w:r>
      <w:r w:rsidR="00073C85" w:rsidRPr="00C53B1E">
        <w:rPr>
          <w:rFonts w:eastAsiaTheme="minorEastAsia" w:cstheme="minorHAnsi"/>
          <w:noProof/>
          <w:lang w:eastAsia="en-GB"/>
        </w:rPr>
        <w:t>The Service is aware that there is an over-representation of children from Black and Mixed ethnicity heritage. As stated above, we are working with partners to analyse the impact of over-representation and where this is having a negative impact upon the lives of those children.</w:t>
      </w:r>
    </w:p>
    <w:p w14:paraId="591A7662" w14:textId="77777777" w:rsidR="00073C85" w:rsidRPr="00C53B1E" w:rsidRDefault="00073C85" w:rsidP="00B15E08">
      <w:pPr>
        <w:pStyle w:val="NoSpacing"/>
        <w:jc w:val="both"/>
        <w:rPr>
          <w:rFonts w:eastAsiaTheme="minorEastAsia" w:cstheme="minorHAnsi"/>
          <w:noProof/>
          <w:color w:val="FF0000"/>
          <w:lang w:eastAsia="en-GB"/>
        </w:rPr>
      </w:pPr>
    </w:p>
    <w:p w14:paraId="673C6E2F" w14:textId="5B607A90" w:rsidR="00073C85" w:rsidRPr="00C53B1E" w:rsidRDefault="00D010CB" w:rsidP="00D010CB">
      <w:pPr>
        <w:spacing w:after="0" w:line="240" w:lineRule="auto"/>
        <w:ind w:left="720" w:hanging="720"/>
        <w:jc w:val="both"/>
        <w:rPr>
          <w:rFonts w:eastAsiaTheme="minorEastAsia" w:cstheme="minorHAnsi"/>
          <w:noProof/>
          <w:lang w:eastAsia="en-GB"/>
        </w:rPr>
      </w:pPr>
      <w:r>
        <w:rPr>
          <w:rFonts w:eastAsiaTheme="minorEastAsia" w:cstheme="minorHAnsi"/>
          <w:noProof/>
          <w:lang w:eastAsia="en-GB"/>
        </w:rPr>
        <w:t>9.2</w:t>
      </w:r>
      <w:r>
        <w:rPr>
          <w:rFonts w:eastAsiaTheme="minorEastAsia" w:cstheme="minorHAnsi"/>
          <w:noProof/>
          <w:lang w:eastAsia="en-GB"/>
        </w:rPr>
        <w:tab/>
      </w:r>
      <w:r w:rsidR="00073C85" w:rsidRPr="00C53B1E">
        <w:rPr>
          <w:rFonts w:eastAsiaTheme="minorEastAsia" w:cstheme="minorHAnsi"/>
          <w:noProof/>
          <w:lang w:eastAsia="en-GB"/>
        </w:rPr>
        <w:t xml:space="preserve">The latest analysis for over-represented ethnic group for the 2022 Offending population shows that children from Mixed Heritage are over-represented. </w:t>
      </w:r>
    </w:p>
    <w:p w14:paraId="1C416AD7" w14:textId="77777777" w:rsidR="00D010CB" w:rsidRDefault="00D010CB" w:rsidP="00E25777">
      <w:pPr>
        <w:pStyle w:val="NoSpacing"/>
      </w:pPr>
    </w:p>
    <w:p w14:paraId="5D256053" w14:textId="2DA489A6" w:rsidR="00D56831" w:rsidRPr="00C53B1E" w:rsidRDefault="00D56831" w:rsidP="00B15E08">
      <w:pPr>
        <w:jc w:val="both"/>
        <w:rPr>
          <w:rFonts w:cstheme="minorHAnsi"/>
          <w:b/>
          <w:bCs/>
        </w:rPr>
      </w:pPr>
      <w:r w:rsidRPr="00C53B1E">
        <w:rPr>
          <w:rFonts w:cstheme="minorHAnsi"/>
          <w:b/>
          <w:bCs/>
        </w:rPr>
        <w:t xml:space="preserve">Table </w:t>
      </w:r>
      <w:r w:rsidR="00596238">
        <w:rPr>
          <w:rFonts w:cstheme="minorHAnsi"/>
          <w:b/>
          <w:bCs/>
        </w:rPr>
        <w:t>13</w:t>
      </w:r>
      <w:r w:rsidRPr="00C53B1E">
        <w:rPr>
          <w:rFonts w:cstheme="minorHAnsi"/>
          <w:b/>
          <w:bCs/>
        </w:rPr>
        <w:t xml:space="preserve">: Over-represented ethnic groups in local YJS offending population, year ending March 2021 (YJAF)  </w:t>
      </w:r>
    </w:p>
    <w:tbl>
      <w:tblPr>
        <w:tblW w:w="9065" w:type="dxa"/>
        <w:tblInd w:w="132" w:type="dxa"/>
        <w:tblCellMar>
          <w:left w:w="0" w:type="dxa"/>
          <w:right w:w="0" w:type="dxa"/>
        </w:tblCellMar>
        <w:tblLook w:val="04A0" w:firstRow="1" w:lastRow="0" w:firstColumn="1" w:lastColumn="0" w:noHBand="0" w:noVBand="1"/>
      </w:tblPr>
      <w:tblGrid>
        <w:gridCol w:w="1594"/>
        <w:gridCol w:w="1269"/>
        <w:gridCol w:w="1177"/>
        <w:gridCol w:w="1320"/>
        <w:gridCol w:w="955"/>
        <w:gridCol w:w="1368"/>
        <w:gridCol w:w="1382"/>
      </w:tblGrid>
      <w:tr w:rsidR="00D56831" w:rsidRPr="00C53B1E" w14:paraId="0ACD744C" w14:textId="77777777" w:rsidTr="00217EE8">
        <w:trPr>
          <w:trHeight w:val="264"/>
        </w:trPr>
        <w:tc>
          <w:tcPr>
            <w:tcW w:w="1594"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DED47E2" w14:textId="77777777" w:rsidR="00D56831" w:rsidRPr="00C53B1E" w:rsidRDefault="00D56831" w:rsidP="00B15E08">
            <w:pPr>
              <w:jc w:val="both"/>
              <w:rPr>
                <w:rFonts w:cstheme="minorHAnsi"/>
                <w:b/>
                <w:bCs/>
                <w:color w:val="000000"/>
                <w:lang w:eastAsia="en-GB"/>
              </w:rPr>
            </w:pPr>
            <w:r w:rsidRPr="00C53B1E">
              <w:rPr>
                <w:rFonts w:cstheme="minorHAnsi"/>
                <w:b/>
                <w:bCs/>
                <w:lang w:eastAsia="en-GB"/>
              </w:rPr>
              <w:t>Ethnic group</w:t>
            </w:r>
          </w:p>
        </w:tc>
        <w:tc>
          <w:tcPr>
            <w:tcW w:w="1269"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2EBB359"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2022 Offending Population</w:t>
            </w:r>
          </w:p>
          <w:p w14:paraId="774C15C0" w14:textId="77777777" w:rsidR="00D56831" w:rsidRPr="00C53B1E" w:rsidRDefault="00D56831" w:rsidP="00B15E08">
            <w:pPr>
              <w:jc w:val="both"/>
              <w:rPr>
                <w:rFonts w:cstheme="minorHAnsi"/>
                <w:b/>
                <w:bCs/>
                <w:color w:val="000000"/>
                <w:lang w:eastAsia="en-GB"/>
              </w:rPr>
            </w:pPr>
          </w:p>
        </w:tc>
        <w:tc>
          <w:tcPr>
            <w:tcW w:w="1177"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CEB5E56"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 xml:space="preserve">Share of total </w:t>
            </w:r>
            <w:r w:rsidRPr="00C53B1E">
              <w:rPr>
                <w:rFonts w:cstheme="minorHAnsi"/>
                <w:b/>
                <w:bCs/>
                <w:color w:val="000000"/>
                <w:vertAlign w:val="superscript"/>
                <w:lang w:eastAsia="en-GB"/>
              </w:rPr>
              <w:t>(1)</w:t>
            </w:r>
          </w:p>
        </w:tc>
        <w:tc>
          <w:tcPr>
            <w:tcW w:w="1320"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C8EDF30"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2011 mid-year 10-17 population by ethnic group</w:t>
            </w:r>
          </w:p>
        </w:tc>
        <w:tc>
          <w:tcPr>
            <w:tcW w:w="955"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014F508"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 xml:space="preserve">Share of total % </w:t>
            </w:r>
            <w:r w:rsidRPr="00C53B1E">
              <w:rPr>
                <w:rFonts w:cstheme="minorHAnsi"/>
                <w:b/>
                <w:bCs/>
                <w:color w:val="000000"/>
                <w:vertAlign w:val="superscript"/>
                <w:lang w:eastAsia="en-GB"/>
              </w:rPr>
              <w:t>(2)</w:t>
            </w:r>
          </w:p>
        </w:tc>
        <w:tc>
          <w:tcPr>
            <w:tcW w:w="1368"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F08D70C"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 Point Difference</w:t>
            </w:r>
          </w:p>
        </w:tc>
        <w:tc>
          <w:tcPr>
            <w:tcW w:w="1382"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12EC878" w14:textId="77777777" w:rsidR="00D56831" w:rsidRPr="00C53B1E" w:rsidRDefault="00D56831" w:rsidP="00B15E08">
            <w:pPr>
              <w:jc w:val="both"/>
              <w:rPr>
                <w:rFonts w:cstheme="minorHAnsi"/>
                <w:b/>
                <w:bCs/>
                <w:color w:val="000000"/>
                <w:lang w:eastAsia="en-GB"/>
              </w:rPr>
            </w:pPr>
            <w:r w:rsidRPr="00C53B1E">
              <w:rPr>
                <w:rFonts w:cstheme="minorHAnsi"/>
                <w:b/>
                <w:bCs/>
                <w:color w:val="000000"/>
                <w:lang w:eastAsia="en-GB"/>
              </w:rPr>
              <w:t>Over-represented and Significant cohort size</w:t>
            </w:r>
          </w:p>
        </w:tc>
      </w:tr>
      <w:tr w:rsidR="00D56831" w:rsidRPr="00C53B1E" w14:paraId="0B6DCBE7" w14:textId="77777777" w:rsidTr="00217EE8">
        <w:trPr>
          <w:trHeight w:val="256"/>
        </w:trPr>
        <w:tc>
          <w:tcPr>
            <w:tcW w:w="159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06F32CC7"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Asian</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9855E" w14:textId="77777777" w:rsidR="00D56831" w:rsidRPr="00C53B1E" w:rsidRDefault="00D56831" w:rsidP="00B15E08">
            <w:pPr>
              <w:jc w:val="both"/>
              <w:rPr>
                <w:rFonts w:cstheme="minorHAnsi"/>
                <w:lang w:eastAsia="en-GB"/>
              </w:rPr>
            </w:pPr>
            <w:r w:rsidRPr="00C53B1E">
              <w:rPr>
                <w:rFonts w:cstheme="minorHAnsi"/>
                <w:lang w:eastAsia="en-GB"/>
              </w:rPr>
              <w:t>12</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E2E09" w14:textId="77777777" w:rsidR="00D56831" w:rsidRPr="00C53B1E" w:rsidRDefault="00D56831" w:rsidP="00B15E08">
            <w:pPr>
              <w:jc w:val="both"/>
              <w:rPr>
                <w:rFonts w:cstheme="minorHAnsi"/>
                <w:lang w:eastAsia="en-GB"/>
              </w:rPr>
            </w:pPr>
            <w:r w:rsidRPr="00C53B1E">
              <w:rPr>
                <w:rFonts w:cstheme="minorHAnsi"/>
                <w:lang w:eastAsia="en-GB"/>
              </w:rPr>
              <w:t>7%</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8BC4D" w14:textId="77777777" w:rsidR="00D56831" w:rsidRPr="00C53B1E" w:rsidRDefault="00D56831" w:rsidP="00B15E08">
            <w:pPr>
              <w:jc w:val="both"/>
              <w:rPr>
                <w:rFonts w:cstheme="minorHAnsi"/>
                <w:lang w:eastAsia="en-GB"/>
              </w:rPr>
            </w:pPr>
            <w:r w:rsidRPr="00C53B1E">
              <w:rPr>
                <w:rFonts w:cstheme="minorHAnsi"/>
                <w:lang w:eastAsia="en-GB"/>
              </w:rPr>
              <w:t>5,240</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CB62E" w14:textId="77777777" w:rsidR="00D56831" w:rsidRPr="00C53B1E" w:rsidRDefault="00D56831" w:rsidP="00B15E08">
            <w:pPr>
              <w:jc w:val="both"/>
              <w:rPr>
                <w:rFonts w:cstheme="minorHAnsi"/>
                <w:lang w:eastAsia="en-GB"/>
              </w:rPr>
            </w:pPr>
            <w:r w:rsidRPr="00C53B1E">
              <w:rPr>
                <w:rFonts w:cstheme="minorHAnsi"/>
                <w:lang w:eastAsia="en-GB"/>
              </w:rPr>
              <w:t>18%</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5E53E" w14:textId="77777777" w:rsidR="00D56831" w:rsidRPr="00C53B1E" w:rsidRDefault="00D56831" w:rsidP="00B15E08">
            <w:pPr>
              <w:jc w:val="both"/>
              <w:rPr>
                <w:rFonts w:cstheme="minorHAnsi"/>
                <w:lang w:eastAsia="en-GB"/>
              </w:rPr>
            </w:pPr>
            <w:r w:rsidRPr="00C53B1E">
              <w:rPr>
                <w:rFonts w:cstheme="minorHAnsi"/>
                <w:lang w:eastAsia="en-GB"/>
              </w:rPr>
              <w:t>-11%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84FE4" w14:textId="77777777" w:rsidR="00D56831" w:rsidRPr="00C53B1E" w:rsidRDefault="00D56831" w:rsidP="00B15E08">
            <w:pPr>
              <w:jc w:val="both"/>
              <w:rPr>
                <w:rFonts w:cstheme="minorHAnsi"/>
                <w:lang w:eastAsia="en-GB"/>
              </w:rPr>
            </w:pPr>
            <w:r w:rsidRPr="00C53B1E">
              <w:rPr>
                <w:rFonts w:cstheme="minorHAnsi"/>
                <w:lang w:eastAsia="en-GB"/>
              </w:rPr>
              <w:t>No</w:t>
            </w:r>
          </w:p>
        </w:tc>
      </w:tr>
      <w:tr w:rsidR="00D56831" w:rsidRPr="00C53B1E" w14:paraId="7FB29B1E" w14:textId="77777777" w:rsidTr="00217EE8">
        <w:trPr>
          <w:trHeight w:val="256"/>
        </w:trPr>
        <w:tc>
          <w:tcPr>
            <w:tcW w:w="1594"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vAlign w:val="center"/>
            <w:hideMark/>
          </w:tcPr>
          <w:p w14:paraId="0E3409E1"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Black</w:t>
            </w:r>
          </w:p>
        </w:tc>
        <w:tc>
          <w:tcPr>
            <w:tcW w:w="12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D6BAF9C" w14:textId="77777777" w:rsidR="00D56831" w:rsidRPr="00C53B1E" w:rsidRDefault="00D56831" w:rsidP="00B15E08">
            <w:pPr>
              <w:jc w:val="both"/>
              <w:rPr>
                <w:rFonts w:cstheme="minorHAnsi"/>
                <w:lang w:eastAsia="en-GB"/>
              </w:rPr>
            </w:pPr>
            <w:r w:rsidRPr="00C53B1E">
              <w:rPr>
                <w:rFonts w:cstheme="minorHAnsi"/>
                <w:color w:val="000000"/>
                <w:lang w:eastAsia="en-GB"/>
              </w:rPr>
              <w:t>28</w:t>
            </w:r>
          </w:p>
        </w:tc>
        <w:tc>
          <w:tcPr>
            <w:tcW w:w="11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73D00B0" w14:textId="77777777" w:rsidR="00D56831" w:rsidRPr="00C53B1E" w:rsidRDefault="00D56831" w:rsidP="00B15E08">
            <w:pPr>
              <w:jc w:val="both"/>
              <w:rPr>
                <w:rFonts w:cstheme="minorHAnsi"/>
                <w:lang w:eastAsia="en-GB"/>
              </w:rPr>
            </w:pPr>
            <w:r w:rsidRPr="00C53B1E">
              <w:rPr>
                <w:rFonts w:cstheme="minorHAnsi"/>
                <w:color w:val="000000"/>
                <w:lang w:eastAsia="en-GB"/>
              </w:rPr>
              <w:t>17%</w:t>
            </w:r>
          </w:p>
        </w:tc>
        <w:tc>
          <w:tcPr>
            <w:tcW w:w="1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A503414" w14:textId="77777777" w:rsidR="00D56831" w:rsidRPr="00C53B1E" w:rsidRDefault="00D56831" w:rsidP="00B15E08">
            <w:pPr>
              <w:jc w:val="both"/>
              <w:rPr>
                <w:rFonts w:cstheme="minorHAnsi"/>
                <w:color w:val="000000"/>
                <w:lang w:eastAsia="en-GB"/>
              </w:rPr>
            </w:pPr>
            <w:r w:rsidRPr="00C53B1E">
              <w:rPr>
                <w:rFonts w:cstheme="minorHAnsi"/>
                <w:color w:val="000000"/>
                <w:lang w:eastAsia="en-GB"/>
              </w:rPr>
              <w:t>4,007</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EAE2CC" w14:textId="77777777" w:rsidR="00D56831" w:rsidRPr="00C53B1E" w:rsidRDefault="00D56831" w:rsidP="00B15E08">
            <w:pPr>
              <w:jc w:val="both"/>
              <w:rPr>
                <w:rFonts w:cstheme="minorHAnsi"/>
                <w:lang w:eastAsia="en-GB"/>
              </w:rPr>
            </w:pPr>
            <w:r w:rsidRPr="00C53B1E">
              <w:rPr>
                <w:rFonts w:cstheme="minorHAnsi"/>
                <w:color w:val="000000"/>
                <w:lang w:eastAsia="en-GB"/>
              </w:rPr>
              <w:t>14%</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0B656E" w14:textId="77777777" w:rsidR="00D56831" w:rsidRPr="00C53B1E" w:rsidRDefault="00D56831" w:rsidP="00B15E08">
            <w:pPr>
              <w:jc w:val="both"/>
              <w:rPr>
                <w:rFonts w:cstheme="minorHAnsi"/>
                <w:lang w:eastAsia="en-GB"/>
              </w:rPr>
            </w:pPr>
            <w:r w:rsidRPr="00C53B1E">
              <w:rPr>
                <w:rFonts w:cstheme="minorHAnsi"/>
                <w:color w:val="000000"/>
                <w:lang w:eastAsia="en-GB"/>
              </w:rPr>
              <w:t>3%</w:t>
            </w:r>
          </w:p>
        </w:tc>
        <w:tc>
          <w:tcPr>
            <w:tcW w:w="13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F0514" w14:textId="77777777" w:rsidR="00D56831" w:rsidRPr="00C53B1E" w:rsidRDefault="00D56831" w:rsidP="00B15E08">
            <w:pPr>
              <w:jc w:val="both"/>
              <w:rPr>
                <w:rFonts w:cstheme="minorHAnsi"/>
                <w:lang w:eastAsia="en-GB"/>
              </w:rPr>
            </w:pPr>
            <w:r w:rsidRPr="00C53B1E">
              <w:rPr>
                <w:rFonts w:cstheme="minorHAnsi"/>
                <w:color w:val="000000"/>
                <w:lang w:eastAsia="en-GB"/>
              </w:rPr>
              <w:t>No</w:t>
            </w:r>
          </w:p>
        </w:tc>
      </w:tr>
      <w:tr w:rsidR="00D56831" w:rsidRPr="00C53B1E" w14:paraId="45C9C66E" w14:textId="77777777" w:rsidTr="00217EE8">
        <w:trPr>
          <w:trHeight w:val="294"/>
        </w:trPr>
        <w:tc>
          <w:tcPr>
            <w:tcW w:w="159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1F5B95A"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Mixed</w:t>
            </w:r>
          </w:p>
        </w:tc>
        <w:tc>
          <w:tcPr>
            <w:tcW w:w="1269"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4AD45117" w14:textId="77777777" w:rsidR="00D56831" w:rsidRPr="00C53B1E" w:rsidRDefault="00D56831" w:rsidP="00B15E08">
            <w:pPr>
              <w:jc w:val="both"/>
              <w:rPr>
                <w:rFonts w:cstheme="minorHAnsi"/>
                <w:lang w:eastAsia="en-GB"/>
              </w:rPr>
            </w:pPr>
            <w:r w:rsidRPr="00C53B1E">
              <w:rPr>
                <w:rFonts w:cstheme="minorHAnsi"/>
                <w:color w:val="000000"/>
                <w:lang w:eastAsia="en-GB"/>
              </w:rPr>
              <w:t>39</w:t>
            </w:r>
          </w:p>
        </w:tc>
        <w:tc>
          <w:tcPr>
            <w:tcW w:w="1177"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4E37BD51" w14:textId="77777777" w:rsidR="00D56831" w:rsidRPr="00C53B1E" w:rsidRDefault="00D56831" w:rsidP="00B15E08">
            <w:pPr>
              <w:jc w:val="both"/>
              <w:rPr>
                <w:rFonts w:cstheme="minorHAnsi"/>
                <w:lang w:eastAsia="en-GB"/>
              </w:rPr>
            </w:pPr>
            <w:r w:rsidRPr="00C53B1E">
              <w:rPr>
                <w:rFonts w:cstheme="minorHAnsi"/>
                <w:color w:val="000000"/>
                <w:lang w:eastAsia="en-GB"/>
              </w:rPr>
              <w:t>23%</w:t>
            </w:r>
          </w:p>
        </w:tc>
        <w:tc>
          <w:tcPr>
            <w:tcW w:w="132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4B66B4BA" w14:textId="77777777" w:rsidR="00D56831" w:rsidRPr="00C53B1E" w:rsidRDefault="00D56831" w:rsidP="00B15E08">
            <w:pPr>
              <w:jc w:val="both"/>
              <w:rPr>
                <w:rFonts w:cstheme="minorHAnsi"/>
                <w:color w:val="000000"/>
                <w:lang w:eastAsia="en-GB"/>
              </w:rPr>
            </w:pPr>
            <w:r w:rsidRPr="00C53B1E">
              <w:rPr>
                <w:rFonts w:cstheme="minorHAnsi"/>
                <w:color w:val="000000"/>
                <w:lang w:eastAsia="en-GB"/>
              </w:rPr>
              <w:t>3,600</w:t>
            </w:r>
          </w:p>
        </w:tc>
        <w:tc>
          <w:tcPr>
            <w:tcW w:w="95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3E30176A" w14:textId="77777777" w:rsidR="00D56831" w:rsidRPr="00C53B1E" w:rsidRDefault="00D56831" w:rsidP="00B15E08">
            <w:pPr>
              <w:jc w:val="both"/>
              <w:rPr>
                <w:rFonts w:cstheme="minorHAnsi"/>
                <w:lang w:eastAsia="en-GB"/>
              </w:rPr>
            </w:pPr>
            <w:r w:rsidRPr="00C53B1E">
              <w:rPr>
                <w:rFonts w:cstheme="minorHAnsi"/>
                <w:color w:val="000000"/>
                <w:lang w:eastAsia="en-GB"/>
              </w:rPr>
              <w:t>12%</w:t>
            </w:r>
          </w:p>
        </w:tc>
        <w:tc>
          <w:tcPr>
            <w:tcW w:w="1368"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55FF2129" w14:textId="77777777" w:rsidR="00D56831" w:rsidRPr="00C53B1E" w:rsidRDefault="00D56831" w:rsidP="00B15E08">
            <w:pPr>
              <w:jc w:val="both"/>
              <w:rPr>
                <w:rFonts w:cstheme="minorHAnsi"/>
                <w:lang w:eastAsia="en-GB"/>
              </w:rPr>
            </w:pPr>
            <w:r w:rsidRPr="00C53B1E">
              <w:rPr>
                <w:rFonts w:cstheme="minorHAnsi"/>
                <w:color w:val="000000"/>
                <w:lang w:eastAsia="en-GB"/>
              </w:rPr>
              <w:t>11%</w:t>
            </w:r>
          </w:p>
        </w:tc>
        <w:tc>
          <w:tcPr>
            <w:tcW w:w="138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37A81210" w14:textId="77777777" w:rsidR="00D56831" w:rsidRPr="00C53B1E" w:rsidRDefault="00D56831" w:rsidP="00B15E08">
            <w:pPr>
              <w:jc w:val="both"/>
              <w:rPr>
                <w:rFonts w:cstheme="minorHAnsi"/>
                <w:lang w:eastAsia="en-GB"/>
              </w:rPr>
            </w:pPr>
            <w:r w:rsidRPr="00C53B1E">
              <w:rPr>
                <w:rFonts w:cstheme="minorHAnsi"/>
                <w:color w:val="000000"/>
                <w:lang w:eastAsia="en-GB"/>
              </w:rPr>
              <w:t>Yes</w:t>
            </w:r>
          </w:p>
        </w:tc>
      </w:tr>
      <w:tr w:rsidR="00D56831" w:rsidRPr="00C53B1E" w14:paraId="5091A4E3" w14:textId="77777777" w:rsidTr="00217EE8">
        <w:trPr>
          <w:trHeight w:val="312"/>
        </w:trPr>
        <w:tc>
          <w:tcPr>
            <w:tcW w:w="159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68CE42E6"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Other</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962B2" w14:textId="77777777" w:rsidR="00D56831" w:rsidRPr="00C53B1E" w:rsidRDefault="00D56831" w:rsidP="00B15E08">
            <w:pPr>
              <w:jc w:val="both"/>
              <w:rPr>
                <w:rFonts w:cstheme="minorHAnsi"/>
                <w:lang w:eastAsia="en-GB"/>
              </w:rPr>
            </w:pPr>
            <w:r w:rsidRPr="00C53B1E">
              <w:rPr>
                <w:rFonts w:cstheme="minorHAnsi"/>
                <w:lang w:eastAsia="en-GB"/>
              </w:rPr>
              <w:t>0</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7C2B24" w14:textId="77777777" w:rsidR="00D56831" w:rsidRPr="00C53B1E" w:rsidRDefault="00D56831" w:rsidP="00B15E08">
            <w:pPr>
              <w:jc w:val="both"/>
              <w:rPr>
                <w:rFonts w:cstheme="minorHAnsi"/>
                <w:lang w:eastAsia="en-GB"/>
              </w:rPr>
            </w:pPr>
            <w:r w:rsidRPr="00C53B1E">
              <w:rPr>
                <w:rFonts w:cstheme="minorHAnsi"/>
                <w:lang w:eastAsia="en-GB"/>
              </w:rPr>
              <w:t>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FF42B" w14:textId="77777777" w:rsidR="00D56831" w:rsidRPr="00C53B1E" w:rsidRDefault="00D56831" w:rsidP="00B15E08">
            <w:pPr>
              <w:jc w:val="both"/>
              <w:rPr>
                <w:rFonts w:cstheme="minorHAnsi"/>
                <w:lang w:eastAsia="en-GB"/>
              </w:rPr>
            </w:pPr>
            <w:r w:rsidRPr="00C53B1E">
              <w:rPr>
                <w:rFonts w:cstheme="minorHAnsi"/>
                <w:lang w:eastAsia="en-GB"/>
              </w:rPr>
              <w:t>1,252</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70BA1" w14:textId="77777777" w:rsidR="00D56831" w:rsidRPr="00C53B1E" w:rsidRDefault="00D56831" w:rsidP="00B15E08">
            <w:pPr>
              <w:jc w:val="both"/>
              <w:rPr>
                <w:rFonts w:cstheme="minorHAnsi"/>
                <w:lang w:eastAsia="en-GB"/>
              </w:rPr>
            </w:pPr>
            <w:r w:rsidRPr="00C53B1E">
              <w:rPr>
                <w:rFonts w:cstheme="minorHAnsi"/>
                <w:lang w:eastAsia="en-GB"/>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622EA" w14:textId="77777777" w:rsidR="00D56831" w:rsidRPr="00C53B1E" w:rsidRDefault="00D56831" w:rsidP="00B15E08">
            <w:pPr>
              <w:jc w:val="both"/>
              <w:rPr>
                <w:rFonts w:cstheme="minorHAnsi"/>
                <w:lang w:eastAsia="en-GB"/>
              </w:rPr>
            </w:pPr>
            <w:r w:rsidRPr="00C53B1E">
              <w:rPr>
                <w:rFonts w:cstheme="minorHAnsi"/>
                <w:lang w:eastAsia="en-GB"/>
              </w:rPr>
              <w:t>-4%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63590" w14:textId="77777777" w:rsidR="00D56831" w:rsidRPr="00C53B1E" w:rsidRDefault="00D56831" w:rsidP="00B15E08">
            <w:pPr>
              <w:jc w:val="both"/>
              <w:rPr>
                <w:rFonts w:cstheme="minorHAnsi"/>
                <w:lang w:eastAsia="en-GB"/>
              </w:rPr>
            </w:pPr>
            <w:r w:rsidRPr="00C53B1E">
              <w:rPr>
                <w:rFonts w:cstheme="minorHAnsi"/>
                <w:lang w:eastAsia="en-GB"/>
              </w:rPr>
              <w:t>No</w:t>
            </w:r>
          </w:p>
        </w:tc>
      </w:tr>
      <w:tr w:rsidR="00D56831" w:rsidRPr="00C53B1E" w14:paraId="194AD9A7" w14:textId="77777777" w:rsidTr="00217EE8">
        <w:trPr>
          <w:trHeight w:val="289"/>
        </w:trPr>
        <w:tc>
          <w:tcPr>
            <w:tcW w:w="159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E6F6E8E"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Ethnic minority groups*</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F1327A" w14:textId="77777777" w:rsidR="00D56831" w:rsidRPr="00C53B1E" w:rsidRDefault="00D56831" w:rsidP="00B15E08">
            <w:pPr>
              <w:jc w:val="both"/>
              <w:rPr>
                <w:rFonts w:cstheme="minorHAnsi"/>
                <w:lang w:eastAsia="en-GB"/>
              </w:rPr>
            </w:pPr>
            <w:r w:rsidRPr="00C53B1E">
              <w:rPr>
                <w:rFonts w:cstheme="minorHAnsi"/>
                <w:lang w:eastAsia="en-GB"/>
              </w:rPr>
              <w:t>79</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2A3396" w14:textId="77777777" w:rsidR="00D56831" w:rsidRPr="00C53B1E" w:rsidRDefault="00D56831" w:rsidP="00B15E08">
            <w:pPr>
              <w:jc w:val="both"/>
              <w:rPr>
                <w:rFonts w:cstheme="minorHAnsi"/>
                <w:lang w:eastAsia="en-GB"/>
              </w:rPr>
            </w:pPr>
            <w:r w:rsidRPr="00C53B1E">
              <w:rPr>
                <w:rFonts w:cstheme="minorHAnsi"/>
                <w:lang w:eastAsia="en-GB"/>
              </w:rPr>
              <w:t>48%</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09BCFD" w14:textId="77777777" w:rsidR="00D56831" w:rsidRPr="00C53B1E" w:rsidRDefault="00D56831" w:rsidP="00B15E08">
            <w:pPr>
              <w:jc w:val="both"/>
              <w:rPr>
                <w:rFonts w:cstheme="minorHAnsi"/>
                <w:lang w:eastAsia="en-GB"/>
              </w:rPr>
            </w:pPr>
            <w:r w:rsidRPr="00C53B1E">
              <w:rPr>
                <w:rFonts w:cstheme="minorHAnsi"/>
                <w:lang w:eastAsia="en-GB"/>
              </w:rPr>
              <w:t>14,099</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3F1EE" w14:textId="77777777" w:rsidR="00D56831" w:rsidRPr="00C53B1E" w:rsidRDefault="00D56831" w:rsidP="00B15E08">
            <w:pPr>
              <w:jc w:val="both"/>
              <w:rPr>
                <w:rFonts w:cstheme="minorHAnsi"/>
                <w:lang w:eastAsia="en-GB"/>
              </w:rPr>
            </w:pPr>
            <w:r w:rsidRPr="00C53B1E">
              <w:rPr>
                <w:rFonts w:cstheme="minorHAnsi"/>
                <w:lang w:eastAsia="en-GB"/>
              </w:rPr>
              <w:t>49%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4FDE5" w14:textId="77777777" w:rsidR="00D56831" w:rsidRPr="00C53B1E" w:rsidRDefault="00D56831" w:rsidP="00B15E08">
            <w:pPr>
              <w:jc w:val="both"/>
              <w:rPr>
                <w:rFonts w:cstheme="minorHAnsi"/>
                <w:lang w:eastAsia="en-GB"/>
              </w:rPr>
            </w:pPr>
            <w:r w:rsidRPr="00C53B1E">
              <w:rPr>
                <w:rFonts w:cstheme="minorHAnsi"/>
                <w:lang w:eastAsia="en-GB"/>
              </w:rPr>
              <w:t>-1%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0A25" w14:textId="77777777" w:rsidR="00D56831" w:rsidRPr="00C53B1E" w:rsidRDefault="00D56831" w:rsidP="00B15E08">
            <w:pPr>
              <w:jc w:val="both"/>
              <w:rPr>
                <w:rFonts w:cstheme="minorHAnsi"/>
                <w:lang w:eastAsia="en-GB"/>
              </w:rPr>
            </w:pPr>
            <w:r w:rsidRPr="00C53B1E">
              <w:rPr>
                <w:rFonts w:cstheme="minorHAnsi"/>
                <w:lang w:eastAsia="en-GB"/>
              </w:rPr>
              <w:t>No</w:t>
            </w:r>
          </w:p>
        </w:tc>
      </w:tr>
      <w:tr w:rsidR="00D56831" w:rsidRPr="00C53B1E" w14:paraId="64477846" w14:textId="77777777" w:rsidTr="00217EE8">
        <w:trPr>
          <w:trHeight w:val="110"/>
        </w:trPr>
        <w:tc>
          <w:tcPr>
            <w:tcW w:w="1594"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678C9596" w14:textId="77777777" w:rsidR="00D56831" w:rsidRPr="00C53B1E" w:rsidRDefault="00D56831" w:rsidP="00B15E08">
            <w:pPr>
              <w:jc w:val="both"/>
              <w:rPr>
                <w:rFonts w:cstheme="minorHAnsi"/>
                <w:b/>
                <w:bCs/>
                <w:color w:val="000000"/>
                <w:lang w:eastAsia="en-GB"/>
              </w:rPr>
            </w:pPr>
            <w:r w:rsidRPr="00C53B1E">
              <w:rPr>
                <w:rFonts w:cstheme="minorHAnsi"/>
                <w:color w:val="000000"/>
                <w:lang w:eastAsia="en-GB"/>
              </w:rPr>
              <w:t>White</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384FE" w14:textId="77777777" w:rsidR="00D56831" w:rsidRPr="00C53B1E" w:rsidRDefault="00D56831" w:rsidP="00B15E08">
            <w:pPr>
              <w:jc w:val="both"/>
              <w:rPr>
                <w:rFonts w:cstheme="minorHAnsi"/>
                <w:lang w:eastAsia="en-GB"/>
              </w:rPr>
            </w:pPr>
            <w:r w:rsidRPr="00C53B1E">
              <w:rPr>
                <w:rFonts w:cstheme="minorHAnsi"/>
                <w:lang w:eastAsia="en-GB"/>
              </w:rPr>
              <w:t>87</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21D485" w14:textId="77777777" w:rsidR="00D56831" w:rsidRPr="00C53B1E" w:rsidRDefault="00D56831" w:rsidP="00B15E08">
            <w:pPr>
              <w:jc w:val="both"/>
              <w:rPr>
                <w:rFonts w:cstheme="minorHAnsi"/>
                <w:lang w:eastAsia="en-GB"/>
              </w:rPr>
            </w:pPr>
            <w:r w:rsidRPr="00C53B1E">
              <w:rPr>
                <w:rFonts w:cstheme="minorHAnsi"/>
                <w:lang w:eastAsia="en-GB"/>
              </w:rPr>
              <w:t>53%</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E2E0C2" w14:textId="77777777" w:rsidR="00D56831" w:rsidRPr="00C53B1E" w:rsidRDefault="00D56831" w:rsidP="00B15E08">
            <w:pPr>
              <w:jc w:val="both"/>
              <w:rPr>
                <w:rFonts w:cstheme="minorHAnsi"/>
                <w:lang w:eastAsia="en-GB"/>
              </w:rPr>
            </w:pPr>
            <w:r w:rsidRPr="00C53B1E">
              <w:rPr>
                <w:rFonts w:cstheme="minorHAnsi"/>
                <w:lang w:eastAsia="en-GB"/>
              </w:rPr>
              <w:t>14,805</w:t>
            </w:r>
          </w:p>
        </w:tc>
        <w:tc>
          <w:tcPr>
            <w:tcW w:w="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568C9" w14:textId="77777777" w:rsidR="00D56831" w:rsidRPr="00C53B1E" w:rsidRDefault="00D56831" w:rsidP="00B15E08">
            <w:pPr>
              <w:jc w:val="both"/>
              <w:rPr>
                <w:rFonts w:cstheme="minorHAnsi"/>
                <w:lang w:eastAsia="en-GB"/>
              </w:rPr>
            </w:pPr>
            <w:r w:rsidRPr="00C53B1E">
              <w:rPr>
                <w:rFonts w:cstheme="minorHAnsi"/>
                <w:lang w:eastAsia="en-GB"/>
              </w:rPr>
              <w:t>51%</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1E007" w14:textId="77777777" w:rsidR="00D56831" w:rsidRPr="00C53B1E" w:rsidRDefault="00D56831" w:rsidP="00B15E08">
            <w:pPr>
              <w:jc w:val="both"/>
              <w:rPr>
                <w:rFonts w:cstheme="minorHAnsi"/>
                <w:lang w:eastAsia="en-GB"/>
              </w:rPr>
            </w:pPr>
            <w:r w:rsidRPr="00C53B1E">
              <w:rPr>
                <w:rFonts w:cstheme="minorHAnsi"/>
                <w:lang w:eastAsia="en-GB"/>
              </w:rPr>
              <w:t>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C53CC" w14:textId="77777777" w:rsidR="00D56831" w:rsidRPr="00C53B1E" w:rsidRDefault="00D56831" w:rsidP="00B15E08">
            <w:pPr>
              <w:jc w:val="both"/>
              <w:rPr>
                <w:rFonts w:cstheme="minorHAnsi"/>
                <w:lang w:eastAsia="en-GB"/>
              </w:rPr>
            </w:pPr>
            <w:r w:rsidRPr="00C53B1E">
              <w:rPr>
                <w:rFonts w:cstheme="minorHAnsi"/>
                <w:lang w:eastAsia="en-GB"/>
              </w:rPr>
              <w:t>No</w:t>
            </w:r>
          </w:p>
        </w:tc>
      </w:tr>
    </w:tbl>
    <w:p w14:paraId="24DDF3FE" w14:textId="69DBCBE6" w:rsidR="00D56831" w:rsidRPr="00922D9B" w:rsidRDefault="00D56831" w:rsidP="00B15E08">
      <w:pPr>
        <w:jc w:val="both"/>
        <w:rPr>
          <w:rFonts w:cstheme="minorHAnsi"/>
          <w:sz w:val="18"/>
          <w:szCs w:val="18"/>
        </w:rPr>
      </w:pPr>
      <w:r w:rsidRPr="00922D9B">
        <w:rPr>
          <w:rFonts w:cstheme="minorHAnsi"/>
          <w:sz w:val="18"/>
          <w:szCs w:val="18"/>
        </w:rPr>
        <w:t xml:space="preserve">* Due to small </w:t>
      </w:r>
      <w:proofErr w:type="gramStart"/>
      <w:r w:rsidRPr="00922D9B">
        <w:rPr>
          <w:rFonts w:cstheme="minorHAnsi"/>
          <w:sz w:val="18"/>
          <w:szCs w:val="18"/>
        </w:rPr>
        <w:t>numbers</w:t>
      </w:r>
      <w:proofErr w:type="gramEnd"/>
      <w:r w:rsidRPr="00922D9B">
        <w:rPr>
          <w:rFonts w:cstheme="minorHAnsi"/>
          <w:sz w:val="18"/>
          <w:szCs w:val="18"/>
        </w:rPr>
        <w:t xml:space="preserve"> it has been decided to aggregate data for children from the Asian, Black, Mixed and Other ethnic groups into the ethnic minority group</w:t>
      </w:r>
    </w:p>
    <w:p w14:paraId="0D5B4983" w14:textId="72663B4D" w:rsidR="00590EB8" w:rsidRPr="00C53B1E" w:rsidRDefault="00E25777" w:rsidP="00E25777">
      <w:pPr>
        <w:ind w:left="851" w:hanging="851"/>
        <w:contextualSpacing/>
        <w:jc w:val="both"/>
        <w:rPr>
          <w:rFonts w:cstheme="minorHAnsi"/>
        </w:rPr>
      </w:pPr>
      <w:r>
        <w:rPr>
          <w:rFonts w:eastAsiaTheme="minorEastAsia" w:cstheme="minorHAnsi"/>
          <w:noProof/>
          <w:lang w:eastAsia="en-GB"/>
        </w:rPr>
        <w:t>9.3</w:t>
      </w:r>
      <w:r>
        <w:rPr>
          <w:rFonts w:eastAsiaTheme="minorEastAsia" w:cstheme="minorHAnsi"/>
          <w:noProof/>
          <w:lang w:eastAsia="en-GB"/>
        </w:rPr>
        <w:tab/>
      </w:r>
      <w:r w:rsidR="00A32E79" w:rsidRPr="00C53B1E">
        <w:rPr>
          <w:rFonts w:eastAsiaTheme="minorEastAsia" w:cstheme="minorHAnsi"/>
          <w:noProof/>
          <w:lang w:eastAsia="en-GB"/>
        </w:rPr>
        <w:t xml:space="preserve">In this period the Service has implemented and moved forward with a Disproportionality </w:t>
      </w:r>
      <w:r w:rsidR="007A2375" w:rsidRPr="00C53B1E">
        <w:rPr>
          <w:rFonts w:eastAsiaTheme="minorEastAsia" w:cstheme="minorHAnsi"/>
          <w:noProof/>
          <w:lang w:eastAsia="en-GB"/>
        </w:rPr>
        <w:t>Strategy and Action Plan</w:t>
      </w:r>
      <w:r w:rsidR="00C524B2" w:rsidRPr="00C53B1E">
        <w:rPr>
          <w:rFonts w:eastAsiaTheme="minorEastAsia" w:cstheme="minorHAnsi"/>
          <w:noProof/>
          <w:lang w:eastAsia="en-GB"/>
        </w:rPr>
        <w:t xml:space="preserve"> with the mission statement “</w:t>
      </w:r>
      <w:r w:rsidR="00C524B2" w:rsidRPr="00C53B1E">
        <w:rPr>
          <w:rFonts w:cstheme="minorHAnsi"/>
          <w:b/>
          <w:bCs/>
        </w:rPr>
        <w:t xml:space="preserve">To value the diversity and identity of children and help them to achieve their desired goals”. </w:t>
      </w:r>
      <w:r w:rsidR="00590EB8" w:rsidRPr="00C53B1E">
        <w:rPr>
          <w:rFonts w:cstheme="minorHAnsi"/>
        </w:rPr>
        <w:t>Within this plan we have set out four key priorities to meet this mission statement and demonstrate a greater depth of understanding and improved practice in this area. The four priorities are:</w:t>
      </w:r>
    </w:p>
    <w:p w14:paraId="1973C191" w14:textId="77777777" w:rsidR="00590EB8" w:rsidRPr="00C53B1E" w:rsidRDefault="00590EB8" w:rsidP="00E25777">
      <w:pPr>
        <w:pStyle w:val="ListParagraph"/>
        <w:numPr>
          <w:ilvl w:val="0"/>
          <w:numId w:val="5"/>
        </w:numPr>
        <w:spacing w:after="160" w:line="259" w:lineRule="auto"/>
        <w:ind w:left="1418" w:right="521"/>
        <w:contextualSpacing/>
        <w:rPr>
          <w:rFonts w:asciiTheme="minorHAnsi" w:hAnsiTheme="minorHAnsi" w:cstheme="minorHAnsi"/>
          <w:sz w:val="22"/>
          <w:szCs w:val="22"/>
        </w:rPr>
      </w:pPr>
      <w:r w:rsidRPr="00C53B1E">
        <w:rPr>
          <w:rFonts w:asciiTheme="minorHAnsi" w:hAnsiTheme="minorHAnsi" w:cstheme="minorHAnsi"/>
          <w:sz w:val="22"/>
          <w:szCs w:val="22"/>
        </w:rPr>
        <w:lastRenderedPageBreak/>
        <w:t xml:space="preserve">We understand that disproportionality and intersectionality </w:t>
      </w:r>
      <w:proofErr w:type="gramStart"/>
      <w:r w:rsidRPr="00C53B1E">
        <w:rPr>
          <w:rFonts w:asciiTheme="minorHAnsi" w:hAnsiTheme="minorHAnsi" w:cstheme="minorHAnsi"/>
          <w:sz w:val="22"/>
          <w:szCs w:val="22"/>
        </w:rPr>
        <w:t>affects</w:t>
      </w:r>
      <w:proofErr w:type="gramEnd"/>
      <w:r w:rsidRPr="00C53B1E">
        <w:rPr>
          <w:rFonts w:asciiTheme="minorHAnsi" w:hAnsiTheme="minorHAnsi" w:cstheme="minorHAnsi"/>
          <w:sz w:val="22"/>
          <w:szCs w:val="22"/>
        </w:rPr>
        <w:t xml:space="preserve"> children throughout their journey within the Youth Justice System. We recognise that often children have experienced issues of disproportionality, racism, and other bigotry before their entrance to the YJS and that work to address this must be done systemically, in collaboration, across the partnership. This document seeks to address what the YJS can do to support those children we work with.</w:t>
      </w:r>
    </w:p>
    <w:p w14:paraId="08D5A635" w14:textId="77777777" w:rsidR="00590EB8" w:rsidRPr="00C53B1E" w:rsidRDefault="00590EB8" w:rsidP="00E25777">
      <w:pPr>
        <w:pStyle w:val="ListParagraph"/>
        <w:numPr>
          <w:ilvl w:val="0"/>
          <w:numId w:val="5"/>
        </w:numPr>
        <w:spacing w:after="160" w:line="259" w:lineRule="auto"/>
        <w:ind w:left="1418" w:right="521"/>
        <w:contextualSpacing/>
        <w:rPr>
          <w:rFonts w:asciiTheme="minorHAnsi" w:hAnsiTheme="minorHAnsi" w:cstheme="minorHAnsi"/>
          <w:color w:val="000000"/>
          <w:sz w:val="22"/>
          <w:szCs w:val="22"/>
          <w:lang w:eastAsia="en-GB"/>
        </w:rPr>
      </w:pPr>
      <w:r w:rsidRPr="00C53B1E">
        <w:rPr>
          <w:rFonts w:asciiTheme="minorHAnsi" w:hAnsiTheme="minorHAnsi" w:cstheme="minorHAnsi"/>
          <w:color w:val="000000"/>
          <w:sz w:val="22"/>
          <w:szCs w:val="22"/>
          <w:lang w:eastAsia="en-GB"/>
        </w:rPr>
        <w:t>In partnership we will support children to develop goals; look at what they need to achieve their goals, what we can do to support, identify disproportionality, and support them to overcome this.</w:t>
      </w:r>
    </w:p>
    <w:p w14:paraId="0755F129" w14:textId="77777777" w:rsidR="00590EB8" w:rsidRPr="00C53B1E" w:rsidRDefault="00590EB8" w:rsidP="00E25777">
      <w:pPr>
        <w:pStyle w:val="ListParagraph"/>
        <w:numPr>
          <w:ilvl w:val="0"/>
          <w:numId w:val="5"/>
        </w:numPr>
        <w:spacing w:after="160" w:line="259" w:lineRule="auto"/>
        <w:ind w:left="1418" w:right="521"/>
        <w:contextualSpacing/>
        <w:rPr>
          <w:rFonts w:asciiTheme="minorHAnsi" w:hAnsiTheme="minorHAnsi" w:cstheme="minorHAnsi"/>
          <w:color w:val="000000"/>
          <w:sz w:val="22"/>
          <w:szCs w:val="22"/>
          <w:lang w:eastAsia="en-GB"/>
        </w:rPr>
      </w:pPr>
      <w:r w:rsidRPr="00C53B1E">
        <w:rPr>
          <w:rFonts w:asciiTheme="minorHAnsi" w:hAnsiTheme="minorHAnsi" w:cstheme="minorHAnsi"/>
          <w:color w:val="000000"/>
          <w:sz w:val="22"/>
          <w:szCs w:val="22"/>
          <w:lang w:eastAsia="en-GB"/>
        </w:rPr>
        <w:t xml:space="preserve">We will listen to children and families’ life experiences and understand the impact of these and support them with their individual, diverse needs. </w:t>
      </w:r>
    </w:p>
    <w:p w14:paraId="07116453" w14:textId="575C34C1" w:rsidR="00590EB8" w:rsidRDefault="00590EB8" w:rsidP="00E25777">
      <w:pPr>
        <w:pStyle w:val="ListParagraph"/>
        <w:numPr>
          <w:ilvl w:val="0"/>
          <w:numId w:val="5"/>
        </w:numPr>
        <w:spacing w:after="160" w:line="259" w:lineRule="auto"/>
        <w:ind w:left="1418" w:right="521"/>
        <w:contextualSpacing/>
        <w:rPr>
          <w:rFonts w:asciiTheme="minorHAnsi" w:hAnsiTheme="minorHAnsi" w:cstheme="minorHAnsi"/>
          <w:color w:val="000000"/>
          <w:sz w:val="22"/>
          <w:szCs w:val="22"/>
          <w:lang w:eastAsia="en-GB"/>
        </w:rPr>
      </w:pPr>
      <w:r w:rsidRPr="00C53B1E">
        <w:rPr>
          <w:rFonts w:asciiTheme="minorHAnsi" w:hAnsiTheme="minorHAnsi" w:cstheme="minorHAnsi"/>
          <w:color w:val="000000"/>
          <w:sz w:val="22"/>
          <w:szCs w:val="22"/>
          <w:lang w:eastAsia="en-GB"/>
        </w:rPr>
        <w:t xml:space="preserve">We have a trained and knowledgeable staff team that is attuned to the experiences and needs of children and families and communities. The staff have a commitment to addressing the issues of disproportionality that have negatively affected their children’s lives. By ensuring continuous professional development and sharing learning both with the service and partners we will seek to reduce the impact of disproportionality upon the children we work with. </w:t>
      </w:r>
    </w:p>
    <w:p w14:paraId="5B4DD8CA" w14:textId="7DDA6B51" w:rsidR="00590EB8" w:rsidRPr="00C53B1E" w:rsidRDefault="00E25777" w:rsidP="002010D8">
      <w:pPr>
        <w:pStyle w:val="NoSpacing"/>
        <w:ind w:left="720" w:hanging="720"/>
        <w:jc w:val="both"/>
        <w:rPr>
          <w:rFonts w:eastAsiaTheme="minorEastAsia" w:cstheme="minorHAnsi"/>
          <w:noProof/>
          <w:lang w:eastAsia="en-GB"/>
        </w:rPr>
      </w:pPr>
      <w:r>
        <w:rPr>
          <w:rFonts w:eastAsiaTheme="minorEastAsia" w:cstheme="minorHAnsi"/>
          <w:noProof/>
          <w:lang w:eastAsia="en-GB"/>
        </w:rPr>
        <w:t>9.4</w:t>
      </w:r>
      <w:r>
        <w:rPr>
          <w:rFonts w:eastAsiaTheme="minorEastAsia" w:cstheme="minorHAnsi"/>
          <w:noProof/>
          <w:lang w:eastAsia="en-GB"/>
        </w:rPr>
        <w:tab/>
      </w:r>
      <w:r w:rsidR="00590EB8" w:rsidRPr="00C53B1E">
        <w:rPr>
          <w:rFonts w:eastAsiaTheme="minorEastAsia" w:cstheme="minorHAnsi"/>
          <w:noProof/>
          <w:lang w:eastAsia="en-GB"/>
        </w:rPr>
        <w:t xml:space="preserve">During the last year, staff have undertaken Cultural Competency and Unconsious Bias </w:t>
      </w:r>
      <w:r w:rsidR="006D064B" w:rsidRPr="00C53B1E">
        <w:rPr>
          <w:rFonts w:eastAsiaTheme="minorEastAsia" w:cstheme="minorHAnsi"/>
          <w:noProof/>
          <w:lang w:eastAsia="en-GB"/>
        </w:rPr>
        <w:t xml:space="preserve">training. One small step following the training and in line with the action plan above are the changes to our Quality Assurance process. All reports, both Court and Out of Court now </w:t>
      </w:r>
      <w:r w:rsidR="00914C0B" w:rsidRPr="00C53B1E">
        <w:rPr>
          <w:rFonts w:eastAsiaTheme="minorEastAsia" w:cstheme="minorHAnsi"/>
          <w:noProof/>
          <w:lang w:eastAsia="en-GB"/>
        </w:rPr>
        <w:t xml:space="preserve">have to demonstrate how diversity, identity and any issues of disproportionality have been identifed, addresses and </w:t>
      </w:r>
      <w:r w:rsidR="00B93F62" w:rsidRPr="00C53B1E">
        <w:rPr>
          <w:rFonts w:eastAsiaTheme="minorEastAsia" w:cstheme="minorHAnsi"/>
          <w:noProof/>
          <w:lang w:eastAsia="en-GB"/>
        </w:rPr>
        <w:t>plans articulate how these, if any, issues will be addressed through the intervention delivery process</w:t>
      </w:r>
    </w:p>
    <w:p w14:paraId="6330E4CD" w14:textId="7BD87818" w:rsidR="00B0416F" w:rsidRPr="00C53B1E" w:rsidRDefault="001F504D" w:rsidP="00B15E08">
      <w:pPr>
        <w:pStyle w:val="NoSpacing"/>
        <w:jc w:val="both"/>
        <w:rPr>
          <w:rFonts w:cstheme="minorHAnsi"/>
          <w:b/>
          <w:bCs/>
        </w:rPr>
      </w:pPr>
      <w:r w:rsidRPr="00C53B1E">
        <w:rPr>
          <w:rFonts w:eastAsiaTheme="minorEastAsia" w:cstheme="minorHAnsi"/>
          <w:b/>
          <w:bCs/>
          <w:noProof/>
          <w:lang w:eastAsia="en-GB"/>
        </w:rPr>
        <w:br/>
      </w:r>
      <w:r w:rsidR="00E532C7" w:rsidRPr="00C53B1E">
        <w:rPr>
          <w:rFonts w:cstheme="minorHAnsi"/>
          <w:b/>
          <w:bCs/>
        </w:rPr>
        <w:t>“It’s not violence, but…” Research project into girl</w:t>
      </w:r>
      <w:r w:rsidR="00AC7CF7" w:rsidRPr="00C53B1E">
        <w:rPr>
          <w:rFonts w:cstheme="minorHAnsi"/>
          <w:b/>
          <w:bCs/>
        </w:rPr>
        <w:t>’</w:t>
      </w:r>
      <w:r w:rsidR="00E532C7" w:rsidRPr="00C53B1E">
        <w:rPr>
          <w:rFonts w:cstheme="minorHAnsi"/>
          <w:b/>
          <w:bCs/>
        </w:rPr>
        <w:t xml:space="preserve">s </w:t>
      </w:r>
      <w:r w:rsidR="00AC7CF7" w:rsidRPr="00C53B1E">
        <w:rPr>
          <w:rFonts w:cstheme="minorHAnsi"/>
          <w:b/>
          <w:bCs/>
        </w:rPr>
        <w:t xml:space="preserve">lived </w:t>
      </w:r>
      <w:r w:rsidR="00E532C7" w:rsidRPr="00C53B1E">
        <w:rPr>
          <w:rFonts w:cstheme="minorHAnsi"/>
          <w:b/>
          <w:bCs/>
        </w:rPr>
        <w:t xml:space="preserve">experiences </w:t>
      </w:r>
      <w:r w:rsidR="00AC7CF7" w:rsidRPr="00C53B1E">
        <w:rPr>
          <w:rFonts w:cstheme="minorHAnsi"/>
          <w:b/>
          <w:bCs/>
        </w:rPr>
        <w:t>of violence</w:t>
      </w:r>
    </w:p>
    <w:p w14:paraId="25801217" w14:textId="77777777" w:rsidR="00AC7CF7" w:rsidRPr="00C53B1E" w:rsidRDefault="00AC7CF7" w:rsidP="00B15E08">
      <w:pPr>
        <w:pStyle w:val="NoSpacing"/>
        <w:jc w:val="both"/>
        <w:rPr>
          <w:rFonts w:cstheme="minorHAnsi"/>
        </w:rPr>
      </w:pPr>
    </w:p>
    <w:p w14:paraId="125B1C02" w14:textId="6F0E0454" w:rsidR="00A70634" w:rsidRPr="00C53B1E" w:rsidRDefault="00E25777" w:rsidP="00E25777">
      <w:pPr>
        <w:pStyle w:val="NoSpacing"/>
        <w:ind w:left="720" w:hanging="720"/>
        <w:jc w:val="both"/>
        <w:rPr>
          <w:rFonts w:cstheme="minorHAnsi"/>
        </w:rPr>
      </w:pPr>
      <w:r>
        <w:rPr>
          <w:rFonts w:cstheme="minorHAnsi"/>
        </w:rPr>
        <w:t>9.5</w:t>
      </w:r>
      <w:r>
        <w:rPr>
          <w:rFonts w:cstheme="minorHAnsi"/>
        </w:rPr>
        <w:tab/>
      </w:r>
      <w:r w:rsidR="00A70634" w:rsidRPr="00C53B1E">
        <w:rPr>
          <w:rFonts w:cstheme="minorHAnsi"/>
        </w:rPr>
        <w:t xml:space="preserve">Nottingham YJS were involved in the recent “It’s not violence but…” research commissioned by NNVRP and led by Equation. This exploration followed an SNA which highlighted the need for a better understanding of the lived experiences of girls and young women in Nottinghamshire impacted by violence. Overall, 305 young women and girls between the age of 16 and 25 were involved in the exploration, of these 15 were interviewed either remotely or face to face and 290 completed an online survey. </w:t>
      </w:r>
    </w:p>
    <w:p w14:paraId="4C4E2B74" w14:textId="77777777" w:rsidR="00A70634" w:rsidRPr="00C53B1E" w:rsidRDefault="00A70634" w:rsidP="00B15E08">
      <w:pPr>
        <w:pStyle w:val="NoSpacing"/>
        <w:jc w:val="both"/>
        <w:rPr>
          <w:rFonts w:cstheme="minorHAnsi"/>
        </w:rPr>
      </w:pPr>
    </w:p>
    <w:p w14:paraId="6DE5D9DA" w14:textId="29095A02" w:rsidR="00A70634" w:rsidRPr="00C53B1E" w:rsidRDefault="00E25777" w:rsidP="00E25777">
      <w:pPr>
        <w:pStyle w:val="NoSpacing"/>
        <w:ind w:left="720" w:hanging="720"/>
        <w:jc w:val="both"/>
        <w:rPr>
          <w:rFonts w:cstheme="minorHAnsi"/>
        </w:rPr>
      </w:pPr>
      <w:r>
        <w:rPr>
          <w:rFonts w:cstheme="minorHAnsi"/>
        </w:rPr>
        <w:t>9.6</w:t>
      </w:r>
      <w:r>
        <w:rPr>
          <w:rFonts w:cstheme="minorHAnsi"/>
        </w:rPr>
        <w:tab/>
      </w:r>
      <w:r w:rsidR="00A70634" w:rsidRPr="00C53B1E">
        <w:rPr>
          <w:rFonts w:cstheme="minorHAnsi"/>
        </w:rPr>
        <w:t xml:space="preserve">Initially the research team hoped to obtain two homogenous groups of young women, specifically a group that had experienced intimate partner violence (IPV) and a group that had experienced community-based violence. However, there was only one referral from a statutory organisation, all the other girls interviewed responded directly to the online/social media advertisements resulting in all girls interviewed being over 16, and primarily discussing experiences of Intimate Partner Violence. The research also aimed to capture the voices of parents and carers and also professionals working to support these girls which resulted in 24 survey responses from parents and carers and 21 survey responses from professionals. </w:t>
      </w:r>
    </w:p>
    <w:p w14:paraId="25E382CC" w14:textId="77777777" w:rsidR="00A70634" w:rsidRPr="00C53B1E" w:rsidRDefault="00A70634" w:rsidP="00B15E08">
      <w:pPr>
        <w:pStyle w:val="NoSpacing"/>
        <w:jc w:val="both"/>
        <w:rPr>
          <w:rFonts w:cstheme="minorHAnsi"/>
        </w:rPr>
      </w:pPr>
    </w:p>
    <w:p w14:paraId="241D96AA" w14:textId="52C18009" w:rsidR="00A70634" w:rsidRPr="00C53B1E" w:rsidRDefault="00E25777" w:rsidP="00E25777">
      <w:pPr>
        <w:pStyle w:val="NoSpacing"/>
        <w:ind w:left="720" w:hanging="720"/>
        <w:jc w:val="both"/>
        <w:rPr>
          <w:rFonts w:cstheme="minorHAnsi"/>
          <w:b/>
          <w:bCs/>
        </w:rPr>
      </w:pPr>
      <w:r>
        <w:rPr>
          <w:rFonts w:cstheme="minorHAnsi"/>
        </w:rPr>
        <w:t>9.7</w:t>
      </w:r>
      <w:r>
        <w:rPr>
          <w:rFonts w:cstheme="minorHAnsi"/>
        </w:rPr>
        <w:tab/>
      </w:r>
      <w:r w:rsidR="00A70634" w:rsidRPr="00C53B1E">
        <w:rPr>
          <w:rFonts w:cstheme="minorHAnsi"/>
        </w:rPr>
        <w:t xml:space="preserve">The findings of the research and the resulting recommendations were presented to the NNVRP Board in December 2022 by Nottingham YJS and Dr Michele </w:t>
      </w:r>
      <w:proofErr w:type="spellStart"/>
      <w:r w:rsidR="00A70634" w:rsidRPr="00C53B1E">
        <w:rPr>
          <w:rFonts w:cstheme="minorHAnsi"/>
        </w:rPr>
        <w:t>Carr</w:t>
      </w:r>
      <w:proofErr w:type="spellEnd"/>
      <w:r w:rsidR="00A70634" w:rsidRPr="00C53B1E">
        <w:rPr>
          <w:rFonts w:cstheme="minorHAnsi"/>
        </w:rPr>
        <w:t xml:space="preserve">. They will </w:t>
      </w:r>
      <w:r w:rsidR="00A70634" w:rsidRPr="00C53B1E">
        <w:rPr>
          <w:rStyle w:val="Strong"/>
          <w:rFonts w:cstheme="minorHAnsi"/>
          <w:b w:val="0"/>
          <w:bCs w:val="0"/>
        </w:rPr>
        <w:t xml:space="preserve">guide NNVRP response, action planning and commissioning of services. </w:t>
      </w:r>
    </w:p>
    <w:p w14:paraId="1E29C756" w14:textId="77777777" w:rsidR="00A70634" w:rsidRPr="00C53B1E" w:rsidRDefault="00A70634" w:rsidP="00B15E08">
      <w:pPr>
        <w:pStyle w:val="NoSpacing"/>
        <w:jc w:val="both"/>
        <w:rPr>
          <w:rFonts w:cstheme="minorHAnsi"/>
        </w:rPr>
      </w:pPr>
    </w:p>
    <w:p w14:paraId="43D0DDF9" w14:textId="61C2257F" w:rsidR="00A70634" w:rsidRPr="00C53B1E" w:rsidRDefault="00E25777" w:rsidP="00E25777">
      <w:pPr>
        <w:pStyle w:val="NoSpacing"/>
        <w:ind w:left="720" w:hanging="720"/>
        <w:jc w:val="both"/>
        <w:rPr>
          <w:rFonts w:cstheme="minorHAnsi"/>
        </w:rPr>
      </w:pPr>
      <w:bookmarkStart w:id="10" w:name="_Toc118361079"/>
      <w:r>
        <w:rPr>
          <w:rFonts w:cstheme="minorHAnsi"/>
        </w:rPr>
        <w:t>9.8</w:t>
      </w:r>
      <w:r>
        <w:rPr>
          <w:rFonts w:cstheme="minorHAnsi"/>
        </w:rPr>
        <w:tab/>
      </w:r>
      <w:r w:rsidR="00A70634" w:rsidRPr="00C53B1E">
        <w:rPr>
          <w:rFonts w:cstheme="minorHAnsi"/>
        </w:rPr>
        <w:t>Recommendations</w:t>
      </w:r>
      <w:bookmarkEnd w:id="10"/>
      <w:r w:rsidR="00A70634" w:rsidRPr="00C53B1E">
        <w:rPr>
          <w:rFonts w:cstheme="minorHAnsi"/>
        </w:rPr>
        <w:t xml:space="preserve"> based on the findings</w:t>
      </w:r>
      <w:r w:rsidR="00D26C16" w:rsidRPr="00C53B1E">
        <w:rPr>
          <w:rFonts w:cstheme="minorHAnsi"/>
        </w:rPr>
        <w:t xml:space="preserve"> are grouped into three key areas, </w:t>
      </w:r>
      <w:r w:rsidR="00424454" w:rsidRPr="00C53B1E">
        <w:rPr>
          <w:rFonts w:cstheme="minorHAnsi"/>
        </w:rPr>
        <w:t xml:space="preserve">Training and Research, </w:t>
      </w:r>
      <w:r w:rsidR="00145980" w:rsidRPr="00C53B1E">
        <w:rPr>
          <w:rFonts w:cstheme="minorHAnsi"/>
        </w:rPr>
        <w:t>Awareness and Education</w:t>
      </w:r>
      <w:r w:rsidR="002D2663" w:rsidRPr="00C53B1E">
        <w:rPr>
          <w:rFonts w:cstheme="minorHAnsi"/>
        </w:rPr>
        <w:t>,</w:t>
      </w:r>
      <w:r w:rsidR="00145980" w:rsidRPr="00C53B1E">
        <w:rPr>
          <w:rFonts w:cstheme="minorHAnsi"/>
        </w:rPr>
        <w:t xml:space="preserve"> and </w:t>
      </w:r>
      <w:r w:rsidR="002D2663" w:rsidRPr="00C53B1E">
        <w:rPr>
          <w:rFonts w:cstheme="minorHAnsi"/>
        </w:rPr>
        <w:t>Resources and Tools. All three are broken down into further detail in the report</w:t>
      </w:r>
      <w:r w:rsidR="00340991" w:rsidRPr="00C53B1E">
        <w:rPr>
          <w:rFonts w:cstheme="minorHAnsi"/>
        </w:rPr>
        <w:t>, attached in</w:t>
      </w:r>
      <w:r w:rsidR="006D4572">
        <w:rPr>
          <w:rFonts w:cstheme="minorHAnsi"/>
        </w:rPr>
        <w:t xml:space="preserve"> Appendix Five.</w:t>
      </w:r>
      <w:r w:rsidR="00340991" w:rsidRPr="00C53B1E">
        <w:rPr>
          <w:rFonts w:cstheme="minorHAnsi"/>
        </w:rPr>
        <w:t xml:space="preserve"> </w:t>
      </w:r>
    </w:p>
    <w:p w14:paraId="7BE45DEB" w14:textId="7F6A43D0" w:rsidR="001F504D" w:rsidRDefault="001F504D" w:rsidP="00B15E08">
      <w:pPr>
        <w:pStyle w:val="NoSpacing"/>
        <w:jc w:val="both"/>
        <w:rPr>
          <w:rFonts w:eastAsiaTheme="minorEastAsia" w:cstheme="minorHAnsi"/>
          <w:b/>
          <w:bCs/>
          <w:noProof/>
          <w:lang w:eastAsia="en-GB"/>
        </w:rPr>
      </w:pPr>
    </w:p>
    <w:p w14:paraId="2AB87548" w14:textId="5EC0AA7E" w:rsidR="00E53221" w:rsidRDefault="00E53221" w:rsidP="00B15E08">
      <w:pPr>
        <w:pStyle w:val="NoSpacing"/>
        <w:jc w:val="both"/>
        <w:rPr>
          <w:rFonts w:eastAsiaTheme="minorEastAsia" w:cstheme="minorHAnsi"/>
          <w:b/>
          <w:bCs/>
          <w:noProof/>
          <w:lang w:eastAsia="en-GB"/>
        </w:rPr>
      </w:pPr>
      <w:r>
        <w:rPr>
          <w:rFonts w:eastAsiaTheme="minorEastAsia" w:cstheme="minorHAnsi"/>
          <w:b/>
          <w:bCs/>
          <w:noProof/>
          <w:lang w:eastAsia="en-GB"/>
        </w:rPr>
        <w:t>Prevention and Diversion</w:t>
      </w:r>
    </w:p>
    <w:p w14:paraId="23FB6BFB" w14:textId="77777777" w:rsidR="00E53221" w:rsidRPr="00C53B1E" w:rsidRDefault="00E53221" w:rsidP="00B15E08">
      <w:pPr>
        <w:pStyle w:val="NoSpacing"/>
        <w:jc w:val="both"/>
        <w:rPr>
          <w:rFonts w:eastAsiaTheme="minorEastAsia" w:cstheme="minorHAnsi"/>
          <w:b/>
          <w:bCs/>
          <w:noProof/>
          <w:lang w:eastAsia="en-GB"/>
        </w:rPr>
      </w:pPr>
    </w:p>
    <w:p w14:paraId="3D8B1AB2" w14:textId="614885C8" w:rsidR="0079185B" w:rsidRPr="00C53B1E" w:rsidRDefault="00E25777" w:rsidP="00E25777">
      <w:pPr>
        <w:pStyle w:val="NoSpacing"/>
        <w:ind w:left="720" w:hanging="720"/>
        <w:jc w:val="both"/>
        <w:rPr>
          <w:rFonts w:cstheme="minorHAnsi"/>
          <w:b/>
          <w:bCs/>
          <w:lang w:eastAsia="en-GB"/>
        </w:rPr>
      </w:pPr>
      <w:r w:rsidRPr="00E25777">
        <w:rPr>
          <w:rFonts w:cstheme="minorHAnsi"/>
          <w:lang w:eastAsia="en-GB"/>
        </w:rPr>
        <w:t>9.9</w:t>
      </w:r>
      <w:r w:rsidRPr="00E25777">
        <w:rPr>
          <w:rFonts w:cstheme="minorHAnsi"/>
          <w:lang w:eastAsia="en-GB"/>
        </w:rPr>
        <w:tab/>
      </w:r>
      <w:r w:rsidR="0079185B" w:rsidRPr="00C53B1E">
        <w:rPr>
          <w:rFonts w:cstheme="minorHAnsi"/>
          <w:b/>
          <w:bCs/>
          <w:lang w:eastAsia="en-GB"/>
        </w:rPr>
        <w:t>Prevention</w:t>
      </w:r>
      <w:r w:rsidR="00931D2A">
        <w:rPr>
          <w:rFonts w:cstheme="minorHAnsi"/>
          <w:b/>
          <w:bCs/>
          <w:lang w:eastAsia="en-GB"/>
        </w:rPr>
        <w:t xml:space="preserve"> </w:t>
      </w:r>
      <w:r w:rsidR="00931D2A">
        <w:t>is support and intervention with children (and their parents/carers) who may be displaying behaviours which may indicate underlying needs or vulnerability. In practice this involves a tiered approach of early and targeted prevention. The aim being to address unmet needs, safeguard, promote positive outcomes and stop children entering the formal youth justice system.</w:t>
      </w:r>
    </w:p>
    <w:p w14:paraId="0A25D80E" w14:textId="77777777" w:rsidR="003F4802" w:rsidRDefault="003F4802" w:rsidP="00B15E08">
      <w:pPr>
        <w:pStyle w:val="NoSpacing"/>
        <w:jc w:val="both"/>
        <w:rPr>
          <w:rFonts w:cstheme="minorHAnsi"/>
          <w:b/>
          <w:bCs/>
          <w:lang w:eastAsia="en-GB"/>
        </w:rPr>
      </w:pPr>
    </w:p>
    <w:p w14:paraId="12225D60" w14:textId="177CB8AF" w:rsidR="0079185B" w:rsidRDefault="00E25777" w:rsidP="00E25777">
      <w:pPr>
        <w:pStyle w:val="NoSpacing"/>
        <w:ind w:left="720" w:hanging="720"/>
        <w:jc w:val="both"/>
      </w:pPr>
      <w:r w:rsidRPr="00E25777">
        <w:rPr>
          <w:rFonts w:cstheme="minorHAnsi"/>
          <w:lang w:eastAsia="en-GB"/>
        </w:rPr>
        <w:t>9.10</w:t>
      </w:r>
      <w:r w:rsidRPr="00E25777">
        <w:rPr>
          <w:rFonts w:cstheme="minorHAnsi"/>
          <w:lang w:eastAsia="en-GB"/>
        </w:rPr>
        <w:tab/>
      </w:r>
      <w:r w:rsidR="0079185B" w:rsidRPr="00C53B1E">
        <w:rPr>
          <w:rFonts w:cstheme="minorHAnsi"/>
          <w:b/>
          <w:bCs/>
          <w:lang w:eastAsia="en-GB"/>
        </w:rPr>
        <w:t>Diversion</w:t>
      </w:r>
      <w:r w:rsidR="003F4802">
        <w:rPr>
          <w:rFonts w:cstheme="minorHAnsi"/>
          <w:b/>
          <w:bCs/>
          <w:lang w:eastAsia="en-GB"/>
        </w:rPr>
        <w:t xml:space="preserve"> </w:t>
      </w:r>
      <w:r w:rsidR="003F4802" w:rsidRPr="003F4802">
        <w:rPr>
          <w:rFonts w:cstheme="minorHAnsi"/>
          <w:lang w:eastAsia="en-GB"/>
        </w:rPr>
        <w:t>i</w:t>
      </w:r>
      <w:r w:rsidR="003F4802">
        <w:t>s where children with a linked offence receive an alternative outcome that does not result in a criminal record, avoids escalation into the formal youth justice system and associated stigmatisation. This may involve the YJS delivering support / intervention that may or may not be voluntary and/or signposting children (and parent/carers) into relevant services. All support should be proportionate, aimed at addressing unmet needs and supporting prosocial life choices.</w:t>
      </w:r>
    </w:p>
    <w:p w14:paraId="0BE6183E" w14:textId="77777777" w:rsidR="00E25777" w:rsidRDefault="00E25777" w:rsidP="00B15E08">
      <w:pPr>
        <w:pStyle w:val="NoSpacing"/>
        <w:jc w:val="both"/>
      </w:pPr>
    </w:p>
    <w:p w14:paraId="22F26E77" w14:textId="4D36531E" w:rsidR="003F4802" w:rsidRPr="00C53B1E" w:rsidRDefault="00E25777" w:rsidP="00E25777">
      <w:pPr>
        <w:pStyle w:val="NoSpacing"/>
        <w:ind w:left="720" w:hanging="720"/>
        <w:jc w:val="both"/>
        <w:rPr>
          <w:rFonts w:cstheme="minorHAnsi"/>
          <w:b/>
          <w:bCs/>
          <w:lang w:eastAsia="en-GB"/>
        </w:rPr>
      </w:pPr>
      <w:r>
        <w:t>9.11</w:t>
      </w:r>
      <w:r>
        <w:tab/>
      </w:r>
      <w:r w:rsidR="003F4802">
        <w:t xml:space="preserve">The </w:t>
      </w:r>
      <w:proofErr w:type="spellStart"/>
      <w:r w:rsidR="003F4802">
        <w:t>OoCD</w:t>
      </w:r>
      <w:proofErr w:type="spellEnd"/>
      <w:r w:rsidR="003F4802">
        <w:t xml:space="preserve"> panel is well established, and a pre-assessment is completed for all children prior to the panel. This provides panel members with a holistic view of the child which assists in making decisions that are based on the needs of the child and their family. The panel also adds additional scrutiny to the decision-making process.</w:t>
      </w:r>
    </w:p>
    <w:p w14:paraId="6B2D9F4B" w14:textId="538E6292" w:rsidR="009E5B46" w:rsidRPr="00C53B1E" w:rsidRDefault="009E5B46" w:rsidP="00B15E08">
      <w:pPr>
        <w:pStyle w:val="NoSpacing"/>
        <w:jc w:val="both"/>
        <w:rPr>
          <w:rFonts w:cstheme="minorHAnsi"/>
          <w:b/>
          <w:bCs/>
          <w:lang w:eastAsia="en-GB"/>
        </w:rPr>
      </w:pPr>
    </w:p>
    <w:p w14:paraId="1E6096D5" w14:textId="2D0B3E48" w:rsidR="0000751D" w:rsidRPr="00B02EB7" w:rsidRDefault="00E53221" w:rsidP="00E53221">
      <w:pPr>
        <w:pStyle w:val="NoSpacing"/>
        <w:ind w:left="720" w:hanging="720"/>
      </w:pPr>
      <w:r>
        <w:t>9.12</w:t>
      </w:r>
      <w:r>
        <w:tab/>
      </w:r>
      <w:r w:rsidR="0000751D">
        <w:t xml:space="preserve">The Targeted Youth Support (TYS) Team has continued to </w:t>
      </w:r>
      <w:r w:rsidR="0000751D" w:rsidRPr="00B02EB7">
        <w:t>offer bespoke prevention work across the city. The development of whole family working model and child first approach is becoming embedded across our service delivery</w:t>
      </w:r>
      <w:r w:rsidR="0000751D">
        <w:t xml:space="preserve">. This allows us to </w:t>
      </w:r>
      <w:r w:rsidR="0000751D" w:rsidRPr="00B02EB7">
        <w:t>address the child’s unmet needs but also to meet the needs of the family which are barriers to change and desistance.</w:t>
      </w:r>
      <w:r w:rsidR="0000751D" w:rsidRPr="00D377CC">
        <w:t xml:space="preserve"> </w:t>
      </w:r>
      <w:r w:rsidR="0000751D" w:rsidRPr="00B02EB7">
        <w:t xml:space="preserve">Since March 2023 the Prevention Team </w:t>
      </w:r>
      <w:r w:rsidR="0000751D">
        <w:t>has</w:t>
      </w:r>
      <w:r w:rsidR="0000751D" w:rsidRPr="00B02EB7">
        <w:t xml:space="preserve"> recruited an additional </w:t>
      </w:r>
      <w:r w:rsidR="0000751D">
        <w:t xml:space="preserve">four </w:t>
      </w:r>
      <w:r w:rsidR="0000751D" w:rsidRPr="00B02EB7">
        <w:t xml:space="preserve">staff and </w:t>
      </w:r>
      <w:r w:rsidR="0000751D">
        <w:t>one Senior TYS worker</w:t>
      </w:r>
      <w:r w:rsidR="0000751D" w:rsidRPr="00B02EB7">
        <w:t xml:space="preserve">. The challenge remains to recruit a further </w:t>
      </w:r>
      <w:r w:rsidR="0000751D">
        <w:t xml:space="preserve">two </w:t>
      </w:r>
      <w:r w:rsidR="0000751D" w:rsidRPr="00B02EB7">
        <w:t xml:space="preserve">staff to support the work identified below alongside a maternity cover for the existing </w:t>
      </w:r>
      <w:r w:rsidR="0000751D">
        <w:t>senior TYS worker</w:t>
      </w:r>
      <w:r w:rsidR="0000751D" w:rsidRPr="00B02EB7">
        <w:t>.</w:t>
      </w:r>
    </w:p>
    <w:p w14:paraId="325B8F74" w14:textId="77777777" w:rsidR="0000751D" w:rsidRDefault="0000751D" w:rsidP="0000751D">
      <w:pPr>
        <w:pStyle w:val="NoSpacing"/>
      </w:pPr>
    </w:p>
    <w:p w14:paraId="7A87270B" w14:textId="1BB8A63E" w:rsidR="0000751D" w:rsidRPr="00B02EB7" w:rsidRDefault="00E53221" w:rsidP="00E53221">
      <w:pPr>
        <w:pStyle w:val="NoSpacing"/>
        <w:ind w:left="720" w:hanging="720"/>
      </w:pPr>
      <w:r>
        <w:t>9.13</w:t>
      </w:r>
      <w:r>
        <w:tab/>
      </w:r>
      <w:r w:rsidR="0000751D" w:rsidRPr="00B02EB7">
        <w:t xml:space="preserve">The </w:t>
      </w:r>
      <w:r w:rsidR="0000751D">
        <w:t>T</w:t>
      </w:r>
      <w:r w:rsidR="0000751D" w:rsidRPr="00B02EB7">
        <w:t xml:space="preserve">eam </w:t>
      </w:r>
      <w:proofErr w:type="gramStart"/>
      <w:r w:rsidR="0000751D" w:rsidRPr="00B02EB7">
        <w:t>are</w:t>
      </w:r>
      <w:proofErr w:type="gramEnd"/>
      <w:r w:rsidR="0000751D" w:rsidRPr="00B02EB7">
        <w:t xml:space="preserve"> delivering on three funded projects alongside the core offer of prevention, </w:t>
      </w:r>
      <w:r w:rsidR="0000751D">
        <w:t xml:space="preserve">all </w:t>
      </w:r>
      <w:r w:rsidR="0000751D" w:rsidRPr="00B02EB7">
        <w:t>underpinned by trauma informed practice.</w:t>
      </w:r>
    </w:p>
    <w:p w14:paraId="43273EB9" w14:textId="77777777" w:rsidR="0000751D" w:rsidRDefault="0000751D" w:rsidP="0000751D">
      <w:pPr>
        <w:pStyle w:val="NoSpacing"/>
        <w:rPr>
          <w:b/>
          <w:bCs/>
        </w:rPr>
      </w:pPr>
    </w:p>
    <w:p w14:paraId="2DF1BDA5" w14:textId="7D9B1FFE" w:rsidR="0000751D" w:rsidRPr="00033B33" w:rsidRDefault="0000751D" w:rsidP="00E53221">
      <w:pPr>
        <w:pStyle w:val="NoSpacing"/>
        <w:ind w:left="1134" w:right="521"/>
      </w:pPr>
      <w:r>
        <w:rPr>
          <w:b/>
          <w:bCs/>
        </w:rPr>
        <w:t xml:space="preserve">The Turnaround programme: </w:t>
      </w:r>
      <w:r>
        <w:t>T</w:t>
      </w:r>
      <w:r w:rsidRPr="00033B33">
        <w:t xml:space="preserve">o divert </w:t>
      </w:r>
      <w:r>
        <w:t xml:space="preserve">those children at the very earlier opportunity </w:t>
      </w:r>
      <w:r w:rsidRPr="00033B33">
        <w:t>who have come to the attention of the police. There is a robust refer</w:t>
      </w:r>
      <w:r>
        <w:t>r</w:t>
      </w:r>
      <w:r w:rsidRPr="00033B33">
        <w:t>al route from both MASH, Childrens Duty Team</w:t>
      </w:r>
      <w:r>
        <w:t>,</w:t>
      </w:r>
      <w:r w:rsidRPr="00033B33">
        <w:t xml:space="preserve"> and the Police, allowing </w:t>
      </w:r>
      <w:r>
        <w:t xml:space="preserve">a </w:t>
      </w:r>
      <w:r w:rsidRPr="00033B33">
        <w:t>swift response for children to receive a service from the team</w:t>
      </w:r>
    </w:p>
    <w:p w14:paraId="703155B0" w14:textId="77777777" w:rsidR="0000751D" w:rsidRDefault="0000751D" w:rsidP="00E53221">
      <w:pPr>
        <w:pStyle w:val="NoSpacing"/>
        <w:ind w:left="1134" w:right="521"/>
        <w:rPr>
          <w:b/>
          <w:bCs/>
        </w:rPr>
      </w:pPr>
    </w:p>
    <w:p w14:paraId="2E05251B" w14:textId="539E04F7" w:rsidR="0000751D" w:rsidRDefault="0000751D" w:rsidP="00E53221">
      <w:pPr>
        <w:pStyle w:val="NoSpacing"/>
        <w:ind w:left="1134" w:right="521"/>
      </w:pPr>
      <w:r>
        <w:rPr>
          <w:b/>
          <w:bCs/>
        </w:rPr>
        <w:t xml:space="preserve">Another Way Programme – Urban Gangs programme. </w:t>
      </w:r>
      <w:r w:rsidRPr="00B4465D">
        <w:t>We are working in partnership with the Violence Reduction Unit, identifying children from police intelligence that are associated with urban gangs</w:t>
      </w:r>
      <w:r>
        <w:t>. T</w:t>
      </w:r>
      <w:r w:rsidRPr="00B4465D">
        <w:t xml:space="preserve">he project has </w:t>
      </w:r>
      <w:r>
        <w:t xml:space="preserve">three </w:t>
      </w:r>
      <w:r w:rsidRPr="00B4465D">
        <w:t xml:space="preserve">staff and is in the early stages of </w:t>
      </w:r>
      <w:r>
        <w:t>delivery.</w:t>
      </w:r>
    </w:p>
    <w:p w14:paraId="3CD52292" w14:textId="77777777" w:rsidR="0000751D" w:rsidRDefault="0000751D" w:rsidP="00E53221">
      <w:pPr>
        <w:pStyle w:val="NoSpacing"/>
        <w:ind w:left="1134" w:right="521"/>
        <w:rPr>
          <w:b/>
          <w:bCs/>
        </w:rPr>
      </w:pPr>
    </w:p>
    <w:p w14:paraId="166D3F33" w14:textId="2FB13899" w:rsidR="0000751D" w:rsidRPr="0049792C" w:rsidRDefault="0000751D" w:rsidP="00E53221">
      <w:pPr>
        <w:pStyle w:val="NoSpacing"/>
        <w:ind w:left="1134" w:right="521"/>
      </w:pPr>
      <w:r w:rsidRPr="00033B33">
        <w:rPr>
          <w:b/>
          <w:bCs/>
        </w:rPr>
        <w:t>Girls and Gangs</w:t>
      </w:r>
      <w:r>
        <w:rPr>
          <w:b/>
          <w:bCs/>
        </w:rPr>
        <w:t xml:space="preserve">: </w:t>
      </w:r>
      <w:r w:rsidRPr="00E53221">
        <w:t>The</w:t>
      </w:r>
      <w:r w:rsidRPr="0049792C">
        <w:t xml:space="preserve"> Youth Justice Service has an embedded practice model for working with girls who are subject to statutory orders, however this has not been embedded in our Prevention Service.</w:t>
      </w:r>
      <w:r>
        <w:t xml:space="preserve"> </w:t>
      </w:r>
      <w:r w:rsidRPr="0049792C">
        <w:t>The governments</w:t>
      </w:r>
      <w:r>
        <w:t>’</w:t>
      </w:r>
      <w:r w:rsidRPr="0049792C">
        <w:t xml:space="preserve"> strategy underpins the aim of the </w:t>
      </w:r>
      <w:proofErr w:type="gramStart"/>
      <w:r w:rsidRPr="0049792C">
        <w:t>programme</w:t>
      </w:r>
      <w:proofErr w:type="gramEnd"/>
      <w:r w:rsidRPr="0049792C">
        <w:t xml:space="preserve"> and we are working in partnership with the Violence Reduction </w:t>
      </w:r>
      <w:r>
        <w:t xml:space="preserve">Partnership </w:t>
      </w:r>
      <w:r w:rsidRPr="0049792C">
        <w:t xml:space="preserve">and Community Groups alongside our Youth and Play colleagues delivering a </w:t>
      </w:r>
      <w:r>
        <w:t>six-</w:t>
      </w:r>
      <w:r w:rsidRPr="0049792C">
        <w:t xml:space="preserve">week programme, with additional 1:1 </w:t>
      </w:r>
      <w:r>
        <w:t xml:space="preserve">support work </w:t>
      </w:r>
      <w:r w:rsidRPr="0049792C">
        <w:t>depending on need</w:t>
      </w:r>
      <w:r>
        <w:t xml:space="preserve">. </w:t>
      </w:r>
      <w:r w:rsidRPr="0049792C">
        <w:t xml:space="preserve">The exploitation and missing pathway </w:t>
      </w:r>
      <w:proofErr w:type="gramStart"/>
      <w:r w:rsidRPr="0049792C">
        <w:t>is</w:t>
      </w:r>
      <w:proofErr w:type="gramEnd"/>
      <w:r w:rsidRPr="0049792C">
        <w:t xml:space="preserve"> already embedded and will provide referrals alongside the existing pathway for another project and MASH.</w:t>
      </w:r>
    </w:p>
    <w:p w14:paraId="167E5415" w14:textId="77777777" w:rsidR="0000751D" w:rsidRDefault="0000751D" w:rsidP="0000751D">
      <w:pPr>
        <w:pStyle w:val="NoSpacing"/>
      </w:pPr>
    </w:p>
    <w:p w14:paraId="781E3874" w14:textId="3EC009EE" w:rsidR="0000751D" w:rsidRPr="0049792C" w:rsidRDefault="00E53221" w:rsidP="00E53221">
      <w:pPr>
        <w:pStyle w:val="NoSpacing"/>
        <w:ind w:left="720" w:hanging="720"/>
      </w:pPr>
      <w:r>
        <w:t>9.14</w:t>
      </w:r>
      <w:r>
        <w:tab/>
      </w:r>
      <w:r w:rsidR="0000751D" w:rsidRPr="0049792C">
        <w:t xml:space="preserve">The Prevention Team already work in partnership with Youth and Play service in the co-delivery of young men’s programmes. We aim to utilise the existing pathways for referrals to the urban gang programme, existing Exploitation and Missing Pathway and further strengthen our referral pathway with our colleagues in the MASH. </w:t>
      </w:r>
    </w:p>
    <w:p w14:paraId="63DABF5E" w14:textId="77777777" w:rsidR="0000751D" w:rsidRDefault="0000751D" w:rsidP="0000751D">
      <w:pPr>
        <w:pStyle w:val="NoSpacing"/>
        <w:rPr>
          <w:b/>
          <w:bCs/>
        </w:rPr>
      </w:pPr>
    </w:p>
    <w:p w14:paraId="3A68AB6F" w14:textId="57F877F6" w:rsidR="0000751D" w:rsidRPr="00B02EB7" w:rsidRDefault="00E53221" w:rsidP="00E53221">
      <w:pPr>
        <w:pStyle w:val="NoSpacing"/>
        <w:ind w:left="720" w:hanging="720"/>
      </w:pPr>
      <w:r w:rsidRPr="00E53221">
        <w:t>9.15</w:t>
      </w:r>
      <w:r w:rsidRPr="00E53221">
        <w:tab/>
      </w:r>
      <w:r w:rsidR="0000751D">
        <w:rPr>
          <w:b/>
          <w:bCs/>
        </w:rPr>
        <w:t xml:space="preserve">Education delivery. </w:t>
      </w:r>
      <w:r w:rsidR="0000751D" w:rsidRPr="00B02EB7">
        <w:t xml:space="preserve">The Targeted Youth Support (TYS) have a core offer to all secondary schools which includes </w:t>
      </w:r>
      <w:r w:rsidR="0000751D">
        <w:t>three</w:t>
      </w:r>
      <w:r w:rsidR="0000751D" w:rsidRPr="00B02EB7">
        <w:t xml:space="preserve"> types of Interventions Programmes. </w:t>
      </w:r>
    </w:p>
    <w:p w14:paraId="0F428CD7" w14:textId="77777777" w:rsidR="002533C5" w:rsidRDefault="002533C5" w:rsidP="0000751D">
      <w:pPr>
        <w:pStyle w:val="NoSpacing"/>
      </w:pPr>
    </w:p>
    <w:p w14:paraId="5C858D60" w14:textId="4291521D" w:rsidR="0000751D" w:rsidRDefault="0000751D" w:rsidP="00E53221">
      <w:pPr>
        <w:pStyle w:val="NoSpacing"/>
        <w:numPr>
          <w:ilvl w:val="0"/>
          <w:numId w:val="20"/>
        </w:numPr>
        <w:ind w:left="1276" w:right="521" w:hanging="283"/>
      </w:pPr>
      <w:r w:rsidRPr="00B02EB7">
        <w:t>Whole year group assembly presentation</w:t>
      </w:r>
      <w:r>
        <w:t xml:space="preserve"> –</w:t>
      </w:r>
      <w:r w:rsidRPr="00B02EB7">
        <w:t xml:space="preserve"> this is using current topics both in local news and the national news</w:t>
      </w:r>
      <w:r>
        <w:t xml:space="preserve"> </w:t>
      </w:r>
      <w:r w:rsidRPr="00B02EB7">
        <w:t>including knife crime, exploitation, anti</w:t>
      </w:r>
      <w:r>
        <w:t>-</w:t>
      </w:r>
      <w:r w:rsidRPr="00B02EB7">
        <w:t>social behaviour</w:t>
      </w:r>
      <w:r w:rsidR="00E53221">
        <w:t>,</w:t>
      </w:r>
      <w:r w:rsidRPr="00B02EB7">
        <w:t xml:space="preserve"> and healthy relationships</w:t>
      </w:r>
      <w:r>
        <w:t>.</w:t>
      </w:r>
    </w:p>
    <w:p w14:paraId="67649A30" w14:textId="77777777" w:rsidR="002533C5" w:rsidRDefault="0000751D" w:rsidP="00E53221">
      <w:pPr>
        <w:pStyle w:val="NoSpacing"/>
        <w:numPr>
          <w:ilvl w:val="0"/>
          <w:numId w:val="20"/>
        </w:numPr>
        <w:ind w:left="1276" w:right="521" w:hanging="283"/>
      </w:pPr>
      <w:r w:rsidRPr="00B02EB7">
        <w:t>Small group work programme</w:t>
      </w:r>
      <w:r>
        <w:t xml:space="preserve"> –</w:t>
      </w:r>
      <w:r w:rsidRPr="00B02EB7">
        <w:t xml:space="preserve"> working with schools who have identified children who are at risk of exclusion due to </w:t>
      </w:r>
      <w:r>
        <w:t xml:space="preserve">their </w:t>
      </w:r>
      <w:r w:rsidRPr="00B02EB7">
        <w:t xml:space="preserve">behaviour over a </w:t>
      </w:r>
      <w:r>
        <w:t>six-</w:t>
      </w:r>
      <w:r w:rsidRPr="00B02EB7">
        <w:t>week period.</w:t>
      </w:r>
      <w:r w:rsidR="002533C5">
        <w:t xml:space="preserve"> </w:t>
      </w:r>
    </w:p>
    <w:p w14:paraId="720346F7" w14:textId="7E964F13" w:rsidR="0000751D" w:rsidRDefault="002533C5" w:rsidP="00E53221">
      <w:pPr>
        <w:pStyle w:val="NoSpacing"/>
        <w:numPr>
          <w:ilvl w:val="0"/>
          <w:numId w:val="20"/>
        </w:numPr>
        <w:ind w:left="1276" w:right="521" w:hanging="283"/>
      </w:pPr>
      <w:r>
        <w:t xml:space="preserve">Individual </w:t>
      </w:r>
      <w:r w:rsidR="0000751D" w:rsidRPr="00B02EB7">
        <w:t>work for children identified that require a bespoke package support that cannot be delivered via group</w:t>
      </w:r>
      <w:r w:rsidR="0000751D">
        <w:t>-</w:t>
      </w:r>
      <w:r w:rsidR="0000751D" w:rsidRPr="00B02EB7">
        <w:t>work and includes addressing unmet needs with a whole family approach</w:t>
      </w:r>
      <w:r w:rsidR="0000751D">
        <w:t>.</w:t>
      </w:r>
    </w:p>
    <w:p w14:paraId="4A142063" w14:textId="77777777" w:rsidR="002533C5" w:rsidRDefault="002533C5" w:rsidP="0000751D">
      <w:pPr>
        <w:pStyle w:val="NoSpacing"/>
      </w:pPr>
    </w:p>
    <w:p w14:paraId="02C66E1E" w14:textId="67661BC3" w:rsidR="0000751D" w:rsidRDefault="00E53221" w:rsidP="00E53221">
      <w:pPr>
        <w:pStyle w:val="NoSpacing"/>
        <w:ind w:left="720" w:hanging="720"/>
      </w:pPr>
      <w:r>
        <w:t>9.16</w:t>
      </w:r>
      <w:r>
        <w:tab/>
      </w:r>
      <w:r w:rsidR="0000751D" w:rsidRPr="00D377CC">
        <w:t xml:space="preserve">The Team </w:t>
      </w:r>
      <w:r w:rsidR="0000751D">
        <w:t>continues</w:t>
      </w:r>
      <w:r w:rsidR="0000751D" w:rsidRPr="00D377CC">
        <w:t xml:space="preserve"> to deliver Choices and Consequences, </w:t>
      </w:r>
      <w:r w:rsidR="0000751D">
        <w:t xml:space="preserve">the </w:t>
      </w:r>
      <w:r w:rsidR="0000751D" w:rsidRPr="00D377CC">
        <w:t xml:space="preserve">knife crime </w:t>
      </w:r>
      <w:r w:rsidR="0000751D">
        <w:t xml:space="preserve">programme </w:t>
      </w:r>
      <w:r w:rsidR="0000751D" w:rsidRPr="00D377CC">
        <w:t>within the Galleries of Justice in line with our current N</w:t>
      </w:r>
      <w:r w:rsidR="0000751D">
        <w:t>ottingham City Knives and Weapons guidance for schools and education provisions</w:t>
      </w:r>
      <w:r w:rsidR="0000751D" w:rsidRPr="00D377CC">
        <w:t>. This policy is being updated with the partnership and will reduce the number of children the Prevention Team deliver this programme t</w:t>
      </w:r>
      <w:r w:rsidR="0000751D">
        <w:t xml:space="preserve">o </w:t>
      </w:r>
      <w:r w:rsidR="0000751D" w:rsidRPr="00D377CC">
        <w:t>school will be encouraged to access this free resource from the Galleries of Justice.</w:t>
      </w:r>
    </w:p>
    <w:p w14:paraId="78140750" w14:textId="77777777" w:rsidR="002533C5" w:rsidRDefault="002533C5" w:rsidP="0000751D">
      <w:pPr>
        <w:pStyle w:val="NoSpacing"/>
      </w:pPr>
    </w:p>
    <w:p w14:paraId="117B1618" w14:textId="23D9F2BD" w:rsidR="0000751D" w:rsidRPr="002533C5" w:rsidRDefault="0000751D" w:rsidP="0000751D">
      <w:pPr>
        <w:pStyle w:val="NoSpacing"/>
        <w:rPr>
          <w:b/>
          <w:bCs/>
        </w:rPr>
      </w:pPr>
      <w:r w:rsidRPr="002533C5">
        <w:rPr>
          <w:b/>
          <w:bCs/>
        </w:rPr>
        <w:t xml:space="preserve">Table </w:t>
      </w:r>
      <w:r w:rsidR="002533C5">
        <w:rPr>
          <w:b/>
          <w:bCs/>
        </w:rPr>
        <w:t>14</w:t>
      </w:r>
      <w:r w:rsidRPr="002533C5">
        <w:rPr>
          <w:b/>
          <w:bCs/>
        </w:rPr>
        <w:t xml:space="preserve"> Caseload of Targeted Youth Support Team 2022/23</w:t>
      </w:r>
    </w:p>
    <w:tbl>
      <w:tblPr>
        <w:tblW w:w="10280" w:type="dxa"/>
        <w:tblLook w:val="04A0" w:firstRow="1" w:lastRow="0" w:firstColumn="1" w:lastColumn="0" w:noHBand="0" w:noVBand="1"/>
      </w:tblPr>
      <w:tblGrid>
        <w:gridCol w:w="6440"/>
        <w:gridCol w:w="1700"/>
        <w:gridCol w:w="2140"/>
      </w:tblGrid>
      <w:tr w:rsidR="0000751D" w:rsidRPr="00D377CC" w14:paraId="1C429B79" w14:textId="77777777" w:rsidTr="00217EE8">
        <w:trPr>
          <w:trHeight w:val="290"/>
        </w:trPr>
        <w:tc>
          <w:tcPr>
            <w:tcW w:w="6440" w:type="dxa"/>
            <w:tcBorders>
              <w:top w:val="single" w:sz="4" w:space="0" w:color="auto"/>
              <w:left w:val="single" w:sz="4" w:space="0" w:color="auto"/>
              <w:bottom w:val="single" w:sz="4" w:space="0" w:color="9BC2E6"/>
              <w:right w:val="nil"/>
            </w:tcBorders>
            <w:shd w:val="clear" w:color="DDEBF7" w:fill="DDEBF7"/>
            <w:noWrap/>
            <w:vAlign w:val="center"/>
            <w:hideMark/>
          </w:tcPr>
          <w:p w14:paraId="3A0B5C1B"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sidRPr="00D377CC">
              <w:rPr>
                <w:rFonts w:ascii="Calibri" w:eastAsia="Times New Roman" w:hAnsi="Calibri" w:cs="Calibri"/>
                <w:b/>
                <w:bCs/>
                <w:color w:val="000000"/>
                <w:lang w:eastAsia="en-GB"/>
              </w:rPr>
              <w:t>Intervention types</w:t>
            </w:r>
          </w:p>
        </w:tc>
        <w:tc>
          <w:tcPr>
            <w:tcW w:w="1700" w:type="dxa"/>
            <w:tcBorders>
              <w:top w:val="single" w:sz="4" w:space="0" w:color="auto"/>
              <w:left w:val="nil"/>
              <w:bottom w:val="single" w:sz="4" w:space="0" w:color="9BC2E6"/>
              <w:right w:val="nil"/>
            </w:tcBorders>
            <w:shd w:val="clear" w:color="DDEBF7" w:fill="DDEBF7"/>
            <w:noWrap/>
            <w:vAlign w:val="center"/>
            <w:hideMark/>
          </w:tcPr>
          <w:p w14:paraId="60D949EE"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Pr="00D377CC">
              <w:rPr>
                <w:rFonts w:ascii="Calibri" w:eastAsia="Times New Roman" w:hAnsi="Calibri" w:cs="Calibri"/>
                <w:b/>
                <w:bCs/>
                <w:color w:val="000000"/>
                <w:lang w:eastAsia="en-GB"/>
              </w:rPr>
              <w:t>hildren</w:t>
            </w:r>
          </w:p>
        </w:tc>
        <w:tc>
          <w:tcPr>
            <w:tcW w:w="2140" w:type="dxa"/>
            <w:tcBorders>
              <w:top w:val="single" w:sz="4" w:space="0" w:color="auto"/>
              <w:left w:val="nil"/>
              <w:bottom w:val="single" w:sz="4" w:space="0" w:color="9BC2E6"/>
              <w:right w:val="single" w:sz="4" w:space="0" w:color="auto"/>
            </w:tcBorders>
            <w:shd w:val="clear" w:color="DDEBF7" w:fill="DDEBF7"/>
            <w:noWrap/>
            <w:vAlign w:val="center"/>
            <w:hideMark/>
          </w:tcPr>
          <w:p w14:paraId="0AF60C4D"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w:t>
            </w:r>
            <w:r w:rsidRPr="00D377CC">
              <w:rPr>
                <w:rFonts w:ascii="Calibri" w:eastAsia="Times New Roman" w:hAnsi="Calibri" w:cs="Calibri"/>
                <w:b/>
                <w:bCs/>
                <w:color w:val="000000"/>
                <w:lang w:eastAsia="en-GB"/>
              </w:rPr>
              <w:t>ntervention</w:t>
            </w:r>
          </w:p>
        </w:tc>
      </w:tr>
      <w:tr w:rsidR="0000751D" w:rsidRPr="00D377CC" w14:paraId="6147918C"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42533EF5"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Community Resolution with YOT Intervention</w:t>
            </w:r>
          </w:p>
        </w:tc>
        <w:tc>
          <w:tcPr>
            <w:tcW w:w="1700" w:type="dxa"/>
            <w:tcBorders>
              <w:top w:val="nil"/>
              <w:left w:val="nil"/>
              <w:bottom w:val="nil"/>
              <w:right w:val="nil"/>
            </w:tcBorders>
            <w:shd w:val="clear" w:color="auto" w:fill="auto"/>
            <w:noWrap/>
            <w:vAlign w:val="center"/>
            <w:hideMark/>
          </w:tcPr>
          <w:p w14:paraId="0EA31A38"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12</w:t>
            </w:r>
          </w:p>
        </w:tc>
        <w:tc>
          <w:tcPr>
            <w:tcW w:w="2140" w:type="dxa"/>
            <w:tcBorders>
              <w:top w:val="nil"/>
              <w:left w:val="nil"/>
              <w:bottom w:val="nil"/>
              <w:right w:val="single" w:sz="4" w:space="0" w:color="auto"/>
            </w:tcBorders>
            <w:shd w:val="clear" w:color="auto" w:fill="auto"/>
            <w:noWrap/>
            <w:vAlign w:val="center"/>
            <w:hideMark/>
          </w:tcPr>
          <w:p w14:paraId="22318853"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12</w:t>
            </w:r>
          </w:p>
        </w:tc>
      </w:tr>
      <w:tr w:rsidR="0000751D" w:rsidRPr="00D377CC" w14:paraId="3D2D8A4A"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11A786F2"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Out of Court Assessment</w:t>
            </w:r>
          </w:p>
        </w:tc>
        <w:tc>
          <w:tcPr>
            <w:tcW w:w="1700" w:type="dxa"/>
            <w:tcBorders>
              <w:top w:val="nil"/>
              <w:left w:val="nil"/>
              <w:bottom w:val="nil"/>
              <w:right w:val="nil"/>
            </w:tcBorders>
            <w:shd w:val="clear" w:color="auto" w:fill="auto"/>
            <w:noWrap/>
            <w:vAlign w:val="center"/>
            <w:hideMark/>
          </w:tcPr>
          <w:p w14:paraId="62F0B8A5"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26</w:t>
            </w:r>
          </w:p>
        </w:tc>
        <w:tc>
          <w:tcPr>
            <w:tcW w:w="2140" w:type="dxa"/>
            <w:tcBorders>
              <w:top w:val="nil"/>
              <w:left w:val="nil"/>
              <w:bottom w:val="nil"/>
              <w:right w:val="single" w:sz="4" w:space="0" w:color="auto"/>
            </w:tcBorders>
            <w:shd w:val="clear" w:color="auto" w:fill="auto"/>
            <w:noWrap/>
            <w:vAlign w:val="center"/>
            <w:hideMark/>
          </w:tcPr>
          <w:p w14:paraId="47E87DC3"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28</w:t>
            </w:r>
          </w:p>
        </w:tc>
      </w:tr>
      <w:tr w:rsidR="0000751D" w:rsidRPr="00D377CC" w14:paraId="087D56B6"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171F1AAB"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Outcome 22 (Diversionary, Educational or Intervention Activity)</w:t>
            </w:r>
          </w:p>
        </w:tc>
        <w:tc>
          <w:tcPr>
            <w:tcW w:w="1700" w:type="dxa"/>
            <w:tcBorders>
              <w:top w:val="nil"/>
              <w:left w:val="nil"/>
              <w:bottom w:val="nil"/>
              <w:right w:val="nil"/>
            </w:tcBorders>
            <w:shd w:val="clear" w:color="auto" w:fill="auto"/>
            <w:noWrap/>
            <w:vAlign w:val="center"/>
            <w:hideMark/>
          </w:tcPr>
          <w:p w14:paraId="1F4EC72C"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18</w:t>
            </w:r>
          </w:p>
        </w:tc>
        <w:tc>
          <w:tcPr>
            <w:tcW w:w="2140" w:type="dxa"/>
            <w:tcBorders>
              <w:top w:val="nil"/>
              <w:left w:val="nil"/>
              <w:bottom w:val="nil"/>
              <w:right w:val="single" w:sz="4" w:space="0" w:color="auto"/>
            </w:tcBorders>
            <w:shd w:val="clear" w:color="auto" w:fill="auto"/>
            <w:noWrap/>
            <w:vAlign w:val="center"/>
            <w:hideMark/>
          </w:tcPr>
          <w:p w14:paraId="2C3BAD8A"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19</w:t>
            </w:r>
          </w:p>
        </w:tc>
      </w:tr>
      <w:tr w:rsidR="0000751D" w:rsidRPr="00D377CC" w14:paraId="6841676E"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4B7433D9"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Turnaround</w:t>
            </w:r>
          </w:p>
        </w:tc>
        <w:tc>
          <w:tcPr>
            <w:tcW w:w="1700" w:type="dxa"/>
            <w:tcBorders>
              <w:top w:val="nil"/>
              <w:left w:val="nil"/>
              <w:bottom w:val="nil"/>
              <w:right w:val="nil"/>
            </w:tcBorders>
            <w:shd w:val="clear" w:color="auto" w:fill="auto"/>
            <w:noWrap/>
            <w:vAlign w:val="center"/>
            <w:hideMark/>
          </w:tcPr>
          <w:p w14:paraId="43F5DA5B"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19</w:t>
            </w:r>
          </w:p>
        </w:tc>
        <w:tc>
          <w:tcPr>
            <w:tcW w:w="2140" w:type="dxa"/>
            <w:tcBorders>
              <w:top w:val="nil"/>
              <w:left w:val="nil"/>
              <w:bottom w:val="nil"/>
              <w:right w:val="single" w:sz="4" w:space="0" w:color="auto"/>
            </w:tcBorders>
            <w:shd w:val="clear" w:color="auto" w:fill="auto"/>
            <w:noWrap/>
            <w:vAlign w:val="center"/>
            <w:hideMark/>
          </w:tcPr>
          <w:p w14:paraId="49C6BCAF"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19</w:t>
            </w:r>
          </w:p>
        </w:tc>
      </w:tr>
      <w:tr w:rsidR="0000751D" w:rsidRPr="00D377CC" w14:paraId="6290DEB8"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3029C958"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TYS Prevention Programme</w:t>
            </w:r>
          </w:p>
        </w:tc>
        <w:tc>
          <w:tcPr>
            <w:tcW w:w="1700" w:type="dxa"/>
            <w:tcBorders>
              <w:top w:val="nil"/>
              <w:left w:val="nil"/>
              <w:bottom w:val="nil"/>
              <w:right w:val="nil"/>
            </w:tcBorders>
            <w:shd w:val="clear" w:color="auto" w:fill="auto"/>
            <w:noWrap/>
            <w:vAlign w:val="center"/>
            <w:hideMark/>
          </w:tcPr>
          <w:p w14:paraId="4E1DFB67"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27</w:t>
            </w:r>
          </w:p>
        </w:tc>
        <w:tc>
          <w:tcPr>
            <w:tcW w:w="2140" w:type="dxa"/>
            <w:tcBorders>
              <w:top w:val="nil"/>
              <w:left w:val="nil"/>
              <w:bottom w:val="nil"/>
              <w:right w:val="single" w:sz="4" w:space="0" w:color="auto"/>
            </w:tcBorders>
            <w:shd w:val="clear" w:color="auto" w:fill="auto"/>
            <w:noWrap/>
            <w:vAlign w:val="center"/>
            <w:hideMark/>
          </w:tcPr>
          <w:p w14:paraId="6F426E5D"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27</w:t>
            </w:r>
          </w:p>
        </w:tc>
      </w:tr>
      <w:tr w:rsidR="0000751D" w:rsidRPr="00D377CC" w14:paraId="5EEFE2EF" w14:textId="77777777" w:rsidTr="00217EE8">
        <w:trPr>
          <w:trHeight w:val="290"/>
        </w:trPr>
        <w:tc>
          <w:tcPr>
            <w:tcW w:w="6440" w:type="dxa"/>
            <w:tcBorders>
              <w:top w:val="nil"/>
              <w:left w:val="single" w:sz="4" w:space="0" w:color="auto"/>
              <w:bottom w:val="nil"/>
              <w:right w:val="nil"/>
            </w:tcBorders>
            <w:shd w:val="clear" w:color="auto" w:fill="auto"/>
            <w:noWrap/>
            <w:vAlign w:val="center"/>
            <w:hideMark/>
          </w:tcPr>
          <w:p w14:paraId="6ABD1946" w14:textId="77777777" w:rsidR="0000751D" w:rsidRPr="00D377CC" w:rsidRDefault="0000751D" w:rsidP="00217EE8">
            <w:pPr>
              <w:spacing w:after="0" w:line="240" w:lineRule="auto"/>
              <w:jc w:val="center"/>
              <w:rPr>
                <w:rFonts w:ascii="Calibri" w:eastAsia="Times New Roman" w:hAnsi="Calibri" w:cs="Calibri"/>
                <w:color w:val="000000"/>
                <w:lang w:eastAsia="en-GB"/>
              </w:rPr>
            </w:pPr>
            <w:proofErr w:type="gramStart"/>
            <w:r w:rsidRPr="00D377CC">
              <w:rPr>
                <w:rFonts w:ascii="Calibri" w:eastAsia="Times New Roman" w:hAnsi="Calibri" w:cs="Calibri"/>
                <w:color w:val="000000"/>
                <w:lang w:eastAsia="en-GB"/>
              </w:rPr>
              <w:t>Under Age</w:t>
            </w:r>
            <w:proofErr w:type="gramEnd"/>
            <w:r w:rsidRPr="00D377CC">
              <w:rPr>
                <w:rFonts w:ascii="Calibri" w:eastAsia="Times New Roman" w:hAnsi="Calibri" w:cs="Calibri"/>
                <w:color w:val="000000"/>
                <w:lang w:eastAsia="en-GB"/>
              </w:rPr>
              <w:t xml:space="preserve"> Prevention Programme</w:t>
            </w:r>
          </w:p>
        </w:tc>
        <w:tc>
          <w:tcPr>
            <w:tcW w:w="1700" w:type="dxa"/>
            <w:tcBorders>
              <w:top w:val="nil"/>
              <w:left w:val="nil"/>
              <w:bottom w:val="nil"/>
              <w:right w:val="nil"/>
            </w:tcBorders>
            <w:shd w:val="clear" w:color="auto" w:fill="auto"/>
            <w:noWrap/>
            <w:vAlign w:val="center"/>
            <w:hideMark/>
          </w:tcPr>
          <w:p w14:paraId="737F89DD"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17</w:t>
            </w:r>
          </w:p>
        </w:tc>
        <w:tc>
          <w:tcPr>
            <w:tcW w:w="2140" w:type="dxa"/>
            <w:tcBorders>
              <w:top w:val="nil"/>
              <w:left w:val="nil"/>
              <w:bottom w:val="nil"/>
              <w:right w:val="single" w:sz="4" w:space="0" w:color="auto"/>
            </w:tcBorders>
            <w:shd w:val="clear" w:color="auto" w:fill="auto"/>
            <w:noWrap/>
            <w:vAlign w:val="center"/>
            <w:hideMark/>
          </w:tcPr>
          <w:p w14:paraId="7ED8D1A7" w14:textId="77777777" w:rsidR="0000751D" w:rsidRPr="00D377CC" w:rsidRDefault="0000751D" w:rsidP="00217EE8">
            <w:pPr>
              <w:spacing w:after="0" w:line="240" w:lineRule="auto"/>
              <w:jc w:val="center"/>
              <w:rPr>
                <w:rFonts w:ascii="Calibri" w:eastAsia="Times New Roman" w:hAnsi="Calibri" w:cs="Calibri"/>
                <w:color w:val="000000"/>
                <w:lang w:eastAsia="en-GB"/>
              </w:rPr>
            </w:pPr>
            <w:r w:rsidRPr="00D377CC">
              <w:rPr>
                <w:rFonts w:ascii="Calibri" w:eastAsia="Times New Roman" w:hAnsi="Calibri" w:cs="Calibri"/>
                <w:color w:val="000000"/>
                <w:lang w:eastAsia="en-GB"/>
              </w:rPr>
              <w:t>17</w:t>
            </w:r>
          </w:p>
        </w:tc>
      </w:tr>
      <w:tr w:rsidR="0000751D" w:rsidRPr="00D377CC" w14:paraId="2A074FA5" w14:textId="77777777" w:rsidTr="00217EE8">
        <w:trPr>
          <w:trHeight w:val="290"/>
        </w:trPr>
        <w:tc>
          <w:tcPr>
            <w:tcW w:w="6440" w:type="dxa"/>
            <w:tcBorders>
              <w:top w:val="single" w:sz="4" w:space="0" w:color="9BC2E6"/>
              <w:left w:val="single" w:sz="4" w:space="0" w:color="auto"/>
              <w:bottom w:val="single" w:sz="4" w:space="0" w:color="auto"/>
              <w:right w:val="nil"/>
            </w:tcBorders>
            <w:shd w:val="clear" w:color="DDEBF7" w:fill="DDEBF7"/>
            <w:noWrap/>
            <w:vAlign w:val="center"/>
            <w:hideMark/>
          </w:tcPr>
          <w:p w14:paraId="33E1E0FD"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sidRPr="00D377CC">
              <w:rPr>
                <w:rFonts w:ascii="Calibri" w:eastAsia="Times New Roman" w:hAnsi="Calibri" w:cs="Calibri"/>
                <w:b/>
                <w:bCs/>
                <w:color w:val="000000"/>
                <w:lang w:eastAsia="en-GB"/>
              </w:rPr>
              <w:t>Grand Total</w:t>
            </w:r>
          </w:p>
        </w:tc>
        <w:tc>
          <w:tcPr>
            <w:tcW w:w="1700" w:type="dxa"/>
            <w:tcBorders>
              <w:top w:val="single" w:sz="4" w:space="0" w:color="9BC2E6"/>
              <w:left w:val="nil"/>
              <w:bottom w:val="single" w:sz="4" w:space="0" w:color="auto"/>
              <w:right w:val="nil"/>
            </w:tcBorders>
            <w:shd w:val="clear" w:color="DDEBF7" w:fill="DDEBF7"/>
            <w:noWrap/>
            <w:vAlign w:val="center"/>
            <w:hideMark/>
          </w:tcPr>
          <w:p w14:paraId="7B810E8B"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sidRPr="00D377CC">
              <w:rPr>
                <w:rFonts w:ascii="Calibri" w:eastAsia="Times New Roman" w:hAnsi="Calibri" w:cs="Calibri"/>
                <w:b/>
                <w:bCs/>
                <w:color w:val="000000"/>
                <w:lang w:eastAsia="en-GB"/>
              </w:rPr>
              <w:t>78</w:t>
            </w:r>
          </w:p>
        </w:tc>
        <w:tc>
          <w:tcPr>
            <w:tcW w:w="2140" w:type="dxa"/>
            <w:tcBorders>
              <w:top w:val="single" w:sz="4" w:space="0" w:color="9BC2E6"/>
              <w:left w:val="nil"/>
              <w:bottom w:val="single" w:sz="4" w:space="0" w:color="auto"/>
              <w:right w:val="single" w:sz="4" w:space="0" w:color="auto"/>
            </w:tcBorders>
            <w:shd w:val="clear" w:color="DDEBF7" w:fill="DDEBF7"/>
            <w:noWrap/>
            <w:vAlign w:val="center"/>
            <w:hideMark/>
          </w:tcPr>
          <w:p w14:paraId="2117D306" w14:textId="77777777" w:rsidR="0000751D" w:rsidRPr="00D377CC" w:rsidRDefault="0000751D" w:rsidP="00217EE8">
            <w:pPr>
              <w:spacing w:after="0" w:line="240" w:lineRule="auto"/>
              <w:jc w:val="center"/>
              <w:rPr>
                <w:rFonts w:ascii="Calibri" w:eastAsia="Times New Roman" w:hAnsi="Calibri" w:cs="Calibri"/>
                <w:b/>
                <w:bCs/>
                <w:color w:val="000000"/>
                <w:lang w:eastAsia="en-GB"/>
              </w:rPr>
            </w:pPr>
            <w:r w:rsidRPr="00D377CC">
              <w:rPr>
                <w:rFonts w:ascii="Calibri" w:eastAsia="Times New Roman" w:hAnsi="Calibri" w:cs="Calibri"/>
                <w:b/>
                <w:bCs/>
                <w:color w:val="000000"/>
                <w:lang w:eastAsia="en-GB"/>
              </w:rPr>
              <w:t>122</w:t>
            </w:r>
          </w:p>
        </w:tc>
      </w:tr>
    </w:tbl>
    <w:p w14:paraId="186868F6" w14:textId="41CADBD7" w:rsidR="009E5B46" w:rsidRPr="00C53B1E" w:rsidRDefault="009E5B46" w:rsidP="00B15E08">
      <w:pPr>
        <w:pStyle w:val="NoSpacing"/>
        <w:jc w:val="both"/>
        <w:rPr>
          <w:rFonts w:cstheme="minorHAnsi"/>
          <w:b/>
          <w:bCs/>
          <w:color w:val="FF0000"/>
          <w:lang w:eastAsia="en-GB"/>
        </w:rPr>
      </w:pPr>
    </w:p>
    <w:p w14:paraId="38CE2229" w14:textId="3BA07083" w:rsidR="0079185B" w:rsidRDefault="0079185B" w:rsidP="00B15E08">
      <w:pPr>
        <w:pStyle w:val="NoSpacing"/>
        <w:ind w:left="567" w:firstLine="142"/>
        <w:jc w:val="both"/>
        <w:rPr>
          <w:rFonts w:cstheme="minorHAnsi"/>
          <w:b/>
          <w:bCs/>
          <w:lang w:eastAsia="en-GB"/>
        </w:rPr>
      </w:pPr>
      <w:r w:rsidRPr="00C53B1E">
        <w:rPr>
          <w:rFonts w:cstheme="minorHAnsi"/>
          <w:b/>
          <w:bCs/>
          <w:lang w:eastAsia="en-GB"/>
        </w:rPr>
        <w:t>Education</w:t>
      </w:r>
    </w:p>
    <w:p w14:paraId="1509309A" w14:textId="77777777" w:rsidR="00753283" w:rsidRPr="00C53B1E" w:rsidRDefault="00753283" w:rsidP="00B15E08">
      <w:pPr>
        <w:pStyle w:val="NoSpacing"/>
        <w:ind w:left="567" w:firstLine="142"/>
        <w:jc w:val="both"/>
        <w:rPr>
          <w:rFonts w:cstheme="minorHAnsi"/>
          <w:b/>
          <w:bCs/>
          <w:lang w:eastAsia="en-GB"/>
        </w:rPr>
      </w:pPr>
    </w:p>
    <w:p w14:paraId="19AEF592" w14:textId="1D74893E" w:rsidR="0036400D" w:rsidRPr="00C53B1E" w:rsidRDefault="00E25777" w:rsidP="00E25777">
      <w:pPr>
        <w:pStyle w:val="NoSpacing"/>
        <w:ind w:left="709" w:hanging="709"/>
        <w:jc w:val="both"/>
        <w:rPr>
          <w:rFonts w:cstheme="minorHAnsi"/>
        </w:rPr>
      </w:pPr>
      <w:r>
        <w:rPr>
          <w:rFonts w:cstheme="minorHAnsi"/>
        </w:rPr>
        <w:t>9.1</w:t>
      </w:r>
      <w:r w:rsidR="00E53221">
        <w:rPr>
          <w:rFonts w:cstheme="minorHAnsi"/>
        </w:rPr>
        <w:t>7</w:t>
      </w:r>
      <w:r>
        <w:rPr>
          <w:rFonts w:cstheme="minorHAnsi"/>
        </w:rPr>
        <w:tab/>
      </w:r>
      <w:r w:rsidR="0036400D" w:rsidRPr="00C53B1E">
        <w:rPr>
          <w:rFonts w:cstheme="minorHAnsi"/>
        </w:rPr>
        <w:t xml:space="preserve">An Inclusion Service Level Agreement (SLA) is in place across all 19 Secondary Academy Schools in Nottingham City ensuring a consistent approach to school inclusions, commitment to reducing exclusion and provision of resources to meet the educational needs of children at risk of exclusion from mainstream locally. As well as access to Alternative Provision funding the inclusion SLA also provides additional </w:t>
      </w:r>
      <w:proofErr w:type="gramStart"/>
      <w:r w:rsidR="0036400D" w:rsidRPr="00C53B1E">
        <w:rPr>
          <w:rFonts w:cstheme="minorHAnsi"/>
        </w:rPr>
        <w:t>Educational</w:t>
      </w:r>
      <w:proofErr w:type="gramEnd"/>
      <w:r w:rsidR="0036400D" w:rsidRPr="00C53B1E">
        <w:rPr>
          <w:rFonts w:cstheme="minorHAnsi"/>
        </w:rPr>
        <w:t xml:space="preserve"> support service packages to schools through the Behaviour Support Team.</w:t>
      </w:r>
    </w:p>
    <w:p w14:paraId="07E7AAE1" w14:textId="77777777" w:rsidR="0036400D" w:rsidRPr="00C53B1E" w:rsidRDefault="0036400D" w:rsidP="00B15E08">
      <w:pPr>
        <w:pStyle w:val="NoSpacing"/>
        <w:jc w:val="both"/>
        <w:rPr>
          <w:rFonts w:cstheme="minorHAnsi"/>
        </w:rPr>
      </w:pPr>
    </w:p>
    <w:p w14:paraId="3AA82673" w14:textId="3FDF7871" w:rsidR="0036400D" w:rsidRPr="00C53B1E" w:rsidRDefault="00E25777" w:rsidP="00E25777">
      <w:pPr>
        <w:pStyle w:val="NoSpacing"/>
        <w:ind w:left="709" w:hanging="709"/>
        <w:jc w:val="both"/>
        <w:rPr>
          <w:rFonts w:cstheme="minorHAnsi"/>
        </w:rPr>
      </w:pPr>
      <w:r>
        <w:rPr>
          <w:rFonts w:cstheme="minorHAnsi"/>
        </w:rPr>
        <w:t>9.1</w:t>
      </w:r>
      <w:r w:rsidR="00FE3AD3">
        <w:rPr>
          <w:rFonts w:cstheme="minorHAnsi"/>
        </w:rPr>
        <w:t>8</w:t>
      </w:r>
      <w:r>
        <w:rPr>
          <w:rFonts w:cstheme="minorHAnsi"/>
        </w:rPr>
        <w:tab/>
      </w:r>
      <w:r w:rsidR="0036400D" w:rsidRPr="00C53B1E">
        <w:rPr>
          <w:rFonts w:cstheme="minorHAnsi"/>
        </w:rPr>
        <w:t xml:space="preserve">A framework of approved alternative provision is in place across Nottingham providing a directory of both registered and unregistered offsite educational provision outside of mainstream to meet the needs of children and young people. All providers included within the directory are subject to LA compliance, safeguarding and quality assurance processes and checks. This directory is made available to all schools and academies along with access to a range of reports pertaining to the quality or provision and outcomes. Network and </w:t>
      </w:r>
      <w:r w:rsidR="0036400D" w:rsidRPr="00C53B1E">
        <w:rPr>
          <w:rFonts w:cstheme="minorHAnsi"/>
        </w:rPr>
        <w:lastRenderedPageBreak/>
        <w:t>development meetings take place termly and include strong representation from wider partners including mental health services and drug and alcohol services.</w:t>
      </w:r>
    </w:p>
    <w:p w14:paraId="74794EC9" w14:textId="77777777" w:rsidR="0036400D" w:rsidRPr="00C53B1E" w:rsidRDefault="0036400D" w:rsidP="00B15E08">
      <w:pPr>
        <w:pStyle w:val="NoSpacing"/>
        <w:jc w:val="both"/>
        <w:rPr>
          <w:rFonts w:cstheme="minorHAnsi"/>
        </w:rPr>
      </w:pPr>
    </w:p>
    <w:p w14:paraId="13E26761" w14:textId="07CFB543" w:rsidR="0036400D" w:rsidRPr="00C53B1E" w:rsidRDefault="00E25777" w:rsidP="00E25777">
      <w:pPr>
        <w:pStyle w:val="NoSpacing"/>
        <w:ind w:left="709" w:hanging="709"/>
        <w:jc w:val="both"/>
        <w:rPr>
          <w:rFonts w:cstheme="minorHAnsi"/>
          <w:lang w:eastAsia="en-GB"/>
        </w:rPr>
      </w:pPr>
      <w:r>
        <w:rPr>
          <w:rFonts w:cstheme="minorHAnsi"/>
        </w:rPr>
        <w:t>9.1</w:t>
      </w:r>
      <w:r w:rsidR="00FE3AD3">
        <w:rPr>
          <w:rFonts w:cstheme="minorHAnsi"/>
        </w:rPr>
        <w:t>9</w:t>
      </w:r>
      <w:r>
        <w:rPr>
          <w:rFonts w:cstheme="minorHAnsi"/>
        </w:rPr>
        <w:tab/>
      </w:r>
      <w:r w:rsidR="0036400D" w:rsidRPr="00C53B1E">
        <w:rPr>
          <w:rFonts w:cstheme="minorHAnsi"/>
        </w:rPr>
        <w:t>The Fair Access Protocol includes the movement of children on managed moves and any such moves are monitored by the Fair Access Panel who meet fortnightly. A representative of the Youth Justice Service is a member of the pane</w:t>
      </w:r>
      <w:r w:rsidR="00B93F62" w:rsidRPr="00C53B1E">
        <w:rPr>
          <w:rFonts w:cstheme="minorHAnsi"/>
        </w:rPr>
        <w:t>l to contribute to the decision</w:t>
      </w:r>
      <w:r w:rsidR="00574BFE" w:rsidRPr="00C53B1E">
        <w:rPr>
          <w:rFonts w:cstheme="minorHAnsi"/>
        </w:rPr>
        <w:t>-</w:t>
      </w:r>
      <w:r w:rsidR="00B93F62" w:rsidRPr="00C53B1E">
        <w:rPr>
          <w:rFonts w:cstheme="minorHAnsi"/>
        </w:rPr>
        <w:t xml:space="preserve">making process around children’s education placements. </w:t>
      </w:r>
    </w:p>
    <w:p w14:paraId="1153BE4E" w14:textId="77777777" w:rsidR="0036400D" w:rsidRPr="00C53B1E" w:rsidRDefault="0036400D" w:rsidP="00B15E08">
      <w:pPr>
        <w:pStyle w:val="NoSpacing"/>
        <w:jc w:val="both"/>
        <w:rPr>
          <w:rFonts w:cstheme="minorHAnsi"/>
          <w:lang w:eastAsia="en-GB"/>
        </w:rPr>
      </w:pPr>
    </w:p>
    <w:p w14:paraId="2EEACF02" w14:textId="0F6127C9" w:rsidR="007B3B5F" w:rsidRPr="00C53B1E" w:rsidRDefault="00E25777" w:rsidP="00E25777">
      <w:pPr>
        <w:pStyle w:val="NoSpacing"/>
        <w:ind w:left="709" w:hanging="709"/>
        <w:jc w:val="both"/>
        <w:rPr>
          <w:rFonts w:cstheme="minorHAnsi"/>
          <w:lang w:eastAsia="en-GB"/>
        </w:rPr>
      </w:pPr>
      <w:r>
        <w:rPr>
          <w:rFonts w:cstheme="minorHAnsi"/>
          <w:lang w:eastAsia="en-GB"/>
        </w:rPr>
        <w:t>9.</w:t>
      </w:r>
      <w:r w:rsidR="00FE3AD3">
        <w:rPr>
          <w:rFonts w:cstheme="minorHAnsi"/>
          <w:lang w:eastAsia="en-GB"/>
        </w:rPr>
        <w:t>20</w:t>
      </w:r>
      <w:r>
        <w:rPr>
          <w:rFonts w:cstheme="minorHAnsi"/>
          <w:lang w:eastAsia="en-GB"/>
        </w:rPr>
        <w:tab/>
      </w:r>
      <w:r w:rsidR="007B3B5F" w:rsidRPr="00C53B1E">
        <w:rPr>
          <w:rFonts w:cstheme="minorHAnsi"/>
          <w:lang w:eastAsia="en-GB"/>
        </w:rPr>
        <w:t xml:space="preserve">Improved data sharing between Education and the Youth Justice Service is being developed. The full YJS cohort will be cross referenced with Education data relating to permanent exclusions, elective home education and those on a part </w:t>
      </w:r>
      <w:proofErr w:type="gramStart"/>
      <w:r w:rsidR="007B3B5F" w:rsidRPr="00C53B1E">
        <w:rPr>
          <w:rFonts w:cstheme="minorHAnsi"/>
          <w:lang w:eastAsia="en-GB"/>
        </w:rPr>
        <w:t>time table</w:t>
      </w:r>
      <w:proofErr w:type="gramEnd"/>
      <w:r w:rsidR="007B3B5F" w:rsidRPr="00C53B1E">
        <w:rPr>
          <w:rFonts w:cstheme="minorHAnsi"/>
          <w:lang w:eastAsia="en-GB"/>
        </w:rPr>
        <w:t xml:space="preserve"> who are the responsibility of the local authority. The YJS is represented on the monthly Children at Risk of permanent exclusion panel meetings where young people who are at risk of exclusion are discussed by multi agency teams. </w:t>
      </w:r>
    </w:p>
    <w:p w14:paraId="46033EA3" w14:textId="0586C6FD" w:rsidR="007B3B5F" w:rsidRPr="00C53B1E" w:rsidRDefault="007B3B5F" w:rsidP="00B15E08">
      <w:pPr>
        <w:pStyle w:val="NoSpacing"/>
        <w:jc w:val="both"/>
        <w:rPr>
          <w:rFonts w:cstheme="minorHAnsi"/>
          <w:b/>
          <w:bCs/>
          <w:lang w:eastAsia="en-GB"/>
        </w:rPr>
      </w:pPr>
    </w:p>
    <w:p w14:paraId="671A6BB5" w14:textId="77777777" w:rsidR="00396E56" w:rsidRDefault="00396E56" w:rsidP="00396E56">
      <w:pPr>
        <w:pStyle w:val="NoSpacing"/>
        <w:ind w:left="709" w:hanging="709"/>
        <w:rPr>
          <w:rFonts w:ascii="Calibri" w:hAnsi="Calibri" w:cs="Calibri"/>
        </w:rPr>
      </w:pPr>
      <w:r>
        <w:rPr>
          <w:rFonts w:ascii="Calibri" w:hAnsi="Calibri" w:cs="Calibri"/>
        </w:rPr>
        <w:t>9.21</w:t>
      </w:r>
      <w:r>
        <w:rPr>
          <w:rFonts w:ascii="Calibri" w:hAnsi="Calibri" w:cs="Calibri"/>
        </w:rPr>
        <w:tab/>
        <w:t xml:space="preserve">The Alternative Provision Specialist Taskforce (APST) attached to </w:t>
      </w:r>
      <w:proofErr w:type="spellStart"/>
      <w:proofErr w:type="gramStart"/>
      <w:r>
        <w:rPr>
          <w:rFonts w:ascii="Calibri" w:hAnsi="Calibri" w:cs="Calibri"/>
        </w:rPr>
        <w:t>Denewood</w:t>
      </w:r>
      <w:proofErr w:type="spellEnd"/>
      <w:proofErr w:type="gramEnd"/>
      <w:r>
        <w:rPr>
          <w:rFonts w:ascii="Calibri" w:hAnsi="Calibri" w:cs="Calibri"/>
        </w:rPr>
        <w:t xml:space="preserve"> and Unity Academies has been delivering intervention to pupils since January 2022 and we received an update from the DfE and the Academies that the APST pilot has been extended until March 25. The Academies currently have on roll a combined total of 264 pupils (135 </w:t>
      </w:r>
      <w:proofErr w:type="spellStart"/>
      <w:r>
        <w:rPr>
          <w:rFonts w:ascii="Calibri" w:hAnsi="Calibri" w:cs="Calibri"/>
        </w:rPr>
        <w:t>Denewood</w:t>
      </w:r>
      <w:proofErr w:type="spellEnd"/>
      <w:r>
        <w:rPr>
          <w:rFonts w:ascii="Calibri" w:hAnsi="Calibri" w:cs="Calibri"/>
        </w:rPr>
        <w:t xml:space="preserve"> and 129 Unity). At the time of writing, the Taskforce team have worked with over 120 pupils since project delivery started, with staff from the YJS service working with 35-40% of these young people. </w:t>
      </w:r>
    </w:p>
    <w:p w14:paraId="7BA2FC08" w14:textId="77777777" w:rsidR="00396E56" w:rsidRDefault="00396E56" w:rsidP="00396E56">
      <w:pPr>
        <w:pStyle w:val="NoSpacing"/>
        <w:ind w:left="709" w:hanging="709"/>
        <w:rPr>
          <w:rFonts w:ascii="Calibri" w:hAnsi="Calibri" w:cs="Calibri"/>
        </w:rPr>
      </w:pPr>
      <w:r>
        <w:rPr>
          <w:rFonts w:ascii="Calibri" w:hAnsi="Calibri" w:cs="Calibri"/>
        </w:rPr>
        <w:t>9.22</w:t>
      </w:r>
      <w:r>
        <w:rPr>
          <w:rFonts w:ascii="Calibri" w:hAnsi="Calibri" w:cs="Calibri"/>
        </w:rPr>
        <w:tab/>
        <w:t xml:space="preserve">The majority of the young people the Taskforce have supported are vulnerable children with a range of complex difficulties. This academic year the Taskforce has strengthened their working ways and practices with each other, and many of these very challenging young people are now being supported by more than one member of the Taskforce.   </w:t>
      </w:r>
    </w:p>
    <w:p w14:paraId="36ABB3B8" w14:textId="77777777" w:rsidR="00396E56" w:rsidRDefault="00396E56" w:rsidP="00396E56">
      <w:pPr>
        <w:pStyle w:val="NoSpacing"/>
        <w:rPr>
          <w:rFonts w:ascii="Calibri" w:hAnsi="Calibri" w:cs="Calibri"/>
        </w:rPr>
      </w:pPr>
    </w:p>
    <w:p w14:paraId="741A7A93" w14:textId="77777777" w:rsidR="00396E56" w:rsidRDefault="00396E56" w:rsidP="00396E56">
      <w:pPr>
        <w:pStyle w:val="NoSpacing"/>
        <w:ind w:left="709" w:hanging="709"/>
        <w:rPr>
          <w:rFonts w:ascii="Calibri" w:hAnsi="Calibri" w:cs="Calibri"/>
        </w:rPr>
      </w:pPr>
      <w:r>
        <w:rPr>
          <w:rFonts w:ascii="Calibri" w:hAnsi="Calibri" w:cs="Calibri"/>
        </w:rPr>
        <w:t>923</w:t>
      </w:r>
      <w:r>
        <w:rPr>
          <w:rFonts w:ascii="Calibri" w:hAnsi="Calibri" w:cs="Calibri"/>
        </w:rPr>
        <w:tab/>
        <w:t xml:space="preserve">The YJS team in the Taskforce have supported young people on their statutory orders and by forging a closer working relationship with school, have more oversight and knowledge to inform their work and assessments needed. They have also delivered preventative interventions to young people covering knife crime, anti-social behaviour, peer group, choices and consequences and have continued to help co-ordinate and attend group workshops at the Ben Kinsella exhibit. </w:t>
      </w:r>
    </w:p>
    <w:p w14:paraId="36DD4659" w14:textId="77777777" w:rsidR="00396E56" w:rsidRDefault="00396E56" w:rsidP="00396E56">
      <w:pPr>
        <w:pStyle w:val="NoSpacing"/>
        <w:rPr>
          <w:rFonts w:ascii="Calibri" w:hAnsi="Calibri" w:cs="Calibri"/>
        </w:rPr>
      </w:pPr>
    </w:p>
    <w:p w14:paraId="61E0A25E" w14:textId="77777777" w:rsidR="00396E56" w:rsidRDefault="00396E56" w:rsidP="00396E56">
      <w:pPr>
        <w:pStyle w:val="NoSpacing"/>
        <w:ind w:left="709" w:hanging="709"/>
        <w:rPr>
          <w:rFonts w:ascii="Calibri" w:hAnsi="Calibri" w:cs="Calibri"/>
        </w:rPr>
      </w:pPr>
      <w:r>
        <w:rPr>
          <w:rFonts w:ascii="Calibri" w:hAnsi="Calibri" w:cs="Calibri"/>
        </w:rPr>
        <w:t>9.24</w:t>
      </w:r>
      <w:r>
        <w:rPr>
          <w:rFonts w:ascii="Calibri" w:hAnsi="Calibri" w:cs="Calibri"/>
        </w:rPr>
        <w:tab/>
        <w:t xml:space="preserve">Their networking has strengthened this year, with our case manager being invited to take part in a ministry of justice webinar where she spoke about the Taskforce and the partnership work with the YJS. </w:t>
      </w:r>
    </w:p>
    <w:p w14:paraId="01C1C86B" w14:textId="77777777" w:rsidR="00396E56" w:rsidRDefault="00396E56" w:rsidP="00396E56">
      <w:pPr>
        <w:pStyle w:val="NoSpacing"/>
        <w:rPr>
          <w:rFonts w:ascii="Calibri" w:hAnsi="Calibri" w:cs="Calibri"/>
        </w:rPr>
      </w:pPr>
    </w:p>
    <w:p w14:paraId="0232634D" w14:textId="77777777" w:rsidR="00396E56" w:rsidRDefault="00396E56" w:rsidP="00396E56">
      <w:pPr>
        <w:pStyle w:val="NoSpacing"/>
        <w:ind w:left="709" w:hanging="709"/>
        <w:rPr>
          <w:rFonts w:ascii="Calibri" w:hAnsi="Calibri" w:cs="Calibri"/>
        </w:rPr>
      </w:pPr>
      <w:r>
        <w:rPr>
          <w:rFonts w:ascii="Calibri" w:hAnsi="Calibri" w:cs="Calibri"/>
        </w:rPr>
        <w:t>9.25</w:t>
      </w:r>
      <w:r>
        <w:rPr>
          <w:rFonts w:ascii="Calibri" w:hAnsi="Calibri" w:cs="Calibri"/>
        </w:rPr>
        <w:tab/>
        <w:t>The Academy have reported the following information re outcomes for children who have been supported by the AP Taskforce:</w:t>
      </w:r>
    </w:p>
    <w:p w14:paraId="62183DD1" w14:textId="77777777" w:rsidR="00396E56" w:rsidRDefault="00396E56" w:rsidP="00396E56">
      <w:pPr>
        <w:pStyle w:val="NoSpacing"/>
        <w:rPr>
          <w:rFonts w:ascii="Calibri" w:hAnsi="Calibri" w:cs="Calibri"/>
        </w:rPr>
      </w:pPr>
    </w:p>
    <w:p w14:paraId="57085848" w14:textId="77777777" w:rsidR="00396E56" w:rsidRDefault="00396E56" w:rsidP="00396E56">
      <w:pPr>
        <w:pStyle w:val="NoSpacing"/>
        <w:numPr>
          <w:ilvl w:val="2"/>
          <w:numId w:val="21"/>
        </w:numPr>
        <w:ind w:left="1418" w:right="521" w:hanging="284"/>
        <w:rPr>
          <w:rFonts w:ascii="Calibri" w:hAnsi="Calibri" w:cs="Calibri"/>
        </w:rPr>
      </w:pPr>
      <w:r>
        <w:rPr>
          <w:rFonts w:ascii="Calibri" w:hAnsi="Calibri" w:cs="Calibri"/>
        </w:rPr>
        <w:t>Attendance rates improved for 31% of pupils receiving APST intervention</w:t>
      </w:r>
    </w:p>
    <w:p w14:paraId="762FA0CA" w14:textId="77777777" w:rsidR="00396E56" w:rsidRDefault="00396E56" w:rsidP="00396E56">
      <w:pPr>
        <w:pStyle w:val="NoSpacing"/>
        <w:numPr>
          <w:ilvl w:val="2"/>
          <w:numId w:val="21"/>
        </w:numPr>
        <w:ind w:left="1418" w:right="521" w:hanging="284"/>
        <w:rPr>
          <w:rFonts w:ascii="Calibri" w:hAnsi="Calibri" w:cs="Calibri"/>
        </w:rPr>
      </w:pPr>
      <w:r>
        <w:rPr>
          <w:rFonts w:ascii="Calibri" w:hAnsi="Calibri" w:cs="Calibri"/>
        </w:rPr>
        <w:t>The number of suspensions decreased for 64% of pupils receiving APST intervention</w:t>
      </w:r>
    </w:p>
    <w:p w14:paraId="1C384F09" w14:textId="77777777" w:rsidR="00396E56" w:rsidRDefault="00396E56" w:rsidP="00396E56">
      <w:pPr>
        <w:pStyle w:val="NoSpacing"/>
        <w:numPr>
          <w:ilvl w:val="2"/>
          <w:numId w:val="21"/>
        </w:numPr>
        <w:ind w:left="1418" w:right="521" w:hanging="284"/>
        <w:rPr>
          <w:rFonts w:ascii="Calibri" w:hAnsi="Calibri" w:cs="Calibri"/>
        </w:rPr>
      </w:pPr>
      <w:r>
        <w:rPr>
          <w:rFonts w:ascii="Calibri" w:hAnsi="Calibri" w:cs="Calibri"/>
        </w:rPr>
        <w:t>86% achieved at least one qualification (higher % when compared to the cohort without APTF intervention)</w:t>
      </w:r>
    </w:p>
    <w:p w14:paraId="373CC43E" w14:textId="77777777" w:rsidR="00396E56" w:rsidRDefault="00396E56" w:rsidP="00396E56">
      <w:pPr>
        <w:pStyle w:val="NoSpacing"/>
        <w:numPr>
          <w:ilvl w:val="2"/>
          <w:numId w:val="21"/>
        </w:numPr>
        <w:ind w:left="1418" w:right="521" w:hanging="284"/>
        <w:rPr>
          <w:rFonts w:ascii="Calibri" w:hAnsi="Calibri" w:cs="Calibri"/>
        </w:rPr>
      </w:pPr>
      <w:r>
        <w:rPr>
          <w:rFonts w:ascii="Calibri" w:hAnsi="Calibri" w:cs="Calibri"/>
        </w:rPr>
        <w:t>79% of children who were open to the APST intervention who left school at the end of last year secured a positive destination (higher compared to the whole school cohort)</w:t>
      </w:r>
    </w:p>
    <w:p w14:paraId="31414C4D" w14:textId="77777777" w:rsidR="00396E56" w:rsidRDefault="00396E56" w:rsidP="00396E56">
      <w:pPr>
        <w:pStyle w:val="NoSpacing"/>
        <w:rPr>
          <w:rFonts w:ascii="Calibri" w:hAnsi="Calibri" w:cs="Calibri"/>
        </w:rPr>
      </w:pPr>
    </w:p>
    <w:p w14:paraId="3118EE48" w14:textId="77777777" w:rsidR="00396E56" w:rsidRDefault="00396E56" w:rsidP="00396E56">
      <w:pPr>
        <w:pStyle w:val="NoSpacing"/>
        <w:ind w:left="567" w:hanging="567"/>
        <w:rPr>
          <w:rFonts w:ascii="Calibri" w:hAnsi="Calibri" w:cs="Calibri"/>
        </w:rPr>
      </w:pPr>
      <w:r>
        <w:rPr>
          <w:rFonts w:ascii="Calibri" w:hAnsi="Calibri" w:cs="Calibri"/>
        </w:rPr>
        <w:lastRenderedPageBreak/>
        <w:t>9.26</w:t>
      </w:r>
      <w:r>
        <w:rPr>
          <w:rFonts w:ascii="Calibri" w:hAnsi="Calibri" w:cs="Calibri"/>
        </w:rPr>
        <w:tab/>
        <w:t xml:space="preserve">The Academy report a reduction in the number of external referrals they have needed to make (MARF/EVR/CAMHS) as the Academy is able to directly put the intervention needed in place with the Taskforce instead of referring to an external agency. </w:t>
      </w:r>
    </w:p>
    <w:p w14:paraId="7E9DB3CE" w14:textId="49042E6E" w:rsidR="00776BD6" w:rsidRDefault="00776BD6" w:rsidP="00B15E08">
      <w:pPr>
        <w:pStyle w:val="NoSpacing"/>
        <w:jc w:val="both"/>
        <w:rPr>
          <w:rFonts w:cstheme="minorHAnsi"/>
          <w:b/>
          <w:bCs/>
          <w:color w:val="FF0000"/>
          <w:lang w:eastAsia="en-GB"/>
        </w:rPr>
      </w:pPr>
    </w:p>
    <w:p w14:paraId="4075FFF6" w14:textId="77777777" w:rsidR="00396E56" w:rsidRPr="00C53B1E" w:rsidRDefault="00396E56" w:rsidP="00B15E08">
      <w:pPr>
        <w:pStyle w:val="NoSpacing"/>
        <w:jc w:val="both"/>
        <w:rPr>
          <w:rFonts w:cstheme="minorHAnsi"/>
          <w:b/>
          <w:bCs/>
          <w:color w:val="FF0000"/>
          <w:lang w:eastAsia="en-GB"/>
        </w:rPr>
      </w:pPr>
    </w:p>
    <w:p w14:paraId="113BDE4D" w14:textId="77777777" w:rsidR="007E288A" w:rsidRPr="00C53B1E" w:rsidRDefault="007E288A" w:rsidP="00B15E08">
      <w:pPr>
        <w:pStyle w:val="NoSpacing"/>
        <w:jc w:val="both"/>
        <w:rPr>
          <w:rFonts w:cstheme="minorHAnsi"/>
          <w:b/>
          <w:bCs/>
          <w:lang w:eastAsia="en-GB"/>
        </w:rPr>
      </w:pPr>
    </w:p>
    <w:p w14:paraId="0C9C6BC5" w14:textId="2D35EE17" w:rsidR="0079185B" w:rsidRDefault="0079185B" w:rsidP="00B15E08">
      <w:pPr>
        <w:pStyle w:val="NoSpacing"/>
        <w:ind w:left="567" w:firstLine="142"/>
        <w:jc w:val="both"/>
        <w:rPr>
          <w:rFonts w:cstheme="minorHAnsi"/>
          <w:b/>
          <w:bCs/>
          <w:lang w:eastAsia="en-GB"/>
        </w:rPr>
      </w:pPr>
      <w:r w:rsidRPr="00C53B1E">
        <w:rPr>
          <w:rFonts w:cstheme="minorHAnsi"/>
          <w:b/>
          <w:bCs/>
          <w:lang w:eastAsia="en-GB"/>
        </w:rPr>
        <w:t>Restorative approaches and victims</w:t>
      </w:r>
    </w:p>
    <w:p w14:paraId="08FBC5DF" w14:textId="77777777" w:rsidR="00753283" w:rsidRPr="00C53B1E" w:rsidRDefault="00753283" w:rsidP="00B15E08">
      <w:pPr>
        <w:pStyle w:val="NoSpacing"/>
        <w:ind w:left="567" w:firstLine="142"/>
        <w:jc w:val="both"/>
        <w:rPr>
          <w:rFonts w:cstheme="minorHAnsi"/>
          <w:b/>
          <w:bCs/>
          <w:lang w:eastAsia="en-GB"/>
        </w:rPr>
      </w:pPr>
    </w:p>
    <w:p w14:paraId="15933147" w14:textId="58B7CF1B" w:rsidR="008325A4" w:rsidRPr="00C53B1E" w:rsidRDefault="00E25777" w:rsidP="0022150B">
      <w:pPr>
        <w:pStyle w:val="NoSpacing"/>
        <w:ind w:left="709" w:hanging="709"/>
        <w:jc w:val="both"/>
        <w:rPr>
          <w:rFonts w:eastAsiaTheme="minorEastAsia" w:cstheme="minorHAnsi"/>
        </w:rPr>
      </w:pPr>
      <w:r>
        <w:rPr>
          <w:rFonts w:eastAsiaTheme="minorEastAsia" w:cstheme="minorHAnsi"/>
        </w:rPr>
        <w:t>9.</w:t>
      </w:r>
      <w:r w:rsidR="00FE3AD3">
        <w:rPr>
          <w:rFonts w:eastAsiaTheme="minorEastAsia" w:cstheme="minorHAnsi"/>
        </w:rPr>
        <w:t>2</w:t>
      </w:r>
      <w:r w:rsidR="00396E56">
        <w:rPr>
          <w:rFonts w:eastAsiaTheme="minorEastAsia" w:cstheme="minorHAnsi"/>
        </w:rPr>
        <w:t>7</w:t>
      </w:r>
      <w:r>
        <w:rPr>
          <w:rFonts w:eastAsiaTheme="minorEastAsia" w:cstheme="minorHAnsi"/>
        </w:rPr>
        <w:tab/>
      </w:r>
      <w:r w:rsidR="008325A4" w:rsidRPr="00C53B1E">
        <w:rPr>
          <w:rFonts w:eastAsiaTheme="minorEastAsia" w:cstheme="minorHAnsi"/>
        </w:rPr>
        <w:t xml:space="preserve">The Victim Care contract is </w:t>
      </w:r>
      <w:r w:rsidR="005A1F8E" w:rsidRPr="00C53B1E">
        <w:rPr>
          <w:rFonts w:eastAsiaTheme="minorEastAsia" w:cstheme="minorHAnsi"/>
        </w:rPr>
        <w:t xml:space="preserve">currently being </w:t>
      </w:r>
      <w:r w:rsidR="008325A4" w:rsidRPr="00C53B1E">
        <w:rPr>
          <w:rFonts w:eastAsiaTheme="minorEastAsia" w:cstheme="minorHAnsi"/>
        </w:rPr>
        <w:t>re-tender</w:t>
      </w:r>
      <w:r w:rsidR="005A1F8E" w:rsidRPr="00C53B1E">
        <w:rPr>
          <w:rFonts w:eastAsiaTheme="minorEastAsia" w:cstheme="minorHAnsi"/>
        </w:rPr>
        <w:t>ed</w:t>
      </w:r>
      <w:r w:rsidR="008325A4" w:rsidRPr="00C53B1E">
        <w:rPr>
          <w:rFonts w:eastAsiaTheme="minorEastAsia" w:cstheme="minorHAnsi"/>
        </w:rPr>
        <w:t xml:space="preserve">. The YJS </w:t>
      </w:r>
      <w:r w:rsidR="005A1F8E" w:rsidRPr="00C53B1E">
        <w:rPr>
          <w:rFonts w:eastAsiaTheme="minorEastAsia" w:cstheme="minorHAnsi"/>
        </w:rPr>
        <w:t xml:space="preserve">is </w:t>
      </w:r>
      <w:r w:rsidR="008325A4" w:rsidRPr="00C53B1E">
        <w:rPr>
          <w:rFonts w:eastAsiaTheme="minorEastAsia" w:cstheme="minorHAnsi"/>
        </w:rPr>
        <w:t>work</w:t>
      </w:r>
      <w:r w:rsidR="005A1F8E" w:rsidRPr="00C53B1E">
        <w:rPr>
          <w:rFonts w:eastAsiaTheme="minorEastAsia" w:cstheme="minorHAnsi"/>
        </w:rPr>
        <w:t>ing</w:t>
      </w:r>
      <w:r w:rsidR="008325A4" w:rsidRPr="00C53B1E">
        <w:rPr>
          <w:rFonts w:eastAsiaTheme="minorEastAsia" w:cstheme="minorHAnsi"/>
        </w:rPr>
        <w:t xml:space="preserve"> closely with the office of the PCC to ensure that victim services are delivered effectively across the city.</w:t>
      </w:r>
      <w:r w:rsidR="005A1F8E" w:rsidRPr="00C53B1E">
        <w:rPr>
          <w:rFonts w:eastAsiaTheme="minorEastAsia" w:cstheme="minorHAnsi"/>
        </w:rPr>
        <w:t xml:space="preserve"> Further to this the service is recruiting to a Victim and Restorative Justice Practitioner and a Referral Order and Reparation Co-ordinator to provide additional services to victims and child on YJS interventions</w:t>
      </w:r>
      <w:r w:rsidR="00E57B4C" w:rsidRPr="00C53B1E">
        <w:rPr>
          <w:rFonts w:eastAsiaTheme="minorEastAsia" w:cstheme="minorHAnsi"/>
        </w:rPr>
        <w:t>.</w:t>
      </w:r>
    </w:p>
    <w:p w14:paraId="67D3509B" w14:textId="77777777" w:rsidR="007E288A" w:rsidRPr="00C53B1E" w:rsidRDefault="007E288A" w:rsidP="00B15E08">
      <w:pPr>
        <w:pStyle w:val="NoSpacing"/>
        <w:ind w:left="567" w:firstLine="142"/>
        <w:jc w:val="both"/>
        <w:rPr>
          <w:rFonts w:cstheme="minorHAnsi"/>
          <w:b/>
          <w:bCs/>
          <w:lang w:eastAsia="en-GB"/>
        </w:rPr>
      </w:pPr>
    </w:p>
    <w:p w14:paraId="0407A4BE" w14:textId="7F667047" w:rsidR="0079185B" w:rsidRDefault="0079185B" w:rsidP="00B15E08">
      <w:pPr>
        <w:pStyle w:val="NoSpacing"/>
        <w:ind w:left="567" w:firstLine="142"/>
        <w:jc w:val="both"/>
        <w:rPr>
          <w:rFonts w:cstheme="minorHAnsi"/>
          <w:b/>
          <w:bCs/>
          <w:lang w:eastAsia="en-GB"/>
        </w:rPr>
      </w:pPr>
      <w:r w:rsidRPr="00C53B1E">
        <w:rPr>
          <w:rFonts w:cstheme="minorHAnsi"/>
          <w:b/>
          <w:bCs/>
          <w:lang w:eastAsia="en-GB"/>
        </w:rPr>
        <w:t>Serious violence and exploitation</w:t>
      </w:r>
    </w:p>
    <w:p w14:paraId="17EE54BF" w14:textId="77777777" w:rsidR="00753283" w:rsidRPr="00C53B1E" w:rsidRDefault="00753283" w:rsidP="00B15E08">
      <w:pPr>
        <w:pStyle w:val="NoSpacing"/>
        <w:ind w:left="567" w:firstLine="142"/>
        <w:jc w:val="both"/>
        <w:rPr>
          <w:rFonts w:cstheme="minorHAnsi"/>
          <w:b/>
          <w:bCs/>
          <w:lang w:eastAsia="en-GB"/>
        </w:rPr>
      </w:pPr>
    </w:p>
    <w:p w14:paraId="6BD1C757" w14:textId="404E7FC3" w:rsidR="003F5779" w:rsidRDefault="00E25777" w:rsidP="002010D8">
      <w:pPr>
        <w:pStyle w:val="NoSpacing"/>
        <w:ind w:left="709" w:hanging="709"/>
        <w:jc w:val="both"/>
      </w:pPr>
      <w:r>
        <w:t>9.</w:t>
      </w:r>
      <w:r w:rsidR="00FE3AD3">
        <w:t>2</w:t>
      </w:r>
      <w:r w:rsidR="00396E56">
        <w:t>8</w:t>
      </w:r>
      <w:r>
        <w:tab/>
      </w:r>
      <w:r w:rsidR="003F5779" w:rsidRPr="003F5779">
        <w:t>The Youth Justice Board determines Serious Youth Violence as any drug, robbery or violence against the person offence that has a gravity score of five or more. The significant increase in both number of children and volume of offences is down in part to easing of lockdown restrictions and the re-opening of Courts clearing the backlog during this time. There were 56 Serious Youth Violence offences in 2021, an increase from 38 in 2020, but more significantly, a decrease of five from 2019, pre-pandemic. Of all offences committed in Nottingham City by children, Serious Youth Violence comprises 16% compared to 11% for 2020 and 10% for 2019. This demonstrates that the offending profile of a Nottingham City child is of higher gravity than in previous years.  The graph also represents a spike in Q2 21-22 which is mostly comprised of robbery offences (26 of the 32), a significant increase from previous quarters both in terms of number and proportion.  It is of note that one child received a custodial term for 19 offences, of which 16 were SYV offences, accounting for half of the total.</w:t>
      </w:r>
    </w:p>
    <w:p w14:paraId="77FD28CD" w14:textId="77777777" w:rsidR="00FE3AD3" w:rsidRPr="003F5779" w:rsidRDefault="00FE3AD3" w:rsidP="002010D8">
      <w:pPr>
        <w:pStyle w:val="NoSpacing"/>
        <w:ind w:left="709" w:hanging="709"/>
        <w:jc w:val="both"/>
      </w:pPr>
    </w:p>
    <w:p w14:paraId="626669A6" w14:textId="67A326DC" w:rsidR="003F5779" w:rsidRDefault="0022150B" w:rsidP="0022150B">
      <w:pPr>
        <w:pStyle w:val="NoSpacing"/>
        <w:ind w:left="709" w:hanging="709"/>
        <w:jc w:val="both"/>
      </w:pPr>
      <w:r>
        <w:t>9.</w:t>
      </w:r>
      <w:r w:rsidR="00FE3AD3">
        <w:t>2</w:t>
      </w:r>
      <w:r w:rsidR="00396E56">
        <w:t>9</w:t>
      </w:r>
      <w:r>
        <w:tab/>
      </w:r>
      <w:r w:rsidR="003F5779" w:rsidRPr="003F5779">
        <w:t xml:space="preserve">35 Serious Youth Violence Offences were reported for the latest data in 22-23 out of which 27 were Robbery Offences, </w:t>
      </w:r>
      <w:r w:rsidR="0020687B">
        <w:t>six</w:t>
      </w:r>
      <w:r w:rsidR="003F5779" w:rsidRPr="003F5779">
        <w:t xml:space="preserve"> Drug offences and </w:t>
      </w:r>
      <w:r w:rsidR="0020687B">
        <w:t xml:space="preserve">two </w:t>
      </w:r>
      <w:r w:rsidR="003F5779" w:rsidRPr="003F5779">
        <w:t>Violence against the person. This shows a 34% decrease from the previous 53 offences reported for 21-22 as depicted in Graph 1.</w:t>
      </w:r>
      <w:r w:rsidR="003F5779">
        <w:t xml:space="preserve"> </w:t>
      </w:r>
      <w:r w:rsidR="003F5779" w:rsidRPr="003F5779">
        <w:t xml:space="preserve">Graph 2 Q3 22-23 shows a spike in Drug offences as this is comprised of </w:t>
      </w:r>
      <w:r w:rsidR="0020687B">
        <w:t xml:space="preserve">five </w:t>
      </w:r>
      <w:r w:rsidR="003F5779" w:rsidRPr="003F5779">
        <w:t xml:space="preserve">out of the total </w:t>
      </w:r>
      <w:r w:rsidR="0020687B">
        <w:t>six</w:t>
      </w:r>
      <w:r w:rsidR="003F5779" w:rsidRPr="003F5779">
        <w:t xml:space="preserve">. Q1 22-23 reported only </w:t>
      </w:r>
      <w:r w:rsidR="0020687B">
        <w:t xml:space="preserve">one </w:t>
      </w:r>
      <w:r w:rsidR="003F5779" w:rsidRPr="003F5779">
        <w:t>Drug offence whereas Q2 had 0.</w:t>
      </w:r>
      <w:r w:rsidR="003F5779">
        <w:t xml:space="preserve"> </w:t>
      </w:r>
      <w:r w:rsidR="003F5779" w:rsidRPr="003F5779">
        <w:t xml:space="preserve">Graph 3 shows that the Violence Against the person offences dropped from </w:t>
      </w:r>
      <w:r w:rsidR="00CB77DA">
        <w:t xml:space="preserve">four </w:t>
      </w:r>
      <w:r w:rsidR="003F5779" w:rsidRPr="003F5779">
        <w:t xml:space="preserve">offences reported in Q1 21-22 to </w:t>
      </w:r>
      <w:r w:rsidR="00CB77DA">
        <w:t xml:space="preserve">one </w:t>
      </w:r>
      <w:r w:rsidR="003F5779" w:rsidRPr="003F5779">
        <w:t>reported in Q1 22-23.</w:t>
      </w:r>
      <w:r w:rsidR="003F5779">
        <w:t xml:space="preserve"> </w:t>
      </w:r>
      <w:r w:rsidR="003F5779" w:rsidRPr="003F5779">
        <w:t>Graph 4 focuses on the Robbery offences and shows a 58% decrease from 26 reported in Q2 21-22 to 11 reported in Q2 22-23.</w:t>
      </w:r>
    </w:p>
    <w:p w14:paraId="6051F7D4" w14:textId="77777777" w:rsidR="00B01D11" w:rsidRDefault="00B01D11" w:rsidP="00B15E08">
      <w:pPr>
        <w:pStyle w:val="NoSpacing"/>
        <w:jc w:val="both"/>
        <w:rPr>
          <w:b/>
          <w:bCs/>
        </w:rPr>
      </w:pPr>
    </w:p>
    <w:p w14:paraId="60FFF972" w14:textId="1D019230" w:rsidR="003F5779" w:rsidRPr="00B01D11" w:rsidRDefault="003F5779" w:rsidP="00B15E08">
      <w:pPr>
        <w:pStyle w:val="NoSpacing"/>
        <w:jc w:val="both"/>
        <w:rPr>
          <w:b/>
          <w:bCs/>
        </w:rPr>
      </w:pPr>
      <w:r w:rsidRPr="00B01D11">
        <w:rPr>
          <w:b/>
          <w:bCs/>
        </w:rPr>
        <w:t xml:space="preserve">Graph 1: Number of serious youth violence offences and the number of individual children committing these offences (YJAF) </w:t>
      </w:r>
      <w:r w:rsidRPr="00B01D11">
        <w:rPr>
          <w:b/>
          <w:bCs/>
          <w:sz w:val="16"/>
          <w:szCs w:val="16"/>
        </w:rPr>
        <w:t>Lighter shades indicate provisional data</w:t>
      </w:r>
    </w:p>
    <w:p w14:paraId="57117197" w14:textId="77777777" w:rsidR="003F5779" w:rsidRPr="003F5779" w:rsidRDefault="003F5779" w:rsidP="00B15E08">
      <w:pPr>
        <w:jc w:val="both"/>
        <w:rPr>
          <w:rFonts w:cstheme="minorHAnsi"/>
          <w:b/>
          <w:bCs/>
        </w:rPr>
      </w:pPr>
    </w:p>
    <w:p w14:paraId="533F8C44" w14:textId="77777777" w:rsidR="003F5779" w:rsidRPr="003F5779" w:rsidRDefault="003F5779" w:rsidP="00B15E08">
      <w:pPr>
        <w:jc w:val="both"/>
        <w:rPr>
          <w:rFonts w:cstheme="minorHAnsi"/>
          <w:b/>
          <w:bCs/>
          <w:u w:val="single"/>
        </w:rPr>
      </w:pPr>
      <w:r w:rsidRPr="003F5779">
        <w:rPr>
          <w:rFonts w:cstheme="minorHAnsi"/>
          <w:b/>
          <w:bCs/>
          <w:noProof/>
          <w:lang w:eastAsia="en-GB"/>
        </w:rPr>
        <w:drawing>
          <wp:inline distT="0" distB="0" distL="0" distR="0" wp14:anchorId="6C820D09" wp14:editId="543AFF97">
            <wp:extent cx="5904230" cy="11049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1104900"/>
                    </a:xfrm>
                    <a:prstGeom prst="rect">
                      <a:avLst/>
                    </a:prstGeom>
                  </pic:spPr>
                </pic:pic>
              </a:graphicData>
            </a:graphic>
          </wp:inline>
        </w:drawing>
      </w:r>
    </w:p>
    <w:p w14:paraId="762C544A" w14:textId="77777777" w:rsidR="00396E56" w:rsidRDefault="00396E56" w:rsidP="00B15E08">
      <w:pPr>
        <w:pStyle w:val="ListParagraph"/>
        <w:ind w:left="0"/>
        <w:rPr>
          <w:rFonts w:asciiTheme="minorHAnsi" w:hAnsiTheme="minorHAnsi" w:cstheme="minorHAnsi"/>
          <w:b/>
          <w:bCs/>
          <w:sz w:val="22"/>
          <w:szCs w:val="22"/>
        </w:rPr>
      </w:pPr>
    </w:p>
    <w:p w14:paraId="354BA9E5" w14:textId="77777777" w:rsidR="00396E56" w:rsidRDefault="00396E56" w:rsidP="00B15E08">
      <w:pPr>
        <w:pStyle w:val="ListParagraph"/>
        <w:ind w:left="0"/>
        <w:rPr>
          <w:rFonts w:asciiTheme="minorHAnsi" w:hAnsiTheme="minorHAnsi" w:cstheme="minorHAnsi"/>
          <w:b/>
          <w:bCs/>
          <w:sz w:val="22"/>
          <w:szCs w:val="22"/>
        </w:rPr>
      </w:pPr>
    </w:p>
    <w:p w14:paraId="45A2C162" w14:textId="77777777" w:rsidR="00396E56" w:rsidRDefault="00396E56" w:rsidP="00B15E08">
      <w:pPr>
        <w:pStyle w:val="ListParagraph"/>
        <w:ind w:left="0"/>
        <w:rPr>
          <w:rFonts w:asciiTheme="minorHAnsi" w:hAnsiTheme="minorHAnsi" w:cstheme="minorHAnsi"/>
          <w:b/>
          <w:bCs/>
          <w:sz w:val="22"/>
          <w:szCs w:val="22"/>
        </w:rPr>
      </w:pPr>
    </w:p>
    <w:p w14:paraId="5C9047AE" w14:textId="77777777" w:rsidR="00396E56" w:rsidRDefault="00396E56" w:rsidP="00B15E08">
      <w:pPr>
        <w:pStyle w:val="ListParagraph"/>
        <w:ind w:left="0"/>
        <w:rPr>
          <w:rFonts w:asciiTheme="minorHAnsi" w:hAnsiTheme="minorHAnsi" w:cstheme="minorHAnsi"/>
          <w:b/>
          <w:bCs/>
          <w:sz w:val="22"/>
          <w:szCs w:val="22"/>
        </w:rPr>
      </w:pPr>
    </w:p>
    <w:p w14:paraId="6E384CAC" w14:textId="77777777" w:rsidR="00396E56" w:rsidRDefault="00396E56" w:rsidP="00B15E08">
      <w:pPr>
        <w:pStyle w:val="ListParagraph"/>
        <w:ind w:left="0"/>
        <w:rPr>
          <w:rFonts w:asciiTheme="minorHAnsi" w:hAnsiTheme="minorHAnsi" w:cstheme="minorHAnsi"/>
          <w:b/>
          <w:bCs/>
          <w:sz w:val="22"/>
          <w:szCs w:val="22"/>
        </w:rPr>
      </w:pPr>
    </w:p>
    <w:p w14:paraId="043396D4" w14:textId="77777777" w:rsidR="00396E56" w:rsidRDefault="00396E56" w:rsidP="00B15E08">
      <w:pPr>
        <w:pStyle w:val="ListParagraph"/>
        <w:ind w:left="0"/>
        <w:rPr>
          <w:rFonts w:asciiTheme="minorHAnsi" w:hAnsiTheme="minorHAnsi" w:cstheme="minorHAnsi"/>
          <w:b/>
          <w:bCs/>
          <w:sz w:val="22"/>
          <w:szCs w:val="22"/>
        </w:rPr>
      </w:pPr>
    </w:p>
    <w:p w14:paraId="610B34CB" w14:textId="77777777" w:rsidR="00396E56" w:rsidRDefault="00396E56" w:rsidP="00B15E08">
      <w:pPr>
        <w:pStyle w:val="ListParagraph"/>
        <w:ind w:left="0"/>
        <w:rPr>
          <w:rFonts w:asciiTheme="minorHAnsi" w:hAnsiTheme="minorHAnsi" w:cstheme="minorHAnsi"/>
          <w:b/>
          <w:bCs/>
          <w:sz w:val="22"/>
          <w:szCs w:val="22"/>
        </w:rPr>
      </w:pPr>
    </w:p>
    <w:p w14:paraId="2B9C3665" w14:textId="77777777" w:rsidR="00396E56" w:rsidRDefault="00396E56" w:rsidP="00B15E08">
      <w:pPr>
        <w:pStyle w:val="ListParagraph"/>
        <w:ind w:left="0"/>
        <w:rPr>
          <w:rFonts w:asciiTheme="minorHAnsi" w:hAnsiTheme="minorHAnsi" w:cstheme="minorHAnsi"/>
          <w:b/>
          <w:bCs/>
          <w:sz w:val="22"/>
          <w:szCs w:val="22"/>
        </w:rPr>
      </w:pPr>
    </w:p>
    <w:p w14:paraId="75CB1580" w14:textId="77777777" w:rsidR="00396E56" w:rsidRDefault="00396E56" w:rsidP="00B15E08">
      <w:pPr>
        <w:pStyle w:val="ListParagraph"/>
        <w:ind w:left="0"/>
        <w:rPr>
          <w:rFonts w:asciiTheme="minorHAnsi" w:hAnsiTheme="minorHAnsi" w:cstheme="minorHAnsi"/>
          <w:b/>
          <w:bCs/>
          <w:sz w:val="22"/>
          <w:szCs w:val="22"/>
        </w:rPr>
      </w:pPr>
    </w:p>
    <w:p w14:paraId="1879BCF7" w14:textId="0B04C18B" w:rsidR="003F5779" w:rsidRPr="003F5779" w:rsidRDefault="003F5779" w:rsidP="00B15E08">
      <w:pPr>
        <w:pStyle w:val="ListParagraph"/>
        <w:ind w:left="0"/>
        <w:rPr>
          <w:rFonts w:asciiTheme="minorHAnsi" w:hAnsiTheme="minorHAnsi" w:cstheme="minorHAnsi"/>
          <w:b/>
          <w:bCs/>
          <w:sz w:val="22"/>
          <w:szCs w:val="22"/>
        </w:rPr>
      </w:pPr>
      <w:r w:rsidRPr="003F5779">
        <w:rPr>
          <w:rFonts w:asciiTheme="minorHAnsi" w:hAnsiTheme="minorHAnsi" w:cstheme="minorHAnsi"/>
          <w:b/>
          <w:bCs/>
          <w:sz w:val="22"/>
          <w:szCs w:val="22"/>
        </w:rPr>
        <w:t>Graph 2: Number of Drug offences (YJAF)</w:t>
      </w:r>
    </w:p>
    <w:p w14:paraId="149CD22D" w14:textId="066EF6B0" w:rsidR="0022150B" w:rsidRDefault="003F5779" w:rsidP="00396E56">
      <w:pPr>
        <w:pStyle w:val="ListParagraph"/>
        <w:ind w:left="0" w:hanging="851"/>
        <w:rPr>
          <w:rFonts w:asciiTheme="minorHAnsi" w:hAnsiTheme="minorHAnsi" w:cstheme="minorHAnsi"/>
          <w:b/>
          <w:bCs/>
          <w:noProof/>
          <w:sz w:val="22"/>
          <w:szCs w:val="22"/>
          <w:lang w:eastAsia="en-GB"/>
        </w:rPr>
      </w:pPr>
      <w:r w:rsidRPr="003F5779">
        <w:rPr>
          <w:rFonts w:asciiTheme="minorHAnsi" w:hAnsiTheme="minorHAnsi" w:cstheme="minorHAnsi"/>
          <w:b/>
          <w:bCs/>
          <w:noProof/>
          <w:sz w:val="22"/>
          <w:szCs w:val="22"/>
          <w:lang w:eastAsia="en-GB"/>
        </w:rPr>
        <w:tab/>
      </w:r>
      <w:r w:rsidRPr="003F5779">
        <w:rPr>
          <w:rFonts w:asciiTheme="minorHAnsi" w:hAnsiTheme="minorHAnsi" w:cstheme="minorHAnsi"/>
          <w:b/>
          <w:bCs/>
          <w:noProof/>
          <w:sz w:val="22"/>
          <w:szCs w:val="22"/>
          <w:lang w:eastAsia="en-GB"/>
        </w:rPr>
        <w:drawing>
          <wp:inline distT="0" distB="0" distL="0" distR="0" wp14:anchorId="766C1E4A" wp14:editId="2CD3064E">
            <wp:extent cx="5904230" cy="19094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1909445"/>
                    </a:xfrm>
                    <a:prstGeom prst="rect">
                      <a:avLst/>
                    </a:prstGeom>
                  </pic:spPr>
                </pic:pic>
              </a:graphicData>
            </a:graphic>
          </wp:inline>
        </w:drawing>
      </w:r>
    </w:p>
    <w:p w14:paraId="79FF0A5F" w14:textId="77777777" w:rsidR="0022150B" w:rsidRDefault="0022150B" w:rsidP="00B15E08">
      <w:pPr>
        <w:pStyle w:val="ListParagraph"/>
        <w:ind w:left="0"/>
        <w:rPr>
          <w:rFonts w:asciiTheme="minorHAnsi" w:hAnsiTheme="minorHAnsi" w:cstheme="minorHAnsi"/>
          <w:b/>
          <w:bCs/>
          <w:noProof/>
          <w:sz w:val="22"/>
          <w:szCs w:val="22"/>
          <w:lang w:eastAsia="en-GB"/>
        </w:rPr>
      </w:pPr>
    </w:p>
    <w:p w14:paraId="3A5E0687" w14:textId="483DCED4" w:rsidR="003F5779" w:rsidRPr="003F5779" w:rsidRDefault="003F5779" w:rsidP="00B15E08">
      <w:pPr>
        <w:pStyle w:val="ListParagraph"/>
        <w:ind w:left="0"/>
        <w:rPr>
          <w:rFonts w:asciiTheme="minorHAnsi" w:hAnsiTheme="minorHAnsi" w:cstheme="minorHAnsi"/>
          <w:b/>
          <w:bCs/>
          <w:noProof/>
          <w:sz w:val="22"/>
          <w:szCs w:val="22"/>
          <w:lang w:eastAsia="en-GB"/>
        </w:rPr>
      </w:pPr>
      <w:r w:rsidRPr="003F5779">
        <w:rPr>
          <w:rFonts w:asciiTheme="minorHAnsi" w:hAnsiTheme="minorHAnsi" w:cstheme="minorHAnsi"/>
          <w:b/>
          <w:bCs/>
          <w:noProof/>
          <w:sz w:val="22"/>
          <w:szCs w:val="22"/>
          <w:lang w:eastAsia="en-GB"/>
        </w:rPr>
        <w:t>Graph 3: Number of Violence Against the person offences (YJAF)</w:t>
      </w:r>
    </w:p>
    <w:p w14:paraId="442D3E16" w14:textId="77777777" w:rsidR="003F5779" w:rsidRDefault="003F5779" w:rsidP="00B15E08">
      <w:pPr>
        <w:pStyle w:val="ListParagraph"/>
        <w:ind w:left="0"/>
        <w:rPr>
          <w:noProof/>
          <w:lang w:eastAsia="en-GB"/>
        </w:rPr>
      </w:pPr>
      <w:r>
        <w:rPr>
          <w:noProof/>
          <w:lang w:eastAsia="en-GB"/>
        </w:rPr>
        <w:tab/>
      </w:r>
      <w:r>
        <w:rPr>
          <w:noProof/>
          <w:lang w:eastAsia="en-GB"/>
        </w:rPr>
        <w:drawing>
          <wp:inline distT="0" distB="0" distL="0" distR="0" wp14:anchorId="36A596E8" wp14:editId="099B2172">
            <wp:extent cx="5904230" cy="189293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1892935"/>
                    </a:xfrm>
                    <a:prstGeom prst="rect">
                      <a:avLst/>
                    </a:prstGeom>
                  </pic:spPr>
                </pic:pic>
              </a:graphicData>
            </a:graphic>
          </wp:inline>
        </w:drawing>
      </w:r>
    </w:p>
    <w:p w14:paraId="694E4A2A" w14:textId="77777777" w:rsidR="003F5779" w:rsidRDefault="003F5779" w:rsidP="00B15E08">
      <w:pPr>
        <w:pStyle w:val="ListParagraph"/>
        <w:ind w:left="0"/>
        <w:rPr>
          <w:rFonts w:asciiTheme="minorHAnsi" w:hAnsiTheme="minorHAnsi" w:cstheme="minorHAnsi"/>
          <w:b/>
          <w:noProof/>
          <w:sz w:val="22"/>
          <w:szCs w:val="22"/>
          <w:lang w:eastAsia="en-GB"/>
        </w:rPr>
      </w:pPr>
    </w:p>
    <w:p w14:paraId="16B3B20E" w14:textId="2FE006F7" w:rsidR="003F5779" w:rsidRPr="003F5779" w:rsidRDefault="003F5779" w:rsidP="00B15E08">
      <w:pPr>
        <w:pStyle w:val="ListParagraph"/>
        <w:ind w:left="0"/>
        <w:rPr>
          <w:rFonts w:asciiTheme="minorHAnsi" w:hAnsiTheme="minorHAnsi" w:cstheme="minorHAnsi"/>
          <w:b/>
          <w:noProof/>
          <w:sz w:val="22"/>
          <w:szCs w:val="22"/>
          <w:lang w:eastAsia="en-GB"/>
        </w:rPr>
      </w:pPr>
      <w:r w:rsidRPr="003F5779">
        <w:rPr>
          <w:rFonts w:asciiTheme="minorHAnsi" w:hAnsiTheme="minorHAnsi" w:cstheme="minorHAnsi"/>
          <w:b/>
          <w:noProof/>
          <w:sz w:val="22"/>
          <w:szCs w:val="22"/>
          <w:lang w:eastAsia="en-GB"/>
        </w:rPr>
        <w:t>Graph 4: Number of Robbery offences (YJAF)</w:t>
      </w:r>
    </w:p>
    <w:p w14:paraId="06C27152" w14:textId="77777777" w:rsidR="003F5779" w:rsidRPr="00570DAA" w:rsidRDefault="003F5779" w:rsidP="00B15E08">
      <w:pPr>
        <w:pStyle w:val="ListParagraph"/>
        <w:ind w:left="0"/>
        <w:rPr>
          <w:b/>
          <w:bCs/>
        </w:rPr>
      </w:pPr>
      <w:r w:rsidRPr="003F5779">
        <w:rPr>
          <w:rFonts w:asciiTheme="minorHAnsi" w:hAnsiTheme="minorHAnsi" w:cstheme="minorHAnsi"/>
          <w:noProof/>
          <w:sz w:val="22"/>
          <w:szCs w:val="22"/>
          <w:lang w:eastAsia="en-GB"/>
        </w:rPr>
        <w:tab/>
      </w:r>
      <w:r>
        <w:rPr>
          <w:noProof/>
          <w:lang w:eastAsia="en-GB"/>
        </w:rPr>
        <w:drawing>
          <wp:inline distT="0" distB="0" distL="0" distR="0" wp14:anchorId="1F5EB9C1" wp14:editId="1008E274">
            <wp:extent cx="5904230" cy="168719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4230" cy="1687195"/>
                    </a:xfrm>
                    <a:prstGeom prst="rect">
                      <a:avLst/>
                    </a:prstGeom>
                  </pic:spPr>
                </pic:pic>
              </a:graphicData>
            </a:graphic>
          </wp:inline>
        </w:drawing>
      </w:r>
    </w:p>
    <w:p w14:paraId="7242954C" w14:textId="77777777" w:rsidR="00753283" w:rsidRDefault="00753283" w:rsidP="00CA60F5">
      <w:pPr>
        <w:pStyle w:val="NoSpacing"/>
        <w:rPr>
          <w:b/>
          <w:bCs/>
          <w:noProof/>
          <w:lang w:eastAsia="en-GB"/>
        </w:rPr>
      </w:pPr>
    </w:p>
    <w:p w14:paraId="48733A74" w14:textId="77777777" w:rsidR="00396E56" w:rsidRDefault="00396E56" w:rsidP="00CA60F5">
      <w:pPr>
        <w:pStyle w:val="NoSpacing"/>
        <w:rPr>
          <w:b/>
          <w:bCs/>
          <w:noProof/>
          <w:lang w:eastAsia="en-GB"/>
        </w:rPr>
      </w:pPr>
    </w:p>
    <w:p w14:paraId="2E8A8D37" w14:textId="77777777" w:rsidR="00396E56" w:rsidRDefault="00396E56" w:rsidP="00CA60F5">
      <w:pPr>
        <w:pStyle w:val="NoSpacing"/>
        <w:rPr>
          <w:b/>
          <w:bCs/>
          <w:noProof/>
          <w:lang w:eastAsia="en-GB"/>
        </w:rPr>
      </w:pPr>
    </w:p>
    <w:p w14:paraId="1A526346" w14:textId="77777777" w:rsidR="00396E56" w:rsidRDefault="00396E56" w:rsidP="00CA60F5">
      <w:pPr>
        <w:pStyle w:val="NoSpacing"/>
        <w:rPr>
          <w:b/>
          <w:bCs/>
          <w:noProof/>
          <w:lang w:eastAsia="en-GB"/>
        </w:rPr>
      </w:pPr>
    </w:p>
    <w:p w14:paraId="42AA511A" w14:textId="77777777" w:rsidR="00396E56" w:rsidRDefault="00396E56" w:rsidP="00CA60F5">
      <w:pPr>
        <w:pStyle w:val="NoSpacing"/>
        <w:rPr>
          <w:b/>
          <w:bCs/>
          <w:noProof/>
          <w:lang w:eastAsia="en-GB"/>
        </w:rPr>
      </w:pPr>
    </w:p>
    <w:p w14:paraId="214DD637" w14:textId="59EB8976" w:rsidR="00CA60F5" w:rsidRDefault="002B5A36" w:rsidP="00CA60F5">
      <w:pPr>
        <w:pStyle w:val="NoSpacing"/>
        <w:rPr>
          <w:rFonts w:cstheme="minorHAnsi"/>
          <w:b/>
          <w:bCs/>
          <w:lang w:eastAsia="en-GB"/>
        </w:rPr>
      </w:pPr>
      <w:r w:rsidRPr="00CA60F5">
        <w:rPr>
          <w:b/>
          <w:bCs/>
          <w:noProof/>
          <w:lang w:eastAsia="en-GB"/>
        </w:rPr>
        <w:lastRenderedPageBreak/>
        <w:t xml:space="preserve">Graph 5: </w:t>
      </w:r>
      <w:r w:rsidR="00CA60F5" w:rsidRPr="00CA60F5">
        <w:rPr>
          <w:rFonts w:cstheme="minorHAnsi"/>
          <w:b/>
          <w:bCs/>
          <w:lang w:eastAsia="en-GB"/>
        </w:rPr>
        <w:t>C</w:t>
      </w:r>
      <w:r w:rsidR="00CA60F5">
        <w:rPr>
          <w:rFonts w:cstheme="minorHAnsi"/>
          <w:b/>
          <w:bCs/>
          <w:lang w:eastAsia="en-GB"/>
        </w:rPr>
        <w:t>hildren in care receiving a substantive outcome while in care by year</w:t>
      </w:r>
    </w:p>
    <w:p w14:paraId="3805C0AC" w14:textId="421FB91F" w:rsidR="002B5A36" w:rsidRDefault="002B5A36" w:rsidP="00B15E08">
      <w:pPr>
        <w:pStyle w:val="NoSpacing"/>
        <w:jc w:val="both"/>
        <w:rPr>
          <w:noProof/>
          <w:lang w:eastAsia="en-GB"/>
        </w:rPr>
      </w:pPr>
    </w:p>
    <w:p w14:paraId="2A98D412" w14:textId="28D6E3E6" w:rsidR="007E288A" w:rsidRPr="00C53B1E" w:rsidRDefault="002B5A36" w:rsidP="00B15E08">
      <w:pPr>
        <w:pStyle w:val="NoSpacing"/>
        <w:jc w:val="both"/>
        <w:rPr>
          <w:rFonts w:cstheme="minorHAnsi"/>
          <w:b/>
          <w:bCs/>
          <w:color w:val="FF0000"/>
          <w:lang w:eastAsia="en-GB"/>
        </w:rPr>
      </w:pPr>
      <w:r>
        <w:rPr>
          <w:noProof/>
          <w:lang w:eastAsia="en-GB"/>
        </w:rPr>
        <w:drawing>
          <wp:inline distT="0" distB="0" distL="0" distR="0" wp14:anchorId="23A634DC" wp14:editId="6738A997">
            <wp:extent cx="5731510" cy="15157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515745"/>
                    </a:xfrm>
                    <a:prstGeom prst="rect">
                      <a:avLst/>
                    </a:prstGeom>
                  </pic:spPr>
                </pic:pic>
              </a:graphicData>
            </a:graphic>
          </wp:inline>
        </w:drawing>
      </w:r>
    </w:p>
    <w:p w14:paraId="210DAABB" w14:textId="77777777" w:rsidR="009535CB" w:rsidRDefault="009535CB" w:rsidP="00B15E08">
      <w:pPr>
        <w:pStyle w:val="NoSpacing"/>
        <w:jc w:val="both"/>
        <w:rPr>
          <w:b/>
          <w:bCs/>
        </w:rPr>
      </w:pPr>
    </w:p>
    <w:p w14:paraId="16A22796" w14:textId="7103F8E8" w:rsidR="009535CB" w:rsidRDefault="00F56E1C" w:rsidP="00F56E1C">
      <w:pPr>
        <w:pStyle w:val="NoSpacing"/>
        <w:ind w:left="720" w:hanging="720"/>
        <w:rPr>
          <w:rFonts w:cstheme="minorHAnsi"/>
          <w:bCs/>
          <w:lang w:eastAsia="en-GB"/>
        </w:rPr>
      </w:pPr>
      <w:r>
        <w:rPr>
          <w:rFonts w:cstheme="minorHAnsi"/>
          <w:bCs/>
          <w:lang w:eastAsia="en-GB"/>
        </w:rPr>
        <w:t>9.</w:t>
      </w:r>
      <w:r w:rsidR="00396E56">
        <w:rPr>
          <w:rFonts w:cstheme="minorHAnsi"/>
          <w:bCs/>
          <w:lang w:eastAsia="en-GB"/>
        </w:rPr>
        <w:t>30</w:t>
      </w:r>
      <w:r>
        <w:rPr>
          <w:rFonts w:cstheme="minorHAnsi"/>
          <w:bCs/>
          <w:lang w:eastAsia="en-GB"/>
        </w:rPr>
        <w:tab/>
      </w:r>
      <w:r w:rsidR="009535CB" w:rsidRPr="00CA375B">
        <w:rPr>
          <w:rFonts w:cstheme="minorHAnsi"/>
          <w:bCs/>
          <w:lang w:eastAsia="en-GB"/>
        </w:rPr>
        <w:t>The above graph re</w:t>
      </w:r>
      <w:r w:rsidR="009535CB">
        <w:rPr>
          <w:rFonts w:cstheme="minorHAnsi"/>
          <w:bCs/>
          <w:lang w:eastAsia="en-GB"/>
        </w:rPr>
        <w:t xml:space="preserve">presents the number of children </w:t>
      </w:r>
      <w:r w:rsidR="009535CB" w:rsidRPr="00CA375B">
        <w:rPr>
          <w:rFonts w:cstheme="minorHAnsi"/>
          <w:bCs/>
          <w:lang w:eastAsia="en-GB"/>
        </w:rPr>
        <w:t>who were in care when receiving a substantive outcome. In 2022</w:t>
      </w:r>
      <w:r w:rsidR="009535CB">
        <w:rPr>
          <w:rFonts w:cstheme="minorHAnsi"/>
          <w:bCs/>
          <w:lang w:eastAsia="en-GB"/>
        </w:rPr>
        <w:t xml:space="preserve"> there were</w:t>
      </w:r>
      <w:r w:rsidR="009535CB" w:rsidRPr="00CA375B">
        <w:rPr>
          <w:rFonts w:cstheme="minorHAnsi"/>
          <w:bCs/>
          <w:lang w:eastAsia="en-GB"/>
        </w:rPr>
        <w:t xml:space="preserve"> 306 children in care out of which 17 received a substantive outcome. This is 5.5 %. T</w:t>
      </w:r>
      <w:r w:rsidR="009535CB">
        <w:rPr>
          <w:rFonts w:cstheme="minorHAnsi"/>
          <w:bCs/>
          <w:lang w:eastAsia="en-GB"/>
        </w:rPr>
        <w:t>his is</w:t>
      </w:r>
      <w:r w:rsidR="009535CB" w:rsidRPr="00CA375B">
        <w:rPr>
          <w:rFonts w:cstheme="minorHAnsi"/>
          <w:bCs/>
          <w:lang w:eastAsia="en-GB"/>
        </w:rPr>
        <w:t xml:space="preserve"> a</w:t>
      </w:r>
      <w:r w:rsidR="009535CB">
        <w:rPr>
          <w:rFonts w:cstheme="minorHAnsi"/>
          <w:bCs/>
          <w:lang w:eastAsia="en-GB"/>
        </w:rPr>
        <w:t xml:space="preserve"> decrease from the previous year.</w:t>
      </w:r>
      <w:r>
        <w:rPr>
          <w:rFonts w:cstheme="minorHAnsi"/>
          <w:bCs/>
          <w:lang w:eastAsia="en-GB"/>
        </w:rPr>
        <w:t xml:space="preserve"> </w:t>
      </w:r>
      <w:r w:rsidR="009535CB" w:rsidRPr="00CA375B">
        <w:rPr>
          <w:rFonts w:cstheme="minorHAnsi"/>
          <w:bCs/>
          <w:lang w:eastAsia="en-GB"/>
        </w:rPr>
        <w:t xml:space="preserve">There was a spike in 2019 however; the figures are </w:t>
      </w:r>
      <w:r w:rsidR="009535CB">
        <w:rPr>
          <w:rFonts w:cstheme="minorHAnsi"/>
          <w:bCs/>
          <w:lang w:eastAsia="en-GB"/>
        </w:rPr>
        <w:t>continuing to decrease starting with 2020.</w:t>
      </w:r>
      <w:r>
        <w:rPr>
          <w:rFonts w:cstheme="minorHAnsi"/>
          <w:bCs/>
          <w:lang w:eastAsia="en-GB"/>
        </w:rPr>
        <w:t xml:space="preserve"> </w:t>
      </w:r>
      <w:r w:rsidR="009535CB">
        <w:rPr>
          <w:rFonts w:cstheme="minorHAnsi"/>
          <w:bCs/>
          <w:lang w:eastAsia="en-GB"/>
        </w:rPr>
        <w:t>The data for 2023 is up until the end of March 2023 and so far, only 5 children out of the 518 in care, received a substantive outcome.</w:t>
      </w:r>
    </w:p>
    <w:p w14:paraId="65D55BF7" w14:textId="77777777" w:rsidR="009535CB" w:rsidRDefault="009535CB" w:rsidP="009535CB">
      <w:pPr>
        <w:pStyle w:val="NoSpacing"/>
        <w:rPr>
          <w:rFonts w:cstheme="minorHAnsi"/>
          <w:bCs/>
          <w:lang w:eastAsia="en-GB"/>
        </w:rPr>
      </w:pPr>
    </w:p>
    <w:p w14:paraId="4535EE98" w14:textId="468CC547" w:rsidR="009535CB" w:rsidRDefault="00F56E1C" w:rsidP="00F56E1C">
      <w:pPr>
        <w:pStyle w:val="NoSpacing"/>
        <w:ind w:left="720" w:hanging="720"/>
        <w:rPr>
          <w:rFonts w:cstheme="minorHAnsi"/>
          <w:bCs/>
          <w:lang w:eastAsia="en-GB"/>
        </w:rPr>
      </w:pPr>
      <w:r>
        <w:rPr>
          <w:rFonts w:cstheme="minorHAnsi"/>
          <w:bCs/>
          <w:lang w:eastAsia="en-GB"/>
        </w:rPr>
        <w:t>9.</w:t>
      </w:r>
      <w:r w:rsidR="00396E56">
        <w:rPr>
          <w:rFonts w:cstheme="minorHAnsi"/>
          <w:bCs/>
          <w:lang w:eastAsia="en-GB"/>
        </w:rPr>
        <w:t>31</w:t>
      </w:r>
      <w:r>
        <w:rPr>
          <w:rFonts w:cstheme="minorHAnsi"/>
          <w:bCs/>
          <w:lang w:eastAsia="en-GB"/>
        </w:rPr>
        <w:tab/>
      </w:r>
      <w:r w:rsidR="009535CB">
        <w:rPr>
          <w:rFonts w:cstheme="minorHAnsi"/>
          <w:bCs/>
          <w:lang w:eastAsia="en-GB"/>
        </w:rPr>
        <w:t>Looking at the children receiving a substantive outcome by month in the below graph, we can see the spike in 2019 occurred between August and October (warmer months). There is a significantly decrease starting with December 2019 until in August 2020 when the figures show an increase again.</w:t>
      </w:r>
    </w:p>
    <w:p w14:paraId="64BF9B22" w14:textId="352817BE" w:rsidR="009535CB" w:rsidRDefault="009535CB" w:rsidP="00B15E08">
      <w:pPr>
        <w:pStyle w:val="NoSpacing"/>
        <w:jc w:val="both"/>
        <w:rPr>
          <w:b/>
          <w:bCs/>
        </w:rPr>
      </w:pPr>
    </w:p>
    <w:p w14:paraId="19700D5B" w14:textId="05A01014" w:rsidR="00F56E1C" w:rsidRDefault="00F56E1C" w:rsidP="00F56E1C">
      <w:pPr>
        <w:pStyle w:val="NoSpacing"/>
        <w:rPr>
          <w:rFonts w:cstheme="minorHAnsi"/>
          <w:b/>
          <w:bCs/>
          <w:lang w:eastAsia="en-GB"/>
        </w:rPr>
      </w:pPr>
      <w:r>
        <w:rPr>
          <w:rFonts w:cstheme="minorHAnsi"/>
          <w:b/>
          <w:bCs/>
          <w:lang w:eastAsia="en-GB"/>
        </w:rPr>
        <w:t>Graph 6: Children in care receiving a substantive outcome while in care by month</w:t>
      </w:r>
    </w:p>
    <w:p w14:paraId="5E23AB50" w14:textId="77777777" w:rsidR="00F56E1C" w:rsidRDefault="00F56E1C" w:rsidP="00B15E08">
      <w:pPr>
        <w:pStyle w:val="NoSpacing"/>
        <w:jc w:val="both"/>
        <w:rPr>
          <w:b/>
          <w:bCs/>
        </w:rPr>
      </w:pPr>
    </w:p>
    <w:p w14:paraId="1AD33F17" w14:textId="77777777" w:rsidR="00F56E1C" w:rsidRDefault="00F56E1C" w:rsidP="00B15E08">
      <w:pPr>
        <w:pStyle w:val="NoSpacing"/>
        <w:jc w:val="both"/>
        <w:rPr>
          <w:b/>
          <w:bCs/>
        </w:rPr>
      </w:pPr>
    </w:p>
    <w:p w14:paraId="39944B3B" w14:textId="0916ED81" w:rsidR="00DA18F3" w:rsidRDefault="00DA18F3" w:rsidP="00B15E08">
      <w:pPr>
        <w:pStyle w:val="NoSpacing"/>
        <w:jc w:val="both"/>
        <w:rPr>
          <w:b/>
          <w:bCs/>
        </w:rPr>
      </w:pPr>
      <w:r>
        <w:rPr>
          <w:noProof/>
          <w:lang w:eastAsia="en-GB"/>
        </w:rPr>
        <w:drawing>
          <wp:inline distT="0" distB="0" distL="0" distR="0" wp14:anchorId="4FA223E3" wp14:editId="2CB37EFF">
            <wp:extent cx="5731510" cy="15894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589405"/>
                    </a:xfrm>
                    <a:prstGeom prst="rect">
                      <a:avLst/>
                    </a:prstGeom>
                  </pic:spPr>
                </pic:pic>
              </a:graphicData>
            </a:graphic>
          </wp:inline>
        </w:drawing>
      </w:r>
    </w:p>
    <w:p w14:paraId="52CBBF49" w14:textId="77777777" w:rsidR="009535CB" w:rsidRDefault="009535CB" w:rsidP="00B15E08">
      <w:pPr>
        <w:pStyle w:val="NoSpacing"/>
        <w:jc w:val="both"/>
        <w:rPr>
          <w:b/>
          <w:bCs/>
        </w:rPr>
      </w:pPr>
    </w:p>
    <w:p w14:paraId="63B3684A" w14:textId="2239D449" w:rsidR="002A4F30" w:rsidRDefault="002A4F30" w:rsidP="00B15E08">
      <w:pPr>
        <w:pStyle w:val="NoSpacing"/>
        <w:jc w:val="both"/>
        <w:rPr>
          <w:b/>
          <w:bCs/>
        </w:rPr>
      </w:pPr>
      <w:r w:rsidRPr="00C55A76">
        <w:rPr>
          <w:b/>
          <w:bCs/>
        </w:rPr>
        <w:t>Divert Plus</w:t>
      </w:r>
    </w:p>
    <w:p w14:paraId="1F91B58F" w14:textId="77777777" w:rsidR="00753283" w:rsidRPr="00C55A76" w:rsidRDefault="00753283" w:rsidP="00B15E08">
      <w:pPr>
        <w:pStyle w:val="NoSpacing"/>
        <w:jc w:val="both"/>
        <w:rPr>
          <w:b/>
          <w:bCs/>
        </w:rPr>
      </w:pPr>
    </w:p>
    <w:p w14:paraId="74B4C203" w14:textId="10BAEF4F" w:rsidR="002A4F30" w:rsidRPr="002A4F30" w:rsidRDefault="0022150B" w:rsidP="0022150B">
      <w:pPr>
        <w:pStyle w:val="NoSpacing"/>
        <w:ind w:left="720" w:hanging="720"/>
        <w:jc w:val="both"/>
        <w:rPr>
          <w:bCs/>
        </w:rPr>
      </w:pPr>
      <w:r>
        <w:rPr>
          <w:bCs/>
        </w:rPr>
        <w:t>9.</w:t>
      </w:r>
      <w:r w:rsidR="00396E56">
        <w:rPr>
          <w:bCs/>
        </w:rPr>
        <w:t>32</w:t>
      </w:r>
      <w:r>
        <w:rPr>
          <w:bCs/>
        </w:rPr>
        <w:tab/>
      </w:r>
      <w:r w:rsidR="002A4F30" w:rsidRPr="002A4F30">
        <w:rPr>
          <w:bCs/>
        </w:rPr>
        <w:t xml:space="preserve">The Divert Plus custody intervention project commenced in October 2021, initially funded by the Home Office with Youth Endowment Fund (YEF) provision from April 2022 to date.  YEF have appointed independent evaluators.  In May 2022 the pilot phase commenced.   </w:t>
      </w:r>
    </w:p>
    <w:p w14:paraId="5583D2D7" w14:textId="77777777" w:rsidR="002A4F30" w:rsidRPr="002A4F30" w:rsidRDefault="002A4F30" w:rsidP="00B15E08">
      <w:pPr>
        <w:pStyle w:val="NoSpacing"/>
        <w:jc w:val="both"/>
        <w:rPr>
          <w:bCs/>
        </w:rPr>
      </w:pPr>
    </w:p>
    <w:p w14:paraId="3D3C75B8" w14:textId="1250B8E5" w:rsidR="002A4F30" w:rsidRPr="002A4F30" w:rsidRDefault="0022150B" w:rsidP="0022150B">
      <w:pPr>
        <w:pStyle w:val="NoSpacing"/>
        <w:ind w:left="709" w:hanging="709"/>
        <w:jc w:val="both"/>
        <w:rPr>
          <w:bCs/>
        </w:rPr>
      </w:pPr>
      <w:r>
        <w:rPr>
          <w:bCs/>
        </w:rPr>
        <w:t>9.</w:t>
      </w:r>
      <w:r w:rsidR="00396E56">
        <w:rPr>
          <w:bCs/>
        </w:rPr>
        <w:t>33</w:t>
      </w:r>
      <w:r>
        <w:rPr>
          <w:bCs/>
        </w:rPr>
        <w:tab/>
      </w:r>
      <w:r w:rsidR="002A4F30" w:rsidRPr="002A4F30">
        <w:rPr>
          <w:bCs/>
        </w:rPr>
        <w:t>The objective of Divert Plus is to use seconded YJS Case Managers to engage and assess children in a ‘reachable/teachable moment’ whilst in police custody or within 24 hours of release from police custody.  The child will be offered tailored interventions aimed at supporting positive changes such as:</w:t>
      </w:r>
    </w:p>
    <w:p w14:paraId="537CF819" w14:textId="77777777" w:rsidR="002A4F30" w:rsidRPr="002A4F30" w:rsidRDefault="002A4F30" w:rsidP="002010D8">
      <w:pPr>
        <w:pStyle w:val="NoSpacing"/>
        <w:numPr>
          <w:ilvl w:val="0"/>
          <w:numId w:val="16"/>
        </w:numPr>
        <w:ind w:left="1418" w:right="379"/>
        <w:jc w:val="both"/>
        <w:rPr>
          <w:bCs/>
        </w:rPr>
      </w:pPr>
      <w:r w:rsidRPr="002A4F30">
        <w:rPr>
          <w:bCs/>
        </w:rPr>
        <w:t>Ongoing mentoring by a trusted provider and the opportunity for a Personal Change Plan.</w:t>
      </w:r>
    </w:p>
    <w:p w14:paraId="7C46B244" w14:textId="77777777" w:rsidR="002A4F30" w:rsidRPr="002A4F30" w:rsidRDefault="002A4F30" w:rsidP="002010D8">
      <w:pPr>
        <w:pStyle w:val="NoSpacing"/>
        <w:numPr>
          <w:ilvl w:val="0"/>
          <w:numId w:val="16"/>
        </w:numPr>
        <w:ind w:left="1418" w:right="379"/>
        <w:jc w:val="both"/>
        <w:rPr>
          <w:bCs/>
        </w:rPr>
      </w:pPr>
      <w:r w:rsidRPr="002A4F30">
        <w:rPr>
          <w:bCs/>
        </w:rPr>
        <w:t xml:space="preserve">Restorative justice, if appropriate. </w:t>
      </w:r>
    </w:p>
    <w:p w14:paraId="3F31DD14" w14:textId="77777777" w:rsidR="002A4F30" w:rsidRPr="002A4F30" w:rsidRDefault="002A4F30" w:rsidP="002010D8">
      <w:pPr>
        <w:pStyle w:val="NoSpacing"/>
        <w:numPr>
          <w:ilvl w:val="0"/>
          <w:numId w:val="16"/>
        </w:numPr>
        <w:ind w:left="1418" w:right="379"/>
        <w:jc w:val="both"/>
        <w:rPr>
          <w:bCs/>
        </w:rPr>
      </w:pPr>
      <w:r w:rsidRPr="002A4F30">
        <w:rPr>
          <w:bCs/>
        </w:rPr>
        <w:t>Information about the Out of Court Process</w:t>
      </w:r>
    </w:p>
    <w:p w14:paraId="76FB2433" w14:textId="77777777" w:rsidR="002A4F30" w:rsidRPr="002A4F30" w:rsidRDefault="002A4F30" w:rsidP="002010D8">
      <w:pPr>
        <w:pStyle w:val="NoSpacing"/>
        <w:numPr>
          <w:ilvl w:val="0"/>
          <w:numId w:val="16"/>
        </w:numPr>
        <w:ind w:left="1418" w:right="379"/>
        <w:jc w:val="both"/>
        <w:rPr>
          <w:bCs/>
        </w:rPr>
      </w:pPr>
      <w:r w:rsidRPr="002A4F30">
        <w:rPr>
          <w:bCs/>
        </w:rPr>
        <w:lastRenderedPageBreak/>
        <w:t>Speech and Language Therapy (</w:t>
      </w:r>
      <w:proofErr w:type="spellStart"/>
      <w:r w:rsidRPr="002A4F30">
        <w:rPr>
          <w:bCs/>
        </w:rPr>
        <w:t>SaLT</w:t>
      </w:r>
      <w:proofErr w:type="spellEnd"/>
      <w:r w:rsidRPr="002A4F30">
        <w:rPr>
          <w:bCs/>
        </w:rPr>
        <w:t>) assessment and support as required.</w:t>
      </w:r>
    </w:p>
    <w:p w14:paraId="1BA8B3DD" w14:textId="77777777" w:rsidR="002A4F30" w:rsidRPr="002A4F30" w:rsidRDefault="002A4F30" w:rsidP="00B15E08">
      <w:pPr>
        <w:pStyle w:val="NoSpacing"/>
        <w:jc w:val="both"/>
        <w:rPr>
          <w:bCs/>
        </w:rPr>
      </w:pPr>
    </w:p>
    <w:p w14:paraId="3208D82A" w14:textId="74240AB7" w:rsidR="002A4F30" w:rsidRPr="002A4F30" w:rsidRDefault="0022150B" w:rsidP="0022150B">
      <w:pPr>
        <w:pStyle w:val="NoSpacing"/>
        <w:ind w:left="720" w:hanging="720"/>
        <w:jc w:val="both"/>
        <w:rPr>
          <w:bCs/>
        </w:rPr>
      </w:pPr>
      <w:r>
        <w:rPr>
          <w:bCs/>
        </w:rPr>
        <w:t>9.</w:t>
      </w:r>
      <w:r w:rsidR="00396E56">
        <w:rPr>
          <w:bCs/>
        </w:rPr>
        <w:t>34</w:t>
      </w:r>
      <w:r>
        <w:rPr>
          <w:bCs/>
        </w:rPr>
        <w:tab/>
      </w:r>
      <w:r w:rsidR="002A4F30" w:rsidRPr="002A4F30">
        <w:rPr>
          <w:bCs/>
        </w:rPr>
        <w:t>In May 2023, YEF sent formal notification that they would not be taking the project forward to an efficacy study. During the pilot stage of Divert Plus, the number of referrals has been significantly lower than the target sample size needed for an efficacy study. The randomised control trial exclusions included group offences but also, despite the national push from HMIC, APP and PACE, voluntary attendance. These numbers were significant and this and the lengthy consent process posed a risk.</w:t>
      </w:r>
    </w:p>
    <w:p w14:paraId="1859838D" w14:textId="77777777" w:rsidR="002A4F30" w:rsidRPr="002A4F30" w:rsidRDefault="002A4F30" w:rsidP="00B15E08">
      <w:pPr>
        <w:pStyle w:val="NoSpacing"/>
        <w:jc w:val="both"/>
        <w:rPr>
          <w:bCs/>
        </w:rPr>
      </w:pPr>
    </w:p>
    <w:p w14:paraId="3D1865DB" w14:textId="3B555845" w:rsidR="002A4F30" w:rsidRDefault="0022150B" w:rsidP="0022150B">
      <w:pPr>
        <w:pStyle w:val="NoSpacing"/>
        <w:ind w:left="720" w:hanging="720"/>
        <w:jc w:val="both"/>
        <w:rPr>
          <w:rFonts w:eastAsia="Calibri"/>
        </w:rPr>
      </w:pPr>
      <w:r>
        <w:rPr>
          <w:rFonts w:eastAsia="Calibri"/>
        </w:rPr>
        <w:t>9.</w:t>
      </w:r>
      <w:r w:rsidR="00FE3AD3">
        <w:rPr>
          <w:rFonts w:eastAsia="Calibri"/>
        </w:rPr>
        <w:t>3</w:t>
      </w:r>
      <w:r w:rsidR="00396E56">
        <w:rPr>
          <w:rFonts w:eastAsia="Calibri"/>
        </w:rPr>
        <w:t>5</w:t>
      </w:r>
      <w:r>
        <w:rPr>
          <w:rFonts w:eastAsia="Calibri"/>
        </w:rPr>
        <w:tab/>
      </w:r>
      <w:r w:rsidR="002A4F30" w:rsidRPr="002A4F30">
        <w:rPr>
          <w:rFonts w:eastAsia="Calibri"/>
        </w:rPr>
        <w:t>YEF are committed to ensuring that those already involved in Divert Plus get the support they need and to this end we have negotiated a further 6 months of funding to safely exit the children and young people on the programme. Divert Plus staff will no longer attend police custody to recruit children and young people to the project, their focus will be providing the continued six months support for all children and young people committed to the programme. Funding will end 31</w:t>
      </w:r>
      <w:r w:rsidR="002A4F30" w:rsidRPr="002A4F30">
        <w:rPr>
          <w:rFonts w:eastAsia="Calibri"/>
          <w:vertAlign w:val="superscript"/>
        </w:rPr>
        <w:t>st</w:t>
      </w:r>
      <w:r w:rsidR="002A4F30" w:rsidRPr="002A4F30">
        <w:rPr>
          <w:rFonts w:eastAsia="Calibri"/>
        </w:rPr>
        <w:t xml:space="preserve"> October 2023. </w:t>
      </w:r>
    </w:p>
    <w:p w14:paraId="07D3E9B4" w14:textId="77777777" w:rsidR="00C55A76" w:rsidRPr="002A4F30" w:rsidRDefault="00C55A76" w:rsidP="00B15E08">
      <w:pPr>
        <w:pStyle w:val="NoSpacing"/>
        <w:jc w:val="both"/>
        <w:rPr>
          <w:rFonts w:eastAsia="Calibri"/>
        </w:rPr>
      </w:pPr>
    </w:p>
    <w:p w14:paraId="6C084DC9" w14:textId="21B3951B" w:rsidR="002A4F30" w:rsidRPr="002A4F30" w:rsidRDefault="0022150B" w:rsidP="0022150B">
      <w:pPr>
        <w:pStyle w:val="NoSpacing"/>
        <w:ind w:left="720" w:hanging="720"/>
        <w:jc w:val="both"/>
        <w:rPr>
          <w:rFonts w:eastAsia="Calibri"/>
          <w:lang w:eastAsia="en-GB"/>
        </w:rPr>
      </w:pPr>
      <w:r>
        <w:rPr>
          <w:rFonts w:eastAsia="Calibri"/>
        </w:rPr>
        <w:t>9.</w:t>
      </w:r>
      <w:r w:rsidR="00FE3AD3">
        <w:rPr>
          <w:rFonts w:eastAsia="Calibri"/>
        </w:rPr>
        <w:t>3</w:t>
      </w:r>
      <w:r w:rsidR="00396E56">
        <w:rPr>
          <w:rFonts w:eastAsia="Calibri"/>
        </w:rPr>
        <w:t>6</w:t>
      </w:r>
      <w:r>
        <w:rPr>
          <w:rFonts w:eastAsia="Calibri"/>
        </w:rPr>
        <w:tab/>
      </w:r>
      <w:r w:rsidR="002A4F30" w:rsidRPr="002A4F30">
        <w:rPr>
          <w:rFonts w:eastAsia="Calibri"/>
        </w:rPr>
        <w:t xml:space="preserve">There have been some valuable outputs from Divert Plus. The programme consistently identified a high number of participants with additional speech and language needs </w:t>
      </w:r>
      <w:r w:rsidR="002A4F30" w:rsidRPr="002A4F30">
        <w:rPr>
          <w:rFonts w:eastAsia="Calibri"/>
          <w:lang w:eastAsia="en-GB"/>
        </w:rPr>
        <w:t xml:space="preserve">and the Speech and Language Therapists have reviewed information and bail notices to introduce more accessible versions.  Opportunities to provide future funding for some aspects will be explored across the partnership.  </w:t>
      </w:r>
    </w:p>
    <w:p w14:paraId="1FD6E85E" w14:textId="77777777" w:rsidR="00FE3AD3" w:rsidRPr="002A4F30" w:rsidRDefault="00FE3AD3" w:rsidP="00B15E08">
      <w:pPr>
        <w:pStyle w:val="NoSpacing"/>
        <w:jc w:val="both"/>
      </w:pPr>
    </w:p>
    <w:p w14:paraId="4313BE5B" w14:textId="71C25A68" w:rsidR="002A4F30" w:rsidRDefault="002A4F30" w:rsidP="00B15E08">
      <w:pPr>
        <w:pStyle w:val="NoSpacing"/>
        <w:jc w:val="both"/>
        <w:rPr>
          <w:rFonts w:eastAsiaTheme="minorEastAsia"/>
          <w:b/>
          <w:noProof/>
          <w:lang w:eastAsia="en-GB"/>
        </w:rPr>
      </w:pPr>
      <w:r w:rsidRPr="00C55A76">
        <w:rPr>
          <w:rFonts w:eastAsiaTheme="minorEastAsia"/>
          <w:b/>
          <w:noProof/>
          <w:lang w:eastAsia="en-GB"/>
        </w:rPr>
        <w:t>Serious Violence and Exploitation</w:t>
      </w:r>
    </w:p>
    <w:p w14:paraId="481329DD" w14:textId="77777777" w:rsidR="00753283" w:rsidRPr="00C55A76" w:rsidRDefault="00753283" w:rsidP="00B15E08">
      <w:pPr>
        <w:pStyle w:val="NoSpacing"/>
        <w:jc w:val="both"/>
        <w:rPr>
          <w:rFonts w:eastAsiaTheme="minorEastAsia"/>
          <w:b/>
          <w:noProof/>
          <w:lang w:eastAsia="en-GB"/>
        </w:rPr>
      </w:pPr>
    </w:p>
    <w:p w14:paraId="677A81EC" w14:textId="23C733D7" w:rsidR="002A4F30" w:rsidRDefault="0022150B" w:rsidP="0022150B">
      <w:pPr>
        <w:pStyle w:val="NoSpacing"/>
        <w:ind w:left="720" w:hanging="720"/>
        <w:jc w:val="both"/>
      </w:pPr>
      <w:r>
        <w:t>9.</w:t>
      </w:r>
      <w:r w:rsidR="00FE3AD3">
        <w:t>3</w:t>
      </w:r>
      <w:r w:rsidR="00396E56">
        <w:t>7</w:t>
      </w:r>
      <w:r>
        <w:tab/>
      </w:r>
      <w:r w:rsidR="002A4F30" w:rsidRPr="002A4F30">
        <w:t>Since the development of the VRP in 2019, the YJS has been an integral partner. It has engaged with the development of the programme to inform service delivery and connectivity around key areas, including serious youth violence, knife crime, trauma informed practice and understanding the impact of SEND on the YJS cohort.</w:t>
      </w:r>
    </w:p>
    <w:p w14:paraId="66CF468F" w14:textId="77777777" w:rsidR="00C55A76" w:rsidRPr="002A4F30" w:rsidRDefault="00C55A76" w:rsidP="00B15E08">
      <w:pPr>
        <w:pStyle w:val="NoSpacing"/>
        <w:jc w:val="both"/>
      </w:pPr>
    </w:p>
    <w:p w14:paraId="61D724E8" w14:textId="5AC37708" w:rsidR="002A4F30" w:rsidRPr="002A4F30" w:rsidRDefault="0022150B" w:rsidP="0022150B">
      <w:pPr>
        <w:pStyle w:val="NoSpacing"/>
        <w:ind w:left="720" w:hanging="720"/>
        <w:jc w:val="both"/>
      </w:pPr>
      <w:r>
        <w:t>9.</w:t>
      </w:r>
      <w:r w:rsidR="00FE3AD3">
        <w:t>3</w:t>
      </w:r>
      <w:r w:rsidR="00396E56">
        <w:t>8</w:t>
      </w:r>
      <w:r>
        <w:tab/>
      </w:r>
      <w:r w:rsidR="002A4F30" w:rsidRPr="002A4F30">
        <w:t>Operationally there is a clear link with a member of the YJS seconded into the VRP core team on a part time basis, this enables identification of opportunities and risk at a tactical level. From a strategic perspective the Head of VRP is a member of the City YJS Board, and the Chair of the YJS Board attends the VRP’s Strategic Violence Reduction Board.</w:t>
      </w:r>
    </w:p>
    <w:p w14:paraId="15AFC0E2" w14:textId="77777777" w:rsidR="002A4F30" w:rsidRPr="002A4F30" w:rsidRDefault="002A4F30" w:rsidP="00B15E08">
      <w:pPr>
        <w:pStyle w:val="NoSpacing"/>
        <w:jc w:val="both"/>
      </w:pPr>
    </w:p>
    <w:p w14:paraId="12876776" w14:textId="651DB561" w:rsidR="002A4F30" w:rsidRPr="002A4F30" w:rsidRDefault="00E95A20" w:rsidP="00E95A20">
      <w:pPr>
        <w:pStyle w:val="NoSpacing"/>
        <w:ind w:left="720" w:hanging="720"/>
        <w:jc w:val="both"/>
      </w:pPr>
      <w:r>
        <w:t>9.</w:t>
      </w:r>
      <w:r w:rsidR="00FE3AD3">
        <w:t>3</w:t>
      </w:r>
      <w:r w:rsidR="00396E56">
        <w:t>9</w:t>
      </w:r>
      <w:r>
        <w:tab/>
      </w:r>
      <w:r w:rsidR="002A4F30" w:rsidRPr="002A4F30">
        <w:t xml:space="preserve">In addition to the aforementioned Divert Plus custody intervention, the VRP have led the wider partnership with a successful Focussed Deterrence bid to the Youth Endowment Fund agency collaboration grant round, securing circa £1m for the period up to August 2025.  This model is known locally as Another Way and YJS will be leading the services for the younger cohort. Young people aged 14-24 identified as being at risk of involvement in/on the periphery of urban street groups are offered enhanced support from statutory and voluntary community sector partners to turn their lives around with holistic pathways to prevent future involvement in violence. </w:t>
      </w:r>
    </w:p>
    <w:p w14:paraId="6F98C6AC" w14:textId="77777777" w:rsidR="002A4F30" w:rsidRPr="002A4F30" w:rsidRDefault="002A4F30" w:rsidP="00B15E08">
      <w:pPr>
        <w:pStyle w:val="NoSpacing"/>
        <w:jc w:val="both"/>
      </w:pPr>
    </w:p>
    <w:p w14:paraId="5A94EEC6" w14:textId="5DC7A51D" w:rsidR="002A4F30" w:rsidRPr="002A4F30" w:rsidRDefault="00E95A20" w:rsidP="00E95A20">
      <w:pPr>
        <w:pStyle w:val="NoSpacing"/>
        <w:ind w:left="720" w:hanging="720"/>
        <w:jc w:val="both"/>
      </w:pPr>
      <w:r>
        <w:t>9.</w:t>
      </w:r>
      <w:r w:rsidR="00396E56">
        <w:t>40</w:t>
      </w:r>
      <w:r>
        <w:tab/>
      </w:r>
      <w:r w:rsidR="002A4F30" w:rsidRPr="002A4F30">
        <w:t>The results of this pilot will help us better understand how to help this key at risk group.  A multi-institute evaluation team headed by Professor Iain Brennan of University of Hull has been commissioned to undertake the evaluation using a multi-centre, two-arm, stratified randomised controlled trial with random allocation of individuals.  The primary outcome being considered will be violence against the person with time to offence and co-offending as secondary outcomes. These interventions are among the first randomised controlled trials of a focused deterrence intervention in the world.</w:t>
      </w:r>
    </w:p>
    <w:p w14:paraId="1E98FC25" w14:textId="77777777" w:rsidR="002A4F30" w:rsidRPr="002A4F30" w:rsidRDefault="002A4F30" w:rsidP="00B15E08">
      <w:pPr>
        <w:pStyle w:val="NoSpacing"/>
        <w:jc w:val="both"/>
      </w:pPr>
    </w:p>
    <w:p w14:paraId="6E0DE597" w14:textId="2C3448E7" w:rsidR="002A4F30" w:rsidRPr="002A4F30" w:rsidRDefault="00E95A20" w:rsidP="00E95A20">
      <w:pPr>
        <w:pStyle w:val="NoSpacing"/>
        <w:ind w:left="720" w:hanging="720"/>
        <w:jc w:val="both"/>
      </w:pPr>
      <w:r>
        <w:lastRenderedPageBreak/>
        <w:t>9.</w:t>
      </w:r>
      <w:r w:rsidR="00396E56">
        <w:t>41</w:t>
      </w:r>
      <w:r>
        <w:tab/>
      </w:r>
      <w:r w:rsidR="002A4F30" w:rsidRPr="002A4F30">
        <w:t xml:space="preserve">Funding from the OPCC has also enabled the YJS to commission a range of specialist services for this funding year. The services will enable the YJS to engage with some of its most difficult and hard to reach children. They also enable the YJS to provide interventions for those deemed at risk of CCE or SYV. </w:t>
      </w:r>
    </w:p>
    <w:p w14:paraId="262DBD01" w14:textId="77777777" w:rsidR="002A4F30" w:rsidRPr="002A4F30" w:rsidRDefault="002A4F30" w:rsidP="00B15E08">
      <w:pPr>
        <w:pStyle w:val="NoSpacing"/>
        <w:jc w:val="both"/>
      </w:pPr>
    </w:p>
    <w:p w14:paraId="43B89F9D" w14:textId="43BCF4AC" w:rsidR="002A4F30" w:rsidRDefault="002A4F30" w:rsidP="00B15E08">
      <w:pPr>
        <w:pStyle w:val="NoSpacing"/>
        <w:jc w:val="both"/>
        <w:rPr>
          <w:rFonts w:eastAsiaTheme="minorEastAsia"/>
          <w:b/>
        </w:rPr>
      </w:pPr>
      <w:r w:rsidRPr="00C55A76">
        <w:rPr>
          <w:rFonts w:eastAsiaTheme="minorEastAsia"/>
          <w:b/>
        </w:rPr>
        <w:t>V</w:t>
      </w:r>
      <w:r w:rsidR="0093460E">
        <w:rPr>
          <w:rFonts w:eastAsiaTheme="minorEastAsia"/>
          <w:b/>
        </w:rPr>
        <w:t xml:space="preserve">iolence </w:t>
      </w:r>
      <w:r w:rsidRPr="00C55A76">
        <w:rPr>
          <w:rFonts w:eastAsiaTheme="minorEastAsia"/>
          <w:b/>
        </w:rPr>
        <w:t>R</w:t>
      </w:r>
      <w:r w:rsidR="0093460E">
        <w:rPr>
          <w:rFonts w:eastAsiaTheme="minorEastAsia"/>
          <w:b/>
        </w:rPr>
        <w:t xml:space="preserve">eduction </w:t>
      </w:r>
      <w:r w:rsidRPr="00C55A76">
        <w:rPr>
          <w:rFonts w:eastAsiaTheme="minorEastAsia"/>
          <w:b/>
        </w:rPr>
        <w:t>P</w:t>
      </w:r>
      <w:r w:rsidR="0093460E">
        <w:rPr>
          <w:rFonts w:eastAsiaTheme="minorEastAsia"/>
          <w:b/>
        </w:rPr>
        <w:t>artnership</w:t>
      </w:r>
    </w:p>
    <w:p w14:paraId="43035435" w14:textId="77777777" w:rsidR="00753283" w:rsidRPr="00C55A76" w:rsidRDefault="00753283" w:rsidP="00B15E08">
      <w:pPr>
        <w:pStyle w:val="NoSpacing"/>
        <w:jc w:val="both"/>
        <w:rPr>
          <w:rFonts w:eastAsiaTheme="minorEastAsia"/>
          <w:b/>
        </w:rPr>
      </w:pPr>
    </w:p>
    <w:p w14:paraId="1CD0121E" w14:textId="1BEAFF5E" w:rsidR="002A4F30" w:rsidRPr="002A4F30" w:rsidRDefault="00E95A20" w:rsidP="00E95A20">
      <w:pPr>
        <w:pStyle w:val="NoSpacing"/>
        <w:ind w:left="720" w:hanging="720"/>
        <w:jc w:val="both"/>
      </w:pPr>
      <w:r>
        <w:rPr>
          <w:rFonts w:eastAsiaTheme="minorEastAsia"/>
        </w:rPr>
        <w:t>9.</w:t>
      </w:r>
      <w:r w:rsidR="00396E56">
        <w:rPr>
          <w:rFonts w:eastAsiaTheme="minorEastAsia"/>
        </w:rPr>
        <w:t>42</w:t>
      </w:r>
      <w:r>
        <w:rPr>
          <w:rFonts w:eastAsiaTheme="minorEastAsia"/>
        </w:rPr>
        <w:tab/>
      </w:r>
      <w:r w:rsidR="002A4F30" w:rsidRPr="002A4F30">
        <w:rPr>
          <w:rFonts w:eastAsiaTheme="minorEastAsia"/>
        </w:rPr>
        <w:t>The VRP continue to deliver their 2022-25 Response Strategy which</w:t>
      </w:r>
      <w:r w:rsidR="002A4F30" w:rsidRPr="002A4F30">
        <w:rPr>
          <w:bCs/>
        </w:rPr>
        <w:t xml:space="preserve"> outlines how the VRP will work with partners, including the Youth Justice Service to prevent and reduce the impact of serious violence locally, with a particular focus on children and young people under the age of 25 years. The Strategy draws on findings and recommendations </w:t>
      </w:r>
      <w:r w:rsidR="002A4F30" w:rsidRPr="002A4F30">
        <w:t>from the recently published Serious Violence Strategic Needs Assessment (SNA), which provides a comprehensive analysis of serious violence, and the context and complexity in which violence arises across the Nottingham.</w:t>
      </w:r>
    </w:p>
    <w:p w14:paraId="65E61491" w14:textId="77777777" w:rsidR="00C55A76" w:rsidRDefault="00C55A76" w:rsidP="00B15E08">
      <w:pPr>
        <w:pStyle w:val="NoSpacing"/>
        <w:jc w:val="both"/>
      </w:pPr>
    </w:p>
    <w:p w14:paraId="7553D8B2" w14:textId="22C338C6" w:rsidR="002A4F30" w:rsidRPr="002A4F30" w:rsidRDefault="00E95A20" w:rsidP="00E95A20">
      <w:pPr>
        <w:pStyle w:val="NoSpacing"/>
        <w:ind w:left="720" w:hanging="720"/>
        <w:jc w:val="both"/>
      </w:pPr>
      <w:r>
        <w:t>9.</w:t>
      </w:r>
      <w:r w:rsidR="00396E56">
        <w:t>43</w:t>
      </w:r>
      <w:r>
        <w:tab/>
      </w:r>
      <w:r w:rsidR="002A4F30" w:rsidRPr="002A4F30">
        <w:t>Most significantly, on 31</w:t>
      </w:r>
      <w:r w:rsidR="002A4F30" w:rsidRPr="002A4F30">
        <w:rPr>
          <w:vertAlign w:val="superscript"/>
        </w:rPr>
        <w:t>st</w:t>
      </w:r>
      <w:r w:rsidR="002A4F30" w:rsidRPr="002A4F30">
        <w:t xml:space="preserve"> January 2023, the Serious Violence Duty came into effect and the VRP are leading the implementation of the Duty on behalf of the specified authorities; local authorities, Police, Fire and Rescue, the Probation Service, Youth </w:t>
      </w:r>
      <w:r w:rsidR="006D1BEE">
        <w:t>Justice Services</w:t>
      </w:r>
      <w:r w:rsidR="002A4F30" w:rsidRPr="002A4F30">
        <w:t xml:space="preserve">, and Integrated Care Boards, to collaborate and plan to prevent and reduce serious violence.  This provides opportunities in terms of data and information and the YJS are fully engaged to achieve compliance in January 2024. </w:t>
      </w:r>
    </w:p>
    <w:p w14:paraId="72D40975" w14:textId="77777777" w:rsidR="00C55A76" w:rsidRDefault="00C55A76" w:rsidP="00B15E08">
      <w:pPr>
        <w:pStyle w:val="NoSpacing"/>
        <w:jc w:val="both"/>
      </w:pPr>
    </w:p>
    <w:p w14:paraId="2CAD0FAA" w14:textId="7D0A2912" w:rsidR="002A4F30" w:rsidRDefault="00E95A20" w:rsidP="00E95A20">
      <w:pPr>
        <w:pStyle w:val="NoSpacing"/>
        <w:ind w:left="720" w:hanging="720"/>
        <w:jc w:val="both"/>
        <w:rPr>
          <w:lang w:val="en-US"/>
        </w:rPr>
      </w:pPr>
      <w:r>
        <w:t>9.</w:t>
      </w:r>
      <w:r w:rsidR="00396E56">
        <w:t>44</w:t>
      </w:r>
      <w:r>
        <w:tab/>
      </w:r>
      <w:r w:rsidR="002A4F30" w:rsidRPr="002A4F30">
        <w:t xml:space="preserve">The VRP are focussed on delivering two key strategies.  </w:t>
      </w:r>
      <w:r w:rsidR="002A4F30" w:rsidRPr="002A4F30">
        <w:rPr>
          <w:lang w:val="en-US"/>
        </w:rPr>
        <w:t xml:space="preserve">The Trauma Informed Strategy will ensure that trauma informed approaches are embedded across partnership services, including YJS, health, education, police and probation and prisons. This will include assessing the readiness of partner </w:t>
      </w:r>
      <w:r w:rsidR="002A4F30" w:rsidRPr="002A4F30">
        <w:t>organisations</w:t>
      </w:r>
      <w:r w:rsidR="002A4F30" w:rsidRPr="002A4F30">
        <w:rPr>
          <w:lang w:val="en-US"/>
        </w:rPr>
        <w:t xml:space="preserve"> and assisting them to develop and implement internal plans, which will extend to workforce development and review of policy and practice.  </w:t>
      </w:r>
    </w:p>
    <w:p w14:paraId="70A71F3C" w14:textId="77777777" w:rsidR="00C55A76" w:rsidRPr="002A4F30" w:rsidRDefault="00C55A76" w:rsidP="00B15E08">
      <w:pPr>
        <w:pStyle w:val="NoSpacing"/>
        <w:jc w:val="both"/>
        <w:rPr>
          <w:lang w:val="en-US"/>
        </w:rPr>
      </w:pPr>
    </w:p>
    <w:p w14:paraId="063EAEEC" w14:textId="0A3A3252" w:rsidR="002A4F30" w:rsidRDefault="00E95A20" w:rsidP="00E95A20">
      <w:pPr>
        <w:pStyle w:val="NoSpacing"/>
        <w:ind w:left="720" w:hanging="720"/>
        <w:jc w:val="both"/>
      </w:pPr>
      <w:r>
        <w:rPr>
          <w:lang w:val="en-US"/>
        </w:rPr>
        <w:t>9.</w:t>
      </w:r>
      <w:r w:rsidR="00FE3AD3">
        <w:rPr>
          <w:lang w:val="en-US"/>
        </w:rPr>
        <w:t>4</w:t>
      </w:r>
      <w:r w:rsidR="00396E56">
        <w:rPr>
          <w:lang w:val="en-US"/>
        </w:rPr>
        <w:t>5</w:t>
      </w:r>
      <w:r>
        <w:rPr>
          <w:lang w:val="en-US"/>
        </w:rPr>
        <w:tab/>
      </w:r>
      <w:r w:rsidR="002A4F30" w:rsidRPr="002A4F30">
        <w:rPr>
          <w:lang w:val="en-US"/>
        </w:rPr>
        <w:t xml:space="preserve">The </w:t>
      </w:r>
      <w:r w:rsidR="002A4F30" w:rsidRPr="002A4F30">
        <w:t xml:space="preserve">Youth Work Strategy includes three key components, a Youth Charter, setting out expected standards of youth provision, a Tailored Quality </w:t>
      </w:r>
      <w:r w:rsidR="00C55A76" w:rsidRPr="002A4F30">
        <w:t>Mark,</w:t>
      </w:r>
      <w:r w:rsidR="002A4F30" w:rsidRPr="002A4F30">
        <w:t xml:space="preserve"> and a Training Pathways Framework. The aim of the strategy is to increase access to accredited training pathways for voluntary and community sector practitioners working in the targeted youth diversion space to ensure provision is delivered to a high quality and that young people are properly safeguarded and additional needs are met. This will help disseminate best practise throughout the sector and provide assurance for interventions accessed by the YJS cohort.  </w:t>
      </w:r>
    </w:p>
    <w:p w14:paraId="3758EADB" w14:textId="77777777" w:rsidR="00C55A76" w:rsidRPr="002A4F30" w:rsidRDefault="00C55A76" w:rsidP="00B15E08">
      <w:pPr>
        <w:pStyle w:val="NoSpacing"/>
        <w:jc w:val="both"/>
      </w:pPr>
    </w:p>
    <w:p w14:paraId="563B71FF" w14:textId="7614C4B5" w:rsidR="006D1BEE" w:rsidRDefault="00E95A20" w:rsidP="00F1227C">
      <w:pPr>
        <w:pStyle w:val="NoSpacing"/>
        <w:tabs>
          <w:tab w:val="left" w:pos="709"/>
        </w:tabs>
        <w:ind w:left="709" w:hanging="709"/>
        <w:jc w:val="both"/>
      </w:pPr>
      <w:r>
        <w:t>9.</w:t>
      </w:r>
      <w:r w:rsidR="00FE3AD3">
        <w:t>4</w:t>
      </w:r>
      <w:r w:rsidR="00396E56">
        <w:t>6</w:t>
      </w:r>
      <w:r>
        <w:tab/>
      </w:r>
      <w:r w:rsidR="002A4F30" w:rsidRPr="002A4F30">
        <w:t>During 2022/23 the VRP have secured match funded and also co-laboratory partnership funded PhD researchers.  The PhD projects include:</w:t>
      </w:r>
    </w:p>
    <w:p w14:paraId="67CDEBF9" w14:textId="77777777" w:rsidR="006D1BEE" w:rsidRPr="002A4F30" w:rsidRDefault="006D1BEE" w:rsidP="00B15E08">
      <w:pPr>
        <w:pStyle w:val="NoSpacing"/>
        <w:jc w:val="both"/>
      </w:pPr>
    </w:p>
    <w:p w14:paraId="4A76A484" w14:textId="72096346" w:rsidR="002A4F30" w:rsidRDefault="002A4F30" w:rsidP="00E95A20">
      <w:pPr>
        <w:pStyle w:val="NoSpacing"/>
        <w:numPr>
          <w:ilvl w:val="0"/>
          <w:numId w:val="15"/>
        </w:numPr>
        <w:ind w:left="1134" w:right="521"/>
        <w:jc w:val="both"/>
      </w:pPr>
      <w:r w:rsidRPr="002A4F30">
        <w:t>Ethnic and Racial Disproportionality and Serious Violence.  This will explore how individual risk factors are experienced within a wider social context of disadvantage and structural racism, including an understanding of the ‘transmission’ of discrimination.  It will also seek to identify barriers in addressing disproportionality in the criminal justice system and apply learning from other disciplines on cultural and transformational change that could be applied to support progress locally.</w:t>
      </w:r>
    </w:p>
    <w:p w14:paraId="6D32572F" w14:textId="77777777" w:rsidR="00C55A76" w:rsidRPr="002A4F30" w:rsidRDefault="00C55A76" w:rsidP="00E95A20">
      <w:pPr>
        <w:pStyle w:val="NoSpacing"/>
        <w:ind w:left="1134" w:right="521"/>
        <w:jc w:val="both"/>
      </w:pPr>
    </w:p>
    <w:p w14:paraId="36159637" w14:textId="33BC4930" w:rsidR="002A4F30" w:rsidRPr="00C55A76" w:rsidRDefault="002A4F30" w:rsidP="00E95A20">
      <w:pPr>
        <w:pStyle w:val="NoSpacing"/>
        <w:numPr>
          <w:ilvl w:val="0"/>
          <w:numId w:val="15"/>
        </w:numPr>
        <w:ind w:left="1134" w:right="521"/>
        <w:jc w:val="both"/>
        <w:rPr>
          <w:bCs/>
        </w:rPr>
      </w:pPr>
      <w:r w:rsidRPr="00C55A76">
        <w:rPr>
          <w:bCs/>
        </w:rPr>
        <w:t>Understanding and responding to youth violence – blending data science with lived experience.</w:t>
      </w:r>
      <w:r w:rsidR="00C55A76">
        <w:rPr>
          <w:bCs/>
        </w:rPr>
        <w:t xml:space="preserve"> </w:t>
      </w:r>
      <w:r w:rsidRPr="00C55A76">
        <w:rPr>
          <w:bCs/>
        </w:rPr>
        <w:t xml:space="preserve">The aims are to ensure lived experience is reflected in local decision making and deployed data analytics to reduce serious violence and to enable best practice data analytics to be included in evidence informed approaches to reducing </w:t>
      </w:r>
      <w:r w:rsidRPr="00C55A76">
        <w:rPr>
          <w:bCs/>
        </w:rPr>
        <w:lastRenderedPageBreak/>
        <w:t>serious violence and improve the accessibility of the targeted professionals and community.</w:t>
      </w:r>
    </w:p>
    <w:p w14:paraId="00A23DA7" w14:textId="77777777" w:rsidR="00C55A76" w:rsidRDefault="00C55A76" w:rsidP="00B15E08">
      <w:pPr>
        <w:pStyle w:val="NoSpacing"/>
        <w:jc w:val="both"/>
        <w:rPr>
          <w:bCs/>
        </w:rPr>
      </w:pPr>
    </w:p>
    <w:p w14:paraId="75308C60" w14:textId="332FFD76" w:rsidR="002A4F30" w:rsidRPr="002A4F30" w:rsidRDefault="00E95A20" w:rsidP="00E95A20">
      <w:pPr>
        <w:pStyle w:val="NoSpacing"/>
        <w:ind w:left="720" w:hanging="720"/>
        <w:jc w:val="both"/>
        <w:rPr>
          <w:bCs/>
        </w:rPr>
      </w:pPr>
      <w:r>
        <w:rPr>
          <w:bCs/>
        </w:rPr>
        <w:t>9.</w:t>
      </w:r>
      <w:r w:rsidR="00FE3AD3">
        <w:rPr>
          <w:bCs/>
        </w:rPr>
        <w:t>4</w:t>
      </w:r>
      <w:r w:rsidR="00396E56">
        <w:rPr>
          <w:bCs/>
        </w:rPr>
        <w:t>7</w:t>
      </w:r>
      <w:r>
        <w:rPr>
          <w:bCs/>
        </w:rPr>
        <w:tab/>
      </w:r>
      <w:r w:rsidR="002A4F30" w:rsidRPr="002A4F30">
        <w:rPr>
          <w:bCs/>
        </w:rPr>
        <w:t>During 2023/24, as agreed with the partnership, a proportion of the SVD funding will be leveraged to commission a further piece of research in respect of the high rate of first-time entrants (aged 10-17) into the criminal justice system.</w:t>
      </w:r>
    </w:p>
    <w:p w14:paraId="5B3DEF12" w14:textId="77777777" w:rsidR="00C55A76" w:rsidRDefault="00C55A76" w:rsidP="00B15E08">
      <w:pPr>
        <w:pStyle w:val="NoSpacing"/>
        <w:jc w:val="both"/>
        <w:rPr>
          <w:bCs/>
        </w:rPr>
      </w:pPr>
    </w:p>
    <w:p w14:paraId="62863B41" w14:textId="5C597BC8" w:rsidR="002A4F30" w:rsidRPr="002A4F30" w:rsidRDefault="00F1227C" w:rsidP="00F1227C">
      <w:pPr>
        <w:pStyle w:val="NoSpacing"/>
        <w:ind w:left="720" w:hanging="720"/>
        <w:jc w:val="both"/>
        <w:rPr>
          <w:bCs/>
        </w:rPr>
      </w:pPr>
      <w:r>
        <w:rPr>
          <w:bCs/>
        </w:rPr>
        <w:t>9.</w:t>
      </w:r>
      <w:r w:rsidR="00FE3AD3">
        <w:rPr>
          <w:bCs/>
        </w:rPr>
        <w:t>4</w:t>
      </w:r>
      <w:r w:rsidR="00396E56">
        <w:rPr>
          <w:bCs/>
        </w:rPr>
        <w:t>8</w:t>
      </w:r>
      <w:r>
        <w:rPr>
          <w:bCs/>
        </w:rPr>
        <w:tab/>
      </w:r>
      <w:r w:rsidR="002A4F30" w:rsidRPr="002A4F30">
        <w:rPr>
          <w:bCs/>
        </w:rPr>
        <w:t>These research pieces directly align with the strategic needs assessment and response strategy and will broaden our understanding and strengthen sustainable approaches to violence reduction across the partnership.</w:t>
      </w:r>
    </w:p>
    <w:p w14:paraId="2457EE50" w14:textId="77777777" w:rsidR="00F1227C" w:rsidRDefault="00F1227C" w:rsidP="00B15E08">
      <w:pPr>
        <w:pStyle w:val="NoSpacing"/>
        <w:jc w:val="both"/>
        <w:rPr>
          <w:rFonts w:cstheme="minorHAnsi"/>
          <w:b/>
          <w:bCs/>
          <w:lang w:eastAsia="en-GB"/>
        </w:rPr>
      </w:pPr>
    </w:p>
    <w:p w14:paraId="7C545CDB" w14:textId="47F8EBEC" w:rsidR="0079185B" w:rsidRDefault="0079185B" w:rsidP="00B15E08">
      <w:pPr>
        <w:pStyle w:val="NoSpacing"/>
        <w:jc w:val="both"/>
        <w:rPr>
          <w:rFonts w:cstheme="minorHAnsi"/>
          <w:b/>
          <w:bCs/>
          <w:lang w:eastAsia="en-GB"/>
        </w:rPr>
      </w:pPr>
      <w:r w:rsidRPr="00C53B1E">
        <w:rPr>
          <w:rFonts w:cstheme="minorHAnsi"/>
          <w:b/>
          <w:bCs/>
          <w:lang w:eastAsia="en-GB"/>
        </w:rPr>
        <w:t>Detention in police custody</w:t>
      </w:r>
      <w:r w:rsidR="00ED2BE2" w:rsidRPr="00C53B1E">
        <w:rPr>
          <w:rFonts w:cstheme="minorHAnsi"/>
          <w:b/>
          <w:bCs/>
          <w:lang w:eastAsia="en-GB"/>
        </w:rPr>
        <w:t xml:space="preserve">, </w:t>
      </w:r>
      <w:r w:rsidRPr="00C53B1E">
        <w:rPr>
          <w:rFonts w:cstheme="minorHAnsi"/>
          <w:b/>
          <w:bCs/>
          <w:lang w:eastAsia="en-GB"/>
        </w:rPr>
        <w:t>Remands</w:t>
      </w:r>
      <w:r w:rsidR="00ED2BE2" w:rsidRPr="00C53B1E">
        <w:rPr>
          <w:rFonts w:cstheme="minorHAnsi"/>
          <w:b/>
          <w:bCs/>
          <w:lang w:eastAsia="en-GB"/>
        </w:rPr>
        <w:t xml:space="preserve">, </w:t>
      </w:r>
      <w:r w:rsidRPr="00C53B1E">
        <w:rPr>
          <w:rFonts w:cstheme="minorHAnsi"/>
          <w:b/>
          <w:bCs/>
          <w:lang w:eastAsia="en-GB"/>
        </w:rPr>
        <w:t>Use of custody</w:t>
      </w:r>
      <w:r w:rsidR="00ED2BE2" w:rsidRPr="00C53B1E">
        <w:rPr>
          <w:rFonts w:cstheme="minorHAnsi"/>
          <w:b/>
          <w:bCs/>
          <w:lang w:eastAsia="en-GB"/>
        </w:rPr>
        <w:t xml:space="preserve"> and </w:t>
      </w:r>
      <w:r w:rsidRPr="00C53B1E">
        <w:rPr>
          <w:rFonts w:cstheme="minorHAnsi"/>
          <w:b/>
          <w:bCs/>
          <w:lang w:eastAsia="en-GB"/>
        </w:rPr>
        <w:t>Constructive resettlement</w:t>
      </w:r>
    </w:p>
    <w:p w14:paraId="337FAA81" w14:textId="77777777" w:rsidR="00753283" w:rsidRPr="00C53B1E" w:rsidRDefault="00753283" w:rsidP="00B15E08">
      <w:pPr>
        <w:pStyle w:val="NoSpacing"/>
        <w:jc w:val="both"/>
        <w:rPr>
          <w:rFonts w:cstheme="minorHAnsi"/>
          <w:b/>
          <w:bCs/>
          <w:lang w:eastAsia="en-GB"/>
        </w:rPr>
      </w:pPr>
    </w:p>
    <w:p w14:paraId="41777575" w14:textId="00A0B1AF" w:rsidR="007D2855" w:rsidRPr="00C53B1E" w:rsidRDefault="00F1227C" w:rsidP="00F1227C">
      <w:pPr>
        <w:pStyle w:val="Default"/>
        <w:ind w:left="709" w:hanging="709"/>
        <w:jc w:val="both"/>
        <w:rPr>
          <w:rFonts w:asciiTheme="minorHAnsi" w:hAnsiTheme="minorHAnsi" w:cstheme="minorHAnsi"/>
          <w:sz w:val="22"/>
          <w:szCs w:val="22"/>
        </w:rPr>
      </w:pPr>
      <w:r>
        <w:rPr>
          <w:rFonts w:asciiTheme="minorHAnsi" w:hAnsiTheme="minorHAnsi" w:cstheme="minorHAnsi"/>
          <w:color w:val="auto"/>
          <w:sz w:val="22"/>
          <w:szCs w:val="22"/>
        </w:rPr>
        <w:t>9.</w:t>
      </w:r>
      <w:r w:rsidR="00396E56">
        <w:rPr>
          <w:rFonts w:asciiTheme="minorHAnsi" w:hAnsiTheme="minorHAnsi" w:cstheme="minorHAnsi"/>
          <w:color w:val="auto"/>
          <w:sz w:val="22"/>
          <w:szCs w:val="22"/>
        </w:rPr>
        <w:t>50</w:t>
      </w:r>
      <w:r>
        <w:rPr>
          <w:rFonts w:asciiTheme="minorHAnsi" w:hAnsiTheme="minorHAnsi" w:cstheme="minorHAnsi"/>
          <w:color w:val="auto"/>
          <w:sz w:val="22"/>
          <w:szCs w:val="22"/>
        </w:rPr>
        <w:tab/>
      </w:r>
      <w:r w:rsidR="007D2855" w:rsidRPr="00C53B1E">
        <w:rPr>
          <w:rFonts w:asciiTheme="minorHAnsi" w:hAnsiTheme="minorHAnsi" w:cstheme="minorHAnsi"/>
          <w:color w:val="auto"/>
          <w:sz w:val="22"/>
          <w:szCs w:val="22"/>
        </w:rPr>
        <w:t xml:space="preserve">The harmful effects of custody are well documented; the default position taken by Nottingham YJS is that every effort should be made to try to maintain children in the community and custody should be limited to where it is considered the only appropriate option.  Even in these instances, when a </w:t>
      </w:r>
      <w:r w:rsidR="007D2855" w:rsidRPr="00C53B1E">
        <w:rPr>
          <w:rFonts w:asciiTheme="minorHAnsi" w:hAnsiTheme="minorHAnsi" w:cstheme="minorHAnsi"/>
          <w:sz w:val="22"/>
          <w:szCs w:val="22"/>
        </w:rPr>
        <w:t>custodial outcome has been imposed, a full multi-agency case review is undertaken with a focus on ensuring that</w:t>
      </w:r>
      <w:r w:rsidR="00F25F04" w:rsidRPr="00C53B1E">
        <w:rPr>
          <w:rFonts w:asciiTheme="minorHAnsi" w:hAnsiTheme="minorHAnsi" w:cstheme="minorHAnsi"/>
          <w:sz w:val="22"/>
          <w:szCs w:val="22"/>
        </w:rPr>
        <w:t>:</w:t>
      </w:r>
    </w:p>
    <w:p w14:paraId="4A94942F" w14:textId="77777777" w:rsidR="00F25F04" w:rsidRPr="00C53B1E" w:rsidRDefault="00F25F04" w:rsidP="00B15E08">
      <w:pPr>
        <w:pStyle w:val="Default"/>
        <w:jc w:val="both"/>
        <w:rPr>
          <w:rFonts w:asciiTheme="minorHAnsi" w:hAnsiTheme="minorHAnsi" w:cstheme="minorHAnsi"/>
          <w:sz w:val="22"/>
          <w:szCs w:val="22"/>
        </w:rPr>
      </w:pPr>
    </w:p>
    <w:p w14:paraId="1EE1E61E" w14:textId="77777777" w:rsidR="007D2855" w:rsidRPr="00C53B1E" w:rsidRDefault="007D2855" w:rsidP="00F1227C">
      <w:pPr>
        <w:pStyle w:val="ListParagraph"/>
        <w:numPr>
          <w:ilvl w:val="0"/>
          <w:numId w:val="3"/>
        </w:numPr>
        <w:shd w:val="clear" w:color="auto" w:fill="FFFFFF"/>
        <w:ind w:left="1134" w:right="521"/>
        <w:rPr>
          <w:rFonts w:asciiTheme="minorHAnsi" w:hAnsiTheme="minorHAnsi" w:cstheme="minorHAnsi"/>
          <w:sz w:val="22"/>
          <w:szCs w:val="22"/>
        </w:rPr>
      </w:pPr>
      <w:r w:rsidRPr="00C53B1E">
        <w:rPr>
          <w:rFonts w:asciiTheme="minorHAnsi" w:hAnsiTheme="minorHAnsi" w:cstheme="minorHAnsi"/>
          <w:color w:val="000000"/>
          <w:sz w:val="22"/>
          <w:szCs w:val="22"/>
        </w:rPr>
        <w:t>unnecessarily negative outcomes for children are avoided </w:t>
      </w:r>
    </w:p>
    <w:p w14:paraId="5B45D3DB" w14:textId="77777777" w:rsidR="007D2855" w:rsidRPr="00C53B1E" w:rsidRDefault="007D2855" w:rsidP="00F1227C">
      <w:pPr>
        <w:pStyle w:val="ListParagraph"/>
        <w:numPr>
          <w:ilvl w:val="0"/>
          <w:numId w:val="3"/>
        </w:numPr>
        <w:shd w:val="clear" w:color="auto" w:fill="FFFFFF"/>
        <w:ind w:left="1134" w:right="521"/>
        <w:rPr>
          <w:rFonts w:asciiTheme="minorHAnsi" w:hAnsiTheme="minorHAnsi" w:cstheme="minorHAnsi"/>
          <w:sz w:val="22"/>
          <w:szCs w:val="22"/>
        </w:rPr>
      </w:pPr>
      <w:r w:rsidRPr="00C53B1E">
        <w:rPr>
          <w:rFonts w:asciiTheme="minorHAnsi" w:hAnsiTheme="minorHAnsi" w:cstheme="minorHAnsi"/>
          <w:color w:val="000000"/>
          <w:sz w:val="22"/>
          <w:szCs w:val="22"/>
        </w:rPr>
        <w:t>local community-based alternatives have been fully explored</w:t>
      </w:r>
    </w:p>
    <w:p w14:paraId="20DD52ED" w14:textId="77777777" w:rsidR="007D2855" w:rsidRPr="00C53B1E" w:rsidRDefault="007D2855" w:rsidP="00F1227C">
      <w:pPr>
        <w:pStyle w:val="ListParagraph"/>
        <w:numPr>
          <w:ilvl w:val="0"/>
          <w:numId w:val="3"/>
        </w:numPr>
        <w:shd w:val="clear" w:color="auto" w:fill="FFFFFF"/>
        <w:ind w:left="1134" w:right="521"/>
        <w:rPr>
          <w:rFonts w:asciiTheme="minorHAnsi" w:hAnsiTheme="minorHAnsi" w:cstheme="minorHAnsi"/>
          <w:sz w:val="22"/>
          <w:szCs w:val="22"/>
        </w:rPr>
      </w:pPr>
      <w:r w:rsidRPr="00C53B1E">
        <w:rPr>
          <w:rFonts w:asciiTheme="minorHAnsi" w:hAnsiTheme="minorHAnsi" w:cstheme="minorHAnsi"/>
          <w:color w:val="000000"/>
          <w:sz w:val="22"/>
          <w:szCs w:val="22"/>
        </w:rPr>
        <w:t>that there is no discrimination in the presentation of bail packages and sentencing proposals</w:t>
      </w:r>
    </w:p>
    <w:p w14:paraId="65C303D2" w14:textId="77777777" w:rsidR="007D2855" w:rsidRPr="00C53B1E" w:rsidRDefault="007D2855" w:rsidP="00F1227C">
      <w:pPr>
        <w:pStyle w:val="ListParagraph"/>
        <w:numPr>
          <w:ilvl w:val="0"/>
          <w:numId w:val="3"/>
        </w:numPr>
        <w:shd w:val="clear" w:color="auto" w:fill="FFFFFF"/>
        <w:ind w:left="1134" w:right="521"/>
        <w:rPr>
          <w:rFonts w:asciiTheme="minorHAnsi" w:hAnsiTheme="minorHAnsi" w:cstheme="minorHAnsi"/>
          <w:sz w:val="22"/>
          <w:szCs w:val="22"/>
        </w:rPr>
      </w:pPr>
      <w:r w:rsidRPr="00C53B1E">
        <w:rPr>
          <w:rFonts w:asciiTheme="minorHAnsi" w:hAnsiTheme="minorHAnsi" w:cstheme="minorHAnsi"/>
          <w:color w:val="000000"/>
          <w:sz w:val="22"/>
          <w:szCs w:val="22"/>
        </w:rPr>
        <w:t xml:space="preserve">that there is a focus on successful resettlement from the very outset, and consistently throughout the entirety of the child’s sentence. </w:t>
      </w:r>
    </w:p>
    <w:p w14:paraId="05767233" w14:textId="77777777" w:rsidR="007D2855" w:rsidRPr="00C53B1E" w:rsidRDefault="007D2855" w:rsidP="00B15E08">
      <w:pPr>
        <w:pStyle w:val="ListParagraph"/>
        <w:shd w:val="clear" w:color="auto" w:fill="FFFFFF"/>
        <w:rPr>
          <w:rFonts w:asciiTheme="minorHAnsi" w:eastAsiaTheme="minorHAnsi" w:hAnsiTheme="minorHAnsi" w:cstheme="minorHAnsi"/>
          <w:sz w:val="22"/>
          <w:szCs w:val="22"/>
        </w:rPr>
      </w:pPr>
    </w:p>
    <w:p w14:paraId="2C07B903" w14:textId="03C8814F" w:rsidR="007D2855" w:rsidRPr="00C53B1E" w:rsidRDefault="00F1227C" w:rsidP="00F1227C">
      <w:pPr>
        <w:ind w:left="720" w:hanging="720"/>
        <w:jc w:val="both"/>
        <w:rPr>
          <w:rFonts w:cstheme="minorHAnsi"/>
          <w:lang w:eastAsia="en-GB"/>
        </w:rPr>
      </w:pPr>
      <w:r>
        <w:rPr>
          <w:rFonts w:cstheme="minorHAnsi"/>
          <w:lang w:eastAsia="en-GB"/>
        </w:rPr>
        <w:t>9.</w:t>
      </w:r>
      <w:r w:rsidR="00396E56">
        <w:rPr>
          <w:rFonts w:cstheme="minorHAnsi"/>
          <w:lang w:eastAsia="en-GB"/>
        </w:rPr>
        <w:t>51</w:t>
      </w:r>
      <w:r>
        <w:rPr>
          <w:rFonts w:cstheme="minorHAnsi"/>
          <w:lang w:eastAsia="en-GB"/>
        </w:rPr>
        <w:tab/>
      </w:r>
      <w:r w:rsidR="007D2855" w:rsidRPr="00C53B1E">
        <w:rPr>
          <w:rFonts w:cstheme="minorHAnsi"/>
          <w:lang w:eastAsia="en-GB"/>
        </w:rPr>
        <w:t>The YJS Operations Manager for Performance and Development and the Children’s Integrated Services Quality Assurance Manager co-chair a quarterly multi-agency Custodial Outcomes Evaluation panel where a reflective audit is undertaken on each child.  Opportunities for learning, development and practice improvement are captured and used by core members of the panel to create learning briefing notes or short form training to be disseminated to the wider service and partnership (including the Police, education, Social Care, health</w:t>
      </w:r>
      <w:r w:rsidR="00121DD3" w:rsidRPr="00C53B1E">
        <w:rPr>
          <w:rFonts w:cstheme="minorHAnsi"/>
          <w:lang w:eastAsia="en-GB"/>
        </w:rPr>
        <w:t>,</w:t>
      </w:r>
      <w:r w:rsidR="007D2855" w:rsidRPr="00C53B1E">
        <w:rPr>
          <w:rFonts w:cstheme="minorHAnsi"/>
          <w:lang w:eastAsia="en-GB"/>
        </w:rPr>
        <w:t xml:space="preserve"> and mental health partners). </w:t>
      </w:r>
    </w:p>
    <w:p w14:paraId="34E3F9C8" w14:textId="7D33A0F8" w:rsidR="007D2855" w:rsidRPr="00C53B1E" w:rsidRDefault="00F1227C" w:rsidP="00F1227C">
      <w:pPr>
        <w:ind w:left="720" w:hanging="720"/>
        <w:jc w:val="both"/>
        <w:rPr>
          <w:rFonts w:cstheme="minorHAnsi"/>
          <w:lang w:eastAsia="en-GB"/>
        </w:rPr>
      </w:pPr>
      <w:r>
        <w:rPr>
          <w:rFonts w:cstheme="minorHAnsi"/>
          <w:lang w:eastAsia="en-GB"/>
        </w:rPr>
        <w:t>9.</w:t>
      </w:r>
      <w:r w:rsidR="00396E56">
        <w:rPr>
          <w:rFonts w:cstheme="minorHAnsi"/>
          <w:lang w:eastAsia="en-GB"/>
        </w:rPr>
        <w:t>52</w:t>
      </w:r>
      <w:r>
        <w:rPr>
          <w:rFonts w:cstheme="minorHAnsi"/>
          <w:lang w:eastAsia="en-GB"/>
        </w:rPr>
        <w:tab/>
      </w:r>
      <w:r w:rsidR="007D2855" w:rsidRPr="00C53B1E">
        <w:rPr>
          <w:rFonts w:cstheme="minorHAnsi"/>
          <w:lang w:eastAsia="en-GB"/>
        </w:rPr>
        <w:t xml:space="preserve">In addition, a review of all remand and custodial outcomes is undertaken by the YJS Operations Manager for Performance and Development with a view to identifying and analysing any patterns, identification of need, or disproportionality.  This is a regular feature of the performance reporting to the Youth Justice Service Management </w:t>
      </w:r>
      <w:r w:rsidR="00121DD3" w:rsidRPr="00C53B1E">
        <w:rPr>
          <w:rFonts w:cstheme="minorHAnsi"/>
          <w:lang w:eastAsia="en-GB"/>
        </w:rPr>
        <w:t>Board but</w:t>
      </w:r>
      <w:r w:rsidR="007D2855" w:rsidRPr="00C53B1E">
        <w:rPr>
          <w:rFonts w:cstheme="minorHAnsi"/>
          <w:lang w:eastAsia="en-GB"/>
        </w:rPr>
        <w:t xml:space="preserve"> has also been featured within Thematic case audits completed by the YJS Management Team.</w:t>
      </w:r>
    </w:p>
    <w:p w14:paraId="7254B71D" w14:textId="3DCF46BA" w:rsidR="003D451E" w:rsidRDefault="00F1227C" w:rsidP="00301002">
      <w:pPr>
        <w:ind w:left="720" w:hanging="720"/>
        <w:jc w:val="both"/>
      </w:pPr>
      <w:r>
        <w:rPr>
          <w:rFonts w:cstheme="minorHAnsi"/>
          <w:lang w:eastAsia="en-GB"/>
        </w:rPr>
        <w:t>9.</w:t>
      </w:r>
      <w:r w:rsidR="00396E56">
        <w:rPr>
          <w:rFonts w:cstheme="minorHAnsi"/>
          <w:lang w:eastAsia="en-GB"/>
        </w:rPr>
        <w:t>53</w:t>
      </w:r>
      <w:r>
        <w:rPr>
          <w:rFonts w:cstheme="minorHAnsi"/>
          <w:lang w:eastAsia="en-GB"/>
        </w:rPr>
        <w:tab/>
      </w:r>
      <w:r w:rsidR="00ED2BE2" w:rsidRPr="00C53B1E">
        <w:rPr>
          <w:rFonts w:cstheme="minorHAnsi"/>
          <w:lang w:eastAsia="en-GB"/>
        </w:rPr>
        <w:t>In addition to the Custodial Outcomes Evaluation Panel, Nottingham YJS works collaboratively with Children’s Integrated Services to ensure that the accommodation (and any other identified) needs of children in custody are addressed proactively prior to release.  This includes the early identification of any child who may be in need of accommodation support on release and collaborative work with social care to identify and secure an appropriate resettlement pathway in advance of their custodial release, taking account of the range of needs that may need to be considered such as mental health, emotional well-being, and education, as well as accommodation itself.</w:t>
      </w:r>
    </w:p>
    <w:p w14:paraId="3701CAD2" w14:textId="6624AEB7" w:rsidR="003D451E" w:rsidRDefault="00F1227C" w:rsidP="00F1227C">
      <w:pPr>
        <w:pStyle w:val="NoSpacing"/>
        <w:ind w:left="720" w:hanging="720"/>
        <w:jc w:val="both"/>
      </w:pPr>
      <w:r>
        <w:t>9.</w:t>
      </w:r>
      <w:r w:rsidR="00396E56">
        <w:t>54</w:t>
      </w:r>
      <w:r>
        <w:tab/>
      </w:r>
      <w:r w:rsidR="003D451E">
        <w:t xml:space="preserve">In the last 12 months, 11 children have been subject to custodial terms.  Of these, </w:t>
      </w:r>
      <w:r w:rsidR="00371B87">
        <w:t>six</w:t>
      </w:r>
      <w:r w:rsidR="003D451E">
        <w:t xml:space="preserve"> are currently still in custody, and most serving long-term sentences.  Regarding those who are </w:t>
      </w:r>
      <w:r w:rsidR="003D451E">
        <w:lastRenderedPageBreak/>
        <w:t>eligible for release in the forthcoming months, multi-agency partnership work (with health, education</w:t>
      </w:r>
      <w:r w:rsidR="00371B87">
        <w:t>,</w:t>
      </w:r>
      <w:r w:rsidR="003D451E">
        <w:t xml:space="preserve"> and social care amongst others) is underway to support their resettlement back into the community.  For one of these children, this includes active collaboration and planning with children’s social care who will be providing accommodation suitable to the child’s risk and safety and wellbeing needs.</w:t>
      </w:r>
    </w:p>
    <w:p w14:paraId="5ACEBAB8" w14:textId="77777777" w:rsidR="003D451E" w:rsidRDefault="003D451E" w:rsidP="00B15E08">
      <w:pPr>
        <w:pStyle w:val="NoSpacing"/>
        <w:jc w:val="both"/>
      </w:pPr>
    </w:p>
    <w:p w14:paraId="47DE1C47" w14:textId="52606CBF" w:rsidR="003D451E" w:rsidRDefault="00F1227C" w:rsidP="00F1227C">
      <w:pPr>
        <w:pStyle w:val="NoSpacing"/>
        <w:ind w:left="720" w:hanging="720"/>
        <w:jc w:val="both"/>
      </w:pPr>
      <w:r>
        <w:t>9.</w:t>
      </w:r>
      <w:r w:rsidR="00396E56">
        <w:t>55</w:t>
      </w:r>
      <w:r>
        <w:tab/>
      </w:r>
      <w:r w:rsidR="003D451E">
        <w:t xml:space="preserve">Of the </w:t>
      </w:r>
      <w:r w:rsidR="007358F4">
        <w:t>five</w:t>
      </w:r>
      <w:r>
        <w:t xml:space="preserve"> </w:t>
      </w:r>
      <w:r w:rsidR="003D451E">
        <w:t xml:space="preserve">children who have been released in the last 12 months, </w:t>
      </w:r>
      <w:r w:rsidR="00A97E87">
        <w:t xml:space="preserve">two </w:t>
      </w:r>
      <w:r w:rsidR="003D451E">
        <w:t>were released to their family home address, with planned resettlement packages of support that involved health, mental health, ETE, mentoring and constructive leisure, as well as appropriate licence conditions and targeted intervention support to be delivered by YJS.  </w:t>
      </w:r>
      <w:r w:rsidR="00A97E87">
        <w:t xml:space="preserve">Three </w:t>
      </w:r>
      <w:r w:rsidR="003D451E">
        <w:t>children were resettled to Children’s Social Care placements, assessed as suitable to their risks</w:t>
      </w:r>
      <w:r w:rsidR="00371B87">
        <w:t>,</w:t>
      </w:r>
      <w:r w:rsidR="003D451E">
        <w:t xml:space="preserve"> and needs and identified in advance of their release via a collaborative placement search process undertaken by their social workers in full collaboration with both Nottingham YJS and secure estate staff.</w:t>
      </w:r>
    </w:p>
    <w:p w14:paraId="7CCF906F" w14:textId="207B8C26" w:rsidR="00371B87" w:rsidRDefault="00371B87" w:rsidP="00B15E08">
      <w:pPr>
        <w:pStyle w:val="NoSpacing"/>
        <w:jc w:val="both"/>
      </w:pPr>
    </w:p>
    <w:p w14:paraId="2B7A6057" w14:textId="52BDC7A6" w:rsidR="0052255E" w:rsidRDefault="00F1227C" w:rsidP="00F1227C">
      <w:pPr>
        <w:pStyle w:val="NoSpacing"/>
        <w:ind w:left="720" w:hanging="720"/>
        <w:jc w:val="both"/>
      </w:pPr>
      <w:r>
        <w:t>9.</w:t>
      </w:r>
      <w:r w:rsidR="00FE3AD3">
        <w:t>5</w:t>
      </w:r>
      <w:r w:rsidR="00396E56">
        <w:t>6</w:t>
      </w:r>
      <w:r>
        <w:tab/>
      </w:r>
      <w:r w:rsidR="00A97E87">
        <w:t>As introduced in last year’s plan, the Service has been delivering a custody</w:t>
      </w:r>
      <w:r w:rsidR="00BD657C">
        <w:t>-</w:t>
      </w:r>
      <w:r w:rsidR="00A97E87">
        <w:t xml:space="preserve">based intervention programme, </w:t>
      </w:r>
      <w:r w:rsidR="0052255E">
        <w:t>Divert Plus</w:t>
      </w:r>
      <w:r w:rsidR="00BD657C">
        <w:t xml:space="preserve">. This programme </w:t>
      </w:r>
      <w:r w:rsidR="0052255E">
        <w:t xml:space="preserve">received funding from the Youth Endowment Fund from May 2022. It was a partnership approach supported by Nottingham City YJS, Nottinghamshire YJS, Nottinghamshire Police, </w:t>
      </w:r>
      <w:r w:rsidR="0052255E" w:rsidRPr="005B746E">
        <w:t>Nottinghamshire Health Care NHS Foundation Trust</w:t>
      </w:r>
      <w:r w:rsidR="0052255E">
        <w:t xml:space="preserve"> and Nottinghamshire VRP. It enabled the YJS to have a staff presence in police custody, supported by a team of speech and language therapists. It also </w:t>
      </w:r>
      <w:proofErr w:type="gramStart"/>
      <w:r w:rsidR="0052255E">
        <w:t>provide</w:t>
      </w:r>
      <w:proofErr w:type="gramEnd"/>
      <w:r w:rsidR="0052255E">
        <w:t xml:space="preserve"> an additional offer of mentoring support from a range of voluntary sector providers.</w:t>
      </w:r>
    </w:p>
    <w:p w14:paraId="69AEA6E2" w14:textId="77777777" w:rsidR="005741B6" w:rsidRDefault="005741B6" w:rsidP="00B15E08">
      <w:pPr>
        <w:pStyle w:val="NoSpacing"/>
        <w:jc w:val="both"/>
      </w:pPr>
    </w:p>
    <w:p w14:paraId="10CEA7B9" w14:textId="1FECEFFC" w:rsidR="0052255E" w:rsidRDefault="00F1227C" w:rsidP="00F1227C">
      <w:pPr>
        <w:pStyle w:val="NoSpacing"/>
        <w:ind w:left="709" w:hanging="709"/>
        <w:jc w:val="both"/>
      </w:pPr>
      <w:r>
        <w:t>9.</w:t>
      </w:r>
      <w:r w:rsidR="00FE3AD3">
        <w:t>5</w:t>
      </w:r>
      <w:r w:rsidR="00396E56">
        <w:t>7</w:t>
      </w:r>
      <w:r>
        <w:tab/>
      </w:r>
      <w:r w:rsidR="0052255E">
        <w:t>The project objectives were to test what is described as a ‘Reachable/ Teachable’ moment. Its aims were:</w:t>
      </w:r>
    </w:p>
    <w:p w14:paraId="63052DEF" w14:textId="77777777" w:rsidR="0052255E" w:rsidRPr="001D1102" w:rsidRDefault="0052255E" w:rsidP="00F1227C">
      <w:pPr>
        <w:pStyle w:val="NoSpacing"/>
        <w:numPr>
          <w:ilvl w:val="0"/>
          <w:numId w:val="12"/>
        </w:numPr>
        <w:ind w:left="1134" w:right="521" w:hanging="283"/>
        <w:jc w:val="both"/>
      </w:pPr>
      <w:r w:rsidRPr="001D1102">
        <w:t>Preventing children entering the criminal justice system</w:t>
      </w:r>
    </w:p>
    <w:p w14:paraId="58C01FD6" w14:textId="77777777" w:rsidR="0052255E" w:rsidRPr="001D1102" w:rsidRDefault="0052255E" w:rsidP="00F1227C">
      <w:pPr>
        <w:pStyle w:val="NoSpacing"/>
        <w:numPr>
          <w:ilvl w:val="0"/>
          <w:numId w:val="12"/>
        </w:numPr>
        <w:ind w:left="1134" w:right="521" w:hanging="283"/>
        <w:jc w:val="both"/>
      </w:pPr>
      <w:r w:rsidRPr="001D1102">
        <w:t>Swift intervention and diversion</w:t>
      </w:r>
    </w:p>
    <w:p w14:paraId="5D9231CD" w14:textId="77777777" w:rsidR="0052255E" w:rsidRPr="001D1102" w:rsidRDefault="0052255E" w:rsidP="00F1227C">
      <w:pPr>
        <w:pStyle w:val="NoSpacing"/>
        <w:numPr>
          <w:ilvl w:val="0"/>
          <w:numId w:val="12"/>
        </w:numPr>
        <w:ind w:left="1134" w:right="521" w:hanging="283"/>
        <w:jc w:val="both"/>
      </w:pPr>
      <w:r>
        <w:t>Provide s</w:t>
      </w:r>
      <w:r w:rsidRPr="001D1102">
        <w:t>peech and language screening with access to Speech and Language therapists</w:t>
      </w:r>
    </w:p>
    <w:p w14:paraId="4C8D763D" w14:textId="77777777" w:rsidR="0052255E" w:rsidRDefault="0052255E" w:rsidP="00F1227C">
      <w:pPr>
        <w:pStyle w:val="NoSpacing"/>
        <w:numPr>
          <w:ilvl w:val="0"/>
          <w:numId w:val="12"/>
        </w:numPr>
        <w:ind w:left="1134" w:right="521" w:hanging="283"/>
        <w:jc w:val="both"/>
      </w:pPr>
      <w:r w:rsidRPr="001D1102">
        <w:t xml:space="preserve">Raise awareness and understanding of the out of court process for communities, families/carers, and children. </w:t>
      </w:r>
    </w:p>
    <w:p w14:paraId="69FDEA29" w14:textId="77777777" w:rsidR="0052255E" w:rsidRDefault="0052255E" w:rsidP="00B15E08">
      <w:pPr>
        <w:pStyle w:val="NoSpacing"/>
        <w:jc w:val="both"/>
      </w:pPr>
    </w:p>
    <w:p w14:paraId="4D0D053B" w14:textId="484B3C91" w:rsidR="0052255E" w:rsidRDefault="00F1227C" w:rsidP="00F1227C">
      <w:pPr>
        <w:pStyle w:val="NoSpacing"/>
        <w:ind w:left="720" w:hanging="720"/>
        <w:jc w:val="both"/>
      </w:pPr>
      <w:r>
        <w:t>9.</w:t>
      </w:r>
      <w:r w:rsidR="00FE3AD3">
        <w:t>5</w:t>
      </w:r>
      <w:r w:rsidR="00396E56">
        <w:t>8</w:t>
      </w:r>
      <w:r>
        <w:tab/>
      </w:r>
      <w:r w:rsidR="0052255E">
        <w:t>Having Youth Justice staff in custody supports access to swift intervention and division ensuring that early intervention can be offered to those pre-charged and or no further actioned, this also support consideration of the use of more outcome 20’s, 21’s and 22’s. Due to the staff having specialist knowledge of the criminal justice process for children, they were able to inform them of intended outcomes and explain the criminal justice pathways to them whilst providing re-assurance and a check in on well-being. Learning from the project showed that there is limited knowledge of the out of court process across partners. This information needs to be shared more broadly across partners and communities.</w:t>
      </w:r>
    </w:p>
    <w:p w14:paraId="00334BB6" w14:textId="77777777" w:rsidR="00565BCA" w:rsidRDefault="00565BCA" w:rsidP="00B15E08">
      <w:pPr>
        <w:pStyle w:val="NoSpacing"/>
        <w:jc w:val="both"/>
      </w:pPr>
    </w:p>
    <w:p w14:paraId="078E7637" w14:textId="2C6DC976" w:rsidR="0052255E" w:rsidRDefault="00F1227C" w:rsidP="00F1227C">
      <w:pPr>
        <w:pStyle w:val="NoSpacing"/>
        <w:ind w:left="720" w:hanging="720"/>
        <w:jc w:val="both"/>
      </w:pPr>
      <w:r>
        <w:t>9.</w:t>
      </w:r>
      <w:r w:rsidR="00FE3AD3">
        <w:t>5</w:t>
      </w:r>
      <w:r w:rsidR="00396E56">
        <w:t>9</w:t>
      </w:r>
      <w:r>
        <w:tab/>
      </w:r>
      <w:r w:rsidR="0052255E">
        <w:t>All Youth Justice Services have access to Speech and Language Screening. Often when children scored low on the screening tool and after an additional assessment from the speech and language therapists took place, speech and language needs were still being identified. This demonstrate the ongoing need for this work to be re-visited during intervention with the YJS.</w:t>
      </w:r>
    </w:p>
    <w:p w14:paraId="617DC553" w14:textId="77777777" w:rsidR="00565BCA" w:rsidRDefault="00565BCA" w:rsidP="00B15E08">
      <w:pPr>
        <w:pStyle w:val="NoSpacing"/>
        <w:jc w:val="both"/>
      </w:pPr>
    </w:p>
    <w:p w14:paraId="7F59BDEB" w14:textId="0D2FEA84" w:rsidR="0052255E" w:rsidRDefault="00F1227C" w:rsidP="00F1227C">
      <w:pPr>
        <w:pStyle w:val="NoSpacing"/>
        <w:ind w:left="720" w:hanging="720"/>
        <w:jc w:val="both"/>
      </w:pPr>
      <w:r>
        <w:t>9.</w:t>
      </w:r>
      <w:r w:rsidR="00396E56">
        <w:t>60</w:t>
      </w:r>
      <w:r>
        <w:tab/>
      </w:r>
      <w:r w:rsidR="0052255E">
        <w:t xml:space="preserve">The Speech and Language Team (SLT) </w:t>
      </w:r>
      <w:r w:rsidR="0052255E" w:rsidRPr="00521979">
        <w:t xml:space="preserve">utilised the triangle of care model for </w:t>
      </w:r>
      <w:r w:rsidR="0052255E">
        <w:t>engaging with the child</w:t>
      </w:r>
      <w:r w:rsidR="0052255E" w:rsidRPr="00521979">
        <w:t>, their car</w:t>
      </w:r>
      <w:r w:rsidR="0052255E">
        <w:t>e</w:t>
      </w:r>
      <w:r w:rsidR="0052255E" w:rsidRPr="00521979">
        <w:t>/support network and professional network. Ensuring assertive in</w:t>
      </w:r>
      <w:r w:rsidR="0052255E">
        <w:t>-</w:t>
      </w:r>
      <w:r w:rsidR="0052255E" w:rsidRPr="00521979">
        <w:t xml:space="preserve">reach into mainstream education, alternative provision and any agencies wrapping around the child </w:t>
      </w:r>
      <w:proofErr w:type="gramStart"/>
      <w:r w:rsidR="0052255E" w:rsidRPr="00521979">
        <w:t>i.e.</w:t>
      </w:r>
      <w:proofErr w:type="gramEnd"/>
      <w:r w:rsidR="0052255E" w:rsidRPr="00521979">
        <w:t xml:space="preserve"> Social care, YOT, CAMHS etc. Assertive in</w:t>
      </w:r>
      <w:r w:rsidR="0052255E">
        <w:t>-</w:t>
      </w:r>
      <w:r w:rsidR="0052255E" w:rsidRPr="00521979">
        <w:t xml:space="preserve">reach involves the SLT Team proactively engaging with services </w:t>
      </w:r>
      <w:r w:rsidR="0052255E">
        <w:t xml:space="preserve">that are wrapped around the child </w:t>
      </w:r>
      <w:r w:rsidR="0052255E" w:rsidRPr="00521979">
        <w:t xml:space="preserve">in order to share information about them and </w:t>
      </w:r>
      <w:r w:rsidR="0052255E" w:rsidRPr="00521979">
        <w:lastRenderedPageBreak/>
        <w:t>their needs. The aim is to share a positi</w:t>
      </w:r>
      <w:r w:rsidR="0052255E">
        <w:t>ve and balanced views of the Child</w:t>
      </w:r>
      <w:r w:rsidR="0052255E" w:rsidRPr="00521979">
        <w:t>s</w:t>
      </w:r>
      <w:r w:rsidR="0052255E">
        <w:t>’</w:t>
      </w:r>
      <w:r w:rsidR="0052255E" w:rsidRPr="00521979">
        <w:t xml:space="preserve"> strengths and needs, supporting services to understand the how and why of making reasonable adjustments. This in reach can be via training/workforce development opportunities, bespoke handover sessions, co-ordination of MDT meetings and collaboration across services. This offer is made equitable to</w:t>
      </w:r>
      <w:r w:rsidR="0052255E">
        <w:t xml:space="preserve"> all agencies supporting the </w:t>
      </w:r>
      <w:r w:rsidR="00D52C95">
        <w:t xml:space="preserve">child </w:t>
      </w:r>
      <w:r w:rsidR="00D52C95" w:rsidRPr="00521979">
        <w:t>(</w:t>
      </w:r>
      <w:r w:rsidR="0052255E" w:rsidRPr="00521979">
        <w:t>within the realms of what is required and appropriate)</w:t>
      </w:r>
      <w:r w:rsidR="0052255E">
        <w:t>.</w:t>
      </w:r>
    </w:p>
    <w:p w14:paraId="376CE5C4" w14:textId="77777777" w:rsidR="00565BCA" w:rsidRPr="00521979" w:rsidRDefault="00565BCA" w:rsidP="00B15E08">
      <w:pPr>
        <w:pStyle w:val="NoSpacing"/>
        <w:jc w:val="both"/>
      </w:pPr>
    </w:p>
    <w:p w14:paraId="04071E2E" w14:textId="0E25FB69" w:rsidR="00565BCA" w:rsidRDefault="00F1227C" w:rsidP="00396E56">
      <w:pPr>
        <w:pStyle w:val="NoSpacing"/>
        <w:ind w:left="720" w:hanging="720"/>
        <w:jc w:val="both"/>
      </w:pPr>
      <w:r>
        <w:t>9.</w:t>
      </w:r>
      <w:r w:rsidR="00396E56">
        <w:t>61</w:t>
      </w:r>
      <w:r>
        <w:tab/>
      </w:r>
      <w:r w:rsidR="0052255E">
        <w:t xml:space="preserve">100% of cases in the trial group </w:t>
      </w:r>
      <w:r w:rsidR="0052255E" w:rsidRPr="00521979">
        <w:t>received a baseline Therapy Outcome Measure score, those already discharged will have had the repeat score completed with the remaining cases outstanding until the point of discharge. TOMS is an outcome measure used to report on measurable change brought about by an SLT episode of care. It collates data on a range of domains aligned with International Classification of Functioning, Disability and Health - WHO. These domains are Impairment, Activity, Particip</w:t>
      </w:r>
      <w:r w:rsidR="0052255E">
        <w:t>ation and Wellbeing. F</w:t>
      </w:r>
      <w:r w:rsidR="0052255E" w:rsidRPr="00521979">
        <w:t xml:space="preserve">rom </w:t>
      </w:r>
      <w:r w:rsidR="0052255E">
        <w:t xml:space="preserve">preliminary data </w:t>
      </w:r>
      <w:r w:rsidR="0052255E" w:rsidRPr="00521979">
        <w:t>analysis, we know that 100% of referred cases have seen a significant change in at least 1 of the 4 domains following the completion of an episode of care.  </w:t>
      </w:r>
    </w:p>
    <w:p w14:paraId="622AA74F" w14:textId="77777777" w:rsidR="00396E56" w:rsidRDefault="00396E56" w:rsidP="00396E56">
      <w:pPr>
        <w:pStyle w:val="NoSpacing"/>
        <w:ind w:left="720" w:hanging="720"/>
        <w:jc w:val="both"/>
      </w:pPr>
    </w:p>
    <w:p w14:paraId="66700652" w14:textId="77335E4F" w:rsidR="0052255E" w:rsidRDefault="00513B5E" w:rsidP="00513B5E">
      <w:pPr>
        <w:pStyle w:val="NoSpacing"/>
        <w:ind w:left="720" w:hanging="720"/>
        <w:jc w:val="both"/>
      </w:pPr>
      <w:r>
        <w:t>9.</w:t>
      </w:r>
      <w:r w:rsidR="00396E56">
        <w:t>62</w:t>
      </w:r>
      <w:r>
        <w:tab/>
      </w:r>
      <w:r w:rsidR="0052255E">
        <w:t>Unfortunately, the project will not progress to efficacy stage. YEF provided formal</w:t>
      </w:r>
      <w:r w:rsidR="0052255E" w:rsidRPr="00521979">
        <w:t xml:space="preserve"> notification</w:t>
      </w:r>
      <w:r w:rsidR="0052255E">
        <w:t xml:space="preserve"> of this on the </w:t>
      </w:r>
      <w:proofErr w:type="gramStart"/>
      <w:r w:rsidR="0052255E">
        <w:t>3</w:t>
      </w:r>
      <w:r w:rsidR="0052255E">
        <w:rPr>
          <w:vertAlign w:val="superscript"/>
        </w:rPr>
        <w:t>rd</w:t>
      </w:r>
      <w:proofErr w:type="gramEnd"/>
      <w:r w:rsidR="0052255E">
        <w:rPr>
          <w:vertAlign w:val="superscript"/>
        </w:rPr>
        <w:t xml:space="preserve"> </w:t>
      </w:r>
      <w:r w:rsidR="0052255E">
        <w:t xml:space="preserve">May 2023 and provided a </w:t>
      </w:r>
      <w:r w:rsidR="00D52C95">
        <w:t>six-month</w:t>
      </w:r>
      <w:r w:rsidR="0052255E">
        <w:t xml:space="preserve"> shut down period.  Which means the project will end at the end of October 2023. This was due to the n</w:t>
      </w:r>
      <w:r w:rsidR="0052255E" w:rsidRPr="00521979">
        <w:t xml:space="preserve">umber of referrals </w:t>
      </w:r>
      <w:r w:rsidR="0052255E">
        <w:t xml:space="preserve">being </w:t>
      </w:r>
      <w:r w:rsidR="0052255E" w:rsidRPr="00521979">
        <w:t>lower than target sample size needed</w:t>
      </w:r>
      <w:r w:rsidR="0052255E">
        <w:t xml:space="preserve"> and this n</w:t>
      </w:r>
      <w:r w:rsidR="0052255E" w:rsidRPr="00521979">
        <w:t>ot considered achievable without</w:t>
      </w:r>
      <w:r w:rsidR="0052255E">
        <w:t xml:space="preserve"> an i</w:t>
      </w:r>
      <w:r w:rsidR="0052255E" w:rsidRPr="00521979">
        <w:t>ncrease in capacity</w:t>
      </w:r>
      <w:r w:rsidR="0052255E">
        <w:t>, an e</w:t>
      </w:r>
      <w:r w:rsidR="0052255E" w:rsidRPr="00521979">
        <w:t>xtension to duration</w:t>
      </w:r>
      <w:r w:rsidR="0052255E">
        <w:t>, a</w:t>
      </w:r>
      <w:r w:rsidR="0052255E" w:rsidRPr="00521979">
        <w:t>dditional funding,</w:t>
      </w:r>
      <w:r w:rsidR="0052255E">
        <w:t xml:space="preserve"> or </w:t>
      </w:r>
      <w:r w:rsidR="0052255E" w:rsidRPr="00521979">
        <w:t>expansion to existing eligibility criteria</w:t>
      </w:r>
      <w:r w:rsidR="0052255E">
        <w:t>.</w:t>
      </w:r>
    </w:p>
    <w:p w14:paraId="28BDAF3F" w14:textId="77777777" w:rsidR="00565BCA" w:rsidRDefault="00565BCA" w:rsidP="00B15E08">
      <w:pPr>
        <w:pStyle w:val="NoSpacing"/>
        <w:jc w:val="both"/>
      </w:pPr>
    </w:p>
    <w:p w14:paraId="72AF616F" w14:textId="6D9AA2BF" w:rsidR="0052255E" w:rsidRDefault="00513B5E" w:rsidP="00513B5E">
      <w:pPr>
        <w:pStyle w:val="NoSpacing"/>
        <w:ind w:left="720" w:hanging="720"/>
        <w:jc w:val="both"/>
      </w:pPr>
      <w:r>
        <w:t>9.</w:t>
      </w:r>
      <w:r w:rsidR="00396E56">
        <w:t>63</w:t>
      </w:r>
      <w:r>
        <w:tab/>
      </w:r>
      <w:r w:rsidR="0052255E">
        <w:t xml:space="preserve">The Service provided feedback on the issues we felt the project would face before launch and throughout the delivery. This stemmed from the requirement to utilise </w:t>
      </w:r>
      <w:r w:rsidR="0052255E" w:rsidRPr="00486AB2">
        <w:t>Randomised Controlled Trial</w:t>
      </w:r>
      <w:r w:rsidR="0052255E">
        <w:t>s</w:t>
      </w:r>
      <w:r w:rsidR="0052255E" w:rsidRPr="00486AB2">
        <w:t>. This restricted the project t</w:t>
      </w:r>
      <w:r w:rsidR="0052255E">
        <w:t>o working with lone children</w:t>
      </w:r>
      <w:r w:rsidR="0052255E" w:rsidRPr="00486AB2">
        <w:t xml:space="preserve"> that offended and were brought into police custody</w:t>
      </w:r>
      <w:r w:rsidR="0052255E">
        <w:t xml:space="preserve">, a large number of Nottingham City children offend with </w:t>
      </w:r>
      <w:proofErr w:type="gramStart"/>
      <w:r w:rsidR="0052255E">
        <w:t>peers</w:t>
      </w:r>
      <w:proofErr w:type="gramEnd"/>
      <w:r w:rsidR="0052255E">
        <w:t xml:space="preserve"> and this makes them ineligible</w:t>
      </w:r>
      <w:r w:rsidR="0052255E" w:rsidRPr="00486AB2">
        <w:t>. The project was not able to work with children voluntary interviewed by the police</w:t>
      </w:r>
      <w:r w:rsidR="0052255E">
        <w:t xml:space="preserve">, again, Nottinghamshire Police complete a large number of </w:t>
      </w:r>
      <w:proofErr w:type="gramStart"/>
      <w:r w:rsidR="0052255E">
        <w:t>VAs</w:t>
      </w:r>
      <w:proofErr w:type="gramEnd"/>
      <w:r w:rsidR="0052255E">
        <w:t xml:space="preserve"> and these children too were ineligible for the programme</w:t>
      </w:r>
      <w:r w:rsidR="0052255E" w:rsidRPr="00486AB2">
        <w:t>.  A pilot evaluat</w:t>
      </w:r>
      <w:r w:rsidR="0052255E">
        <w:t>ion of the project,</w:t>
      </w:r>
      <w:r w:rsidR="0052255E" w:rsidRPr="002C003C">
        <w:t xml:space="preserve"> which involves twenty-nine children,</w:t>
      </w:r>
      <w:r w:rsidR="0052255E">
        <w:t xml:space="preserve"> is in the process of being </w:t>
      </w:r>
      <w:r w:rsidR="0052255E" w:rsidRPr="00486AB2">
        <w:t xml:space="preserve">completed by </w:t>
      </w:r>
      <w:r w:rsidR="0052255E">
        <w:t xml:space="preserve">the </w:t>
      </w:r>
      <w:r w:rsidR="0052255E" w:rsidRPr="00486AB2">
        <w:t>YEF</w:t>
      </w:r>
      <w:r w:rsidR="0052255E">
        <w:t>.</w:t>
      </w:r>
    </w:p>
    <w:p w14:paraId="5684DB17" w14:textId="77777777" w:rsidR="00565BCA" w:rsidRDefault="00565BCA" w:rsidP="00B15E08">
      <w:pPr>
        <w:pStyle w:val="NoSpacing"/>
        <w:jc w:val="both"/>
      </w:pPr>
    </w:p>
    <w:p w14:paraId="4D39E3DF" w14:textId="26B15EE3" w:rsidR="0052255E" w:rsidRDefault="00513B5E" w:rsidP="00513B5E">
      <w:pPr>
        <w:pStyle w:val="NoSpacing"/>
        <w:ind w:left="720" w:hanging="720"/>
        <w:jc w:val="both"/>
      </w:pPr>
      <w:r>
        <w:t>9.</w:t>
      </w:r>
      <w:r w:rsidR="00396E56">
        <w:t>64</w:t>
      </w:r>
      <w:r w:rsidR="00B02DA9">
        <w:tab/>
      </w:r>
      <w:r w:rsidR="0052255E" w:rsidRPr="00B7129B">
        <w:t>Although numbers to the project remained low due to the RCT 100% of those assessed by the speech and language team had identified speech and language needs.</w:t>
      </w:r>
    </w:p>
    <w:p w14:paraId="45D94CBB" w14:textId="77777777" w:rsidR="00565BCA" w:rsidRDefault="00565BCA" w:rsidP="00B15E08">
      <w:pPr>
        <w:pStyle w:val="NoSpacing"/>
        <w:jc w:val="both"/>
      </w:pPr>
    </w:p>
    <w:p w14:paraId="40E7C84A" w14:textId="64ED86C3" w:rsidR="0052255E" w:rsidRDefault="00513B5E" w:rsidP="00513B5E">
      <w:pPr>
        <w:pStyle w:val="NoSpacing"/>
        <w:ind w:left="720" w:hanging="720"/>
        <w:jc w:val="both"/>
      </w:pPr>
      <w:r>
        <w:t>9.</w:t>
      </w:r>
      <w:r w:rsidR="00396E56">
        <w:t>65</w:t>
      </w:r>
      <w:r>
        <w:tab/>
      </w:r>
      <w:r w:rsidR="0052255E">
        <w:t xml:space="preserve">There is an appetite from both Nottingham City and Nottinghamshire County Youth Justice Services to continue to have Youth Justice staff present in police custody with access to specialist speech and language intervention as it supports early intervention and diversion. </w:t>
      </w:r>
    </w:p>
    <w:p w14:paraId="6C870D5D" w14:textId="77777777" w:rsidR="0069062B" w:rsidRDefault="0069062B" w:rsidP="00B15E08">
      <w:pPr>
        <w:pStyle w:val="NoSpacing"/>
        <w:jc w:val="both"/>
        <w:rPr>
          <w:b/>
          <w:bCs/>
        </w:rPr>
      </w:pPr>
    </w:p>
    <w:p w14:paraId="6C4FA7BA" w14:textId="14FC85C0" w:rsidR="00795C4D" w:rsidRDefault="00795C4D" w:rsidP="00B15E08">
      <w:pPr>
        <w:pStyle w:val="NoSpacing"/>
        <w:jc w:val="both"/>
        <w:rPr>
          <w:b/>
          <w:bCs/>
        </w:rPr>
      </w:pPr>
      <w:r w:rsidRPr="0069062B">
        <w:rPr>
          <w:b/>
          <w:bCs/>
        </w:rPr>
        <w:t xml:space="preserve">Case Study from </w:t>
      </w:r>
      <w:r w:rsidR="0069062B" w:rsidRPr="0069062B">
        <w:rPr>
          <w:b/>
          <w:bCs/>
        </w:rPr>
        <w:t xml:space="preserve">Divert Plus </w:t>
      </w:r>
    </w:p>
    <w:p w14:paraId="36A3E0EE" w14:textId="77777777" w:rsidR="00753283" w:rsidRPr="0069062B" w:rsidRDefault="00753283" w:rsidP="00B15E08">
      <w:pPr>
        <w:pStyle w:val="NoSpacing"/>
        <w:jc w:val="both"/>
        <w:rPr>
          <w:b/>
          <w:bCs/>
        </w:rPr>
      </w:pPr>
    </w:p>
    <w:p w14:paraId="14188E04" w14:textId="4FCEFF1E" w:rsidR="0069062B" w:rsidRPr="0069062B" w:rsidRDefault="001B3BDA" w:rsidP="001B3BDA">
      <w:pPr>
        <w:pStyle w:val="NoSpacing"/>
        <w:ind w:left="720" w:hanging="720"/>
        <w:jc w:val="both"/>
      </w:pPr>
      <w:r>
        <w:t>9.</w:t>
      </w:r>
      <w:r w:rsidR="00FE3AD3">
        <w:t>6</w:t>
      </w:r>
      <w:r w:rsidR="00396E56">
        <w:t>1</w:t>
      </w:r>
      <w:r>
        <w:tab/>
      </w:r>
      <w:r w:rsidR="0069062B" w:rsidRPr="0069062B">
        <w:t xml:space="preserve">Child X is a 16-year-old male, his parents informed me that they had been struggling with his behaviour in the family home since he was around 11 years old, highlighting damage within the house. His mother informed me that she had lost her job because of taking time off work to deal with his behaviours.  His father also indicated he also lost time from work to attend professional appointments with professional agencies. His father stipulated his belief his son’s poor behaviour in the home has not improved despite the previous involvement from agencies. </w:t>
      </w:r>
    </w:p>
    <w:p w14:paraId="0D0CF238" w14:textId="77777777" w:rsidR="0069062B" w:rsidRPr="0069062B" w:rsidRDefault="0069062B" w:rsidP="00B15E08">
      <w:pPr>
        <w:pStyle w:val="NoSpacing"/>
        <w:jc w:val="both"/>
      </w:pPr>
    </w:p>
    <w:p w14:paraId="44B4FBC0" w14:textId="43E16A35" w:rsidR="0069062B" w:rsidRPr="0069062B" w:rsidRDefault="001B3BDA" w:rsidP="001B3BDA">
      <w:pPr>
        <w:pStyle w:val="NoSpacing"/>
        <w:ind w:left="720" w:hanging="720"/>
        <w:jc w:val="both"/>
      </w:pPr>
      <w:r>
        <w:t>9.</w:t>
      </w:r>
      <w:r w:rsidR="00FE3AD3">
        <w:t>6</w:t>
      </w:r>
      <w:r w:rsidR="00396E56">
        <w:t>2</w:t>
      </w:r>
      <w:r>
        <w:tab/>
      </w:r>
      <w:r w:rsidR="0069062B" w:rsidRPr="0069062B">
        <w:t xml:space="preserve">Prior to his arrest which led to the </w:t>
      </w:r>
      <w:proofErr w:type="spellStart"/>
      <w:r w:rsidR="0069062B" w:rsidRPr="0069062B">
        <w:t>OoCD</w:t>
      </w:r>
      <w:proofErr w:type="spellEnd"/>
      <w:r w:rsidR="0069062B" w:rsidRPr="0069062B">
        <w:t xml:space="preserve"> and involvement with Divert Plus intervention in August 2022, his parents indicated there had been numerous concerns and referrals to </w:t>
      </w:r>
      <w:proofErr w:type="gramStart"/>
      <w:r w:rsidR="0069062B" w:rsidRPr="0069062B">
        <w:t>Social</w:t>
      </w:r>
      <w:proofErr w:type="gramEnd"/>
      <w:r w:rsidR="0069062B" w:rsidRPr="0069062B">
        <w:t xml:space="preserve"> </w:t>
      </w:r>
      <w:r w:rsidR="0069062B" w:rsidRPr="0069062B">
        <w:lastRenderedPageBreak/>
        <w:t xml:space="preserve">services and contact with the Police as a result of their feeling unable to manage and deal with the escalation in aggression within the family home. It was reported they had made over 40 telephone calls to the Police in relation to these. The Police attended the family home on 14 separate occasions between February 2020 and January 2022, resulting in no further action. There had also been numerous safeguarding and social services referrals over a three-year period again due to the presenting behaviour. </w:t>
      </w:r>
    </w:p>
    <w:p w14:paraId="6E2AD16F" w14:textId="77777777" w:rsidR="0069062B" w:rsidRPr="0069062B" w:rsidRDefault="0069062B" w:rsidP="00B15E08">
      <w:pPr>
        <w:pStyle w:val="NoSpacing"/>
        <w:jc w:val="both"/>
      </w:pPr>
    </w:p>
    <w:p w14:paraId="7BB1839C" w14:textId="54016EC5" w:rsidR="0069062B" w:rsidRPr="0069062B" w:rsidRDefault="001B3BDA" w:rsidP="001B3BDA">
      <w:pPr>
        <w:pStyle w:val="NoSpacing"/>
        <w:ind w:left="720" w:hanging="720"/>
        <w:jc w:val="both"/>
      </w:pPr>
      <w:r>
        <w:t>9.</w:t>
      </w:r>
      <w:r w:rsidR="00FE3AD3">
        <w:t>6</w:t>
      </w:r>
      <w:r w:rsidR="00396E56">
        <w:t>3</w:t>
      </w:r>
      <w:r>
        <w:tab/>
      </w:r>
      <w:r w:rsidR="0069062B" w:rsidRPr="0069062B">
        <w:t xml:space="preserve">Child X received support from Divert Plus targeted intervention. As part of the targeted intervention child X was assessed for speech and language assessment and a diagnostic report highlighting what communication support child X requires especially from his education provider. He did not have any identified neurological needs, however, there have been previous concerns raised via professionals. As a result of the finding of the </w:t>
      </w:r>
      <w:proofErr w:type="spellStart"/>
      <w:r w:rsidR="0069062B" w:rsidRPr="0069062B">
        <w:t>SaLT</w:t>
      </w:r>
      <w:proofErr w:type="spellEnd"/>
      <w:r w:rsidR="0069062B" w:rsidRPr="0069062B">
        <w:t xml:space="preserve"> report, the school have now been able to offer the appropriate support to enable him in sitting his GCSE exams. In addition to this service child X was also referred to the mentoring service Stronger People who have also delivered mentoring support to him whereby physical activities and a provision where he is able to articulate his feelings, worries and wishes. I also have had regular contact delivering targeted interventions to address the behaviours which lead to the </w:t>
      </w:r>
      <w:proofErr w:type="spellStart"/>
      <w:r w:rsidR="0069062B" w:rsidRPr="0069062B">
        <w:t>OoCD</w:t>
      </w:r>
      <w:proofErr w:type="spellEnd"/>
      <w:r w:rsidR="0069062B" w:rsidRPr="0069062B">
        <w:t>. I have also maintained strong links with both parents, and they have also expressed their own feelings from this experience.</w:t>
      </w:r>
    </w:p>
    <w:p w14:paraId="6412F447" w14:textId="77777777" w:rsidR="0069062B" w:rsidRPr="0069062B" w:rsidRDefault="0069062B" w:rsidP="00B15E08">
      <w:pPr>
        <w:pStyle w:val="NoSpacing"/>
        <w:jc w:val="both"/>
      </w:pPr>
    </w:p>
    <w:p w14:paraId="46322454" w14:textId="5B79EB39" w:rsidR="0069062B" w:rsidRPr="0069062B" w:rsidRDefault="001B3BDA" w:rsidP="00B15E08">
      <w:pPr>
        <w:pStyle w:val="NoSpacing"/>
        <w:jc w:val="both"/>
      </w:pPr>
      <w:r>
        <w:t>9.</w:t>
      </w:r>
      <w:r w:rsidR="00FE3AD3">
        <w:t>6</w:t>
      </w:r>
      <w:r w:rsidR="00396E56">
        <w:t>4</w:t>
      </w:r>
      <w:r>
        <w:tab/>
      </w:r>
      <w:r w:rsidR="0069062B" w:rsidRPr="0069062B">
        <w:t>Positive Outcomes:</w:t>
      </w:r>
    </w:p>
    <w:p w14:paraId="0CA890DF" w14:textId="77777777" w:rsidR="0069062B" w:rsidRPr="0069062B" w:rsidRDefault="0069062B" w:rsidP="001B3BDA">
      <w:pPr>
        <w:pStyle w:val="NoSpacing"/>
        <w:ind w:left="720"/>
        <w:jc w:val="both"/>
      </w:pPr>
      <w:r w:rsidRPr="0069062B">
        <w:t xml:space="preserve">Since the involvement with Divert Plus intervention and the third-party services which have also worked closely with Child X and family. </w:t>
      </w:r>
    </w:p>
    <w:p w14:paraId="39CA7322" w14:textId="77777777" w:rsidR="0069062B" w:rsidRPr="0069062B" w:rsidRDefault="0069062B" w:rsidP="00B02DA9">
      <w:pPr>
        <w:pStyle w:val="NoSpacing"/>
        <w:numPr>
          <w:ilvl w:val="0"/>
          <w:numId w:val="18"/>
        </w:numPr>
        <w:tabs>
          <w:tab w:val="left" w:pos="1276"/>
        </w:tabs>
        <w:ind w:left="1418" w:right="521" w:hanging="142"/>
        <w:jc w:val="both"/>
      </w:pPr>
      <w:r w:rsidRPr="0069062B">
        <w:t xml:space="preserve">Since the initial date of August 2022, child X has been assessed by Speech and Language Therapist and a formal report has been formulated and shared with professional agencies. Meeting with school SENCO to formulate a support package around arrangements so he can sit his GCSE exams which are due to be completed. Child X has sat all exams. </w:t>
      </w:r>
    </w:p>
    <w:p w14:paraId="26AFBB11" w14:textId="77777777" w:rsidR="0069062B" w:rsidRPr="0069062B" w:rsidRDefault="0069062B" w:rsidP="00B02DA9">
      <w:pPr>
        <w:pStyle w:val="NoSpacing"/>
        <w:numPr>
          <w:ilvl w:val="0"/>
          <w:numId w:val="18"/>
        </w:numPr>
        <w:tabs>
          <w:tab w:val="left" w:pos="1276"/>
        </w:tabs>
        <w:ind w:left="1418" w:right="521" w:hanging="142"/>
        <w:jc w:val="both"/>
      </w:pPr>
      <w:r w:rsidRPr="0069062B">
        <w:t>Positive mentoring session attends by the GYM with Joe Stronger people.</w:t>
      </w:r>
    </w:p>
    <w:p w14:paraId="3EA83B3D" w14:textId="77777777" w:rsidR="0069062B" w:rsidRPr="0069062B" w:rsidRDefault="0069062B" w:rsidP="00B02DA9">
      <w:pPr>
        <w:pStyle w:val="NoSpacing"/>
        <w:numPr>
          <w:ilvl w:val="0"/>
          <w:numId w:val="18"/>
        </w:numPr>
        <w:tabs>
          <w:tab w:val="left" w:pos="1276"/>
        </w:tabs>
        <w:ind w:left="1418" w:right="521" w:hanging="142"/>
        <w:jc w:val="both"/>
      </w:pPr>
      <w:r w:rsidRPr="0069062B">
        <w:t>Although on occasions child X and his parents can be strained mum informed me since the involvement with YJS and Divert plus there have not been any occasions whereby they felt the need to contact the Police for his presenting behaviour. Both parents especially his father have formed a better positive relationship and he has a much better understanding of child X’s communication difficulties and is able to place a better understanding and acceptance without being confrontational which in turn has reduced the number of incidents in the family home.</w:t>
      </w:r>
    </w:p>
    <w:p w14:paraId="644E050C" w14:textId="77777777" w:rsidR="00FB5B91" w:rsidRDefault="00FB5B91" w:rsidP="00B15E08">
      <w:pPr>
        <w:jc w:val="both"/>
        <w:rPr>
          <w:rStyle w:val="Heading1Char"/>
        </w:rPr>
      </w:pPr>
    </w:p>
    <w:p w14:paraId="6838F374" w14:textId="279A44CC" w:rsidR="0079185B" w:rsidRPr="00FB5B91" w:rsidRDefault="0079185B" w:rsidP="00B15E08">
      <w:pPr>
        <w:jc w:val="both"/>
        <w:rPr>
          <w:rStyle w:val="Heading1Char"/>
        </w:rPr>
      </w:pPr>
      <w:bookmarkStart w:id="11" w:name="_Toc156206882"/>
      <w:r w:rsidRPr="00FB5B91">
        <w:rPr>
          <w:rStyle w:val="Heading1Char"/>
        </w:rPr>
        <w:t>Standards for children in the justice system</w:t>
      </w:r>
      <w:bookmarkEnd w:id="11"/>
    </w:p>
    <w:p w14:paraId="1997AEE6" w14:textId="3C5AD577" w:rsidR="002C204E" w:rsidRDefault="001B3BDA" w:rsidP="001B3BDA">
      <w:pPr>
        <w:pStyle w:val="NoSpacing"/>
        <w:ind w:left="720" w:hanging="720"/>
        <w:jc w:val="both"/>
        <w:rPr>
          <w:lang w:eastAsia="en-GB"/>
        </w:rPr>
      </w:pPr>
      <w:r>
        <w:rPr>
          <w:lang w:eastAsia="en-GB"/>
        </w:rPr>
        <w:t>10.1</w:t>
      </w:r>
      <w:r>
        <w:rPr>
          <w:lang w:eastAsia="en-GB"/>
        </w:rPr>
        <w:tab/>
      </w:r>
      <w:r w:rsidR="00634F10" w:rsidRPr="00634F10">
        <w:rPr>
          <w:lang w:eastAsia="en-GB"/>
        </w:rPr>
        <w:t>I</w:t>
      </w:r>
      <w:r w:rsidR="00634F10">
        <w:rPr>
          <w:lang w:eastAsia="en-GB"/>
        </w:rPr>
        <w:t>n</w:t>
      </w:r>
      <w:r w:rsidR="00634F10" w:rsidRPr="00634F10">
        <w:rPr>
          <w:lang w:eastAsia="en-GB"/>
        </w:rPr>
        <w:t xml:space="preserve"> line with recent national guidance we will be reviewing standards this coming year focussing on Court work</w:t>
      </w:r>
      <w:r w:rsidR="0015740D">
        <w:rPr>
          <w:lang w:eastAsia="en-GB"/>
        </w:rPr>
        <w:t>. With regards to gaps highlighted in service audits and benchmarking exercises</w:t>
      </w:r>
      <w:r w:rsidR="000A2FEE">
        <w:rPr>
          <w:lang w:eastAsia="en-GB"/>
        </w:rPr>
        <w:t xml:space="preserve"> the Service has now introduced a new Case Management system which has given us the additional capacity and given us scope to reflect upon and review existing </w:t>
      </w:r>
      <w:r w:rsidR="008A4396">
        <w:rPr>
          <w:lang w:eastAsia="en-GB"/>
        </w:rPr>
        <w:t xml:space="preserve">operational </w:t>
      </w:r>
      <w:r w:rsidR="000A2FEE">
        <w:rPr>
          <w:lang w:eastAsia="en-GB"/>
        </w:rPr>
        <w:t xml:space="preserve">processes. </w:t>
      </w:r>
    </w:p>
    <w:p w14:paraId="74345A96" w14:textId="77777777" w:rsidR="008A4396" w:rsidRPr="00634F10" w:rsidRDefault="008A4396" w:rsidP="00B15E08">
      <w:pPr>
        <w:pStyle w:val="NoSpacing"/>
        <w:jc w:val="both"/>
        <w:rPr>
          <w:lang w:eastAsia="en-GB"/>
        </w:rPr>
      </w:pPr>
    </w:p>
    <w:p w14:paraId="2000C1F7" w14:textId="77777777" w:rsidR="00A60808" w:rsidRDefault="00A60808">
      <w:pPr>
        <w:rPr>
          <w:rStyle w:val="Heading1Char"/>
        </w:rPr>
      </w:pPr>
      <w:r>
        <w:rPr>
          <w:rStyle w:val="Heading1Char"/>
        </w:rPr>
        <w:br w:type="page"/>
      </w:r>
    </w:p>
    <w:p w14:paraId="2868E9FA" w14:textId="36BA3144" w:rsidR="0079185B" w:rsidRDefault="0079185B" w:rsidP="00B15E08">
      <w:pPr>
        <w:pStyle w:val="NoSpacing"/>
        <w:jc w:val="both"/>
        <w:rPr>
          <w:rFonts w:cstheme="minorHAnsi"/>
          <w:b/>
          <w:bCs/>
          <w:sz w:val="24"/>
          <w:szCs w:val="24"/>
          <w:lang w:eastAsia="en-GB"/>
        </w:rPr>
      </w:pPr>
      <w:bookmarkStart w:id="12" w:name="_Toc156206883"/>
      <w:r w:rsidRPr="00FB5B91">
        <w:rPr>
          <w:rStyle w:val="Heading1Char"/>
        </w:rPr>
        <w:lastRenderedPageBreak/>
        <w:t>Workforce Development</w:t>
      </w:r>
      <w:bookmarkEnd w:id="12"/>
    </w:p>
    <w:p w14:paraId="002E8DA4" w14:textId="77777777" w:rsidR="00753283" w:rsidRPr="00C53B1E" w:rsidRDefault="00753283" w:rsidP="00B15E08">
      <w:pPr>
        <w:pStyle w:val="NoSpacing"/>
        <w:jc w:val="both"/>
        <w:rPr>
          <w:rFonts w:cstheme="minorHAnsi"/>
          <w:b/>
          <w:bCs/>
          <w:sz w:val="24"/>
          <w:szCs w:val="24"/>
          <w:lang w:eastAsia="en-GB"/>
        </w:rPr>
      </w:pPr>
    </w:p>
    <w:p w14:paraId="2D349724" w14:textId="20D3FD79" w:rsidR="007E288A" w:rsidRPr="008A4396" w:rsidRDefault="001B3BDA" w:rsidP="001B3BDA">
      <w:pPr>
        <w:pStyle w:val="NoSpacing"/>
        <w:ind w:left="720" w:hanging="720"/>
        <w:jc w:val="both"/>
      </w:pPr>
      <w:r>
        <w:t>1</w:t>
      </w:r>
      <w:r w:rsidR="00D70A01">
        <w:t>1</w:t>
      </w:r>
      <w:r>
        <w:t>.</w:t>
      </w:r>
      <w:r w:rsidR="00D70A01">
        <w:t>1</w:t>
      </w:r>
      <w:r>
        <w:tab/>
      </w:r>
      <w:r w:rsidR="00E57B4C" w:rsidRPr="008A4396">
        <w:t xml:space="preserve">This year’s training focus has been on the new case management system that was introduced in January. </w:t>
      </w:r>
      <w:r w:rsidR="00D53C12" w:rsidRPr="008A4396">
        <w:t xml:space="preserve">Training was delivered over a number of months addressing the use of the system, the </w:t>
      </w:r>
      <w:r w:rsidR="00B12A4F" w:rsidRPr="008A4396">
        <w:t>breadth of new features</w:t>
      </w:r>
      <w:r w:rsidR="00833061" w:rsidRPr="008A4396">
        <w:t xml:space="preserve"> it provides case managers, the new functionality for managers to produce and analyse information prior to supervisions and to produce greater </w:t>
      </w:r>
      <w:r w:rsidR="00B12A4F" w:rsidRPr="008A4396">
        <w:t>depth</w:t>
      </w:r>
      <w:r w:rsidR="00833061" w:rsidRPr="008A4396">
        <w:t xml:space="preserve"> of </w:t>
      </w:r>
      <w:r w:rsidR="00AF1310" w:rsidRPr="008A4396">
        <w:t xml:space="preserve">information to share with partners. </w:t>
      </w:r>
    </w:p>
    <w:p w14:paraId="4F8B9503" w14:textId="38E06D08" w:rsidR="00AF1310" w:rsidRPr="008A4396" w:rsidRDefault="00AF1310" w:rsidP="00B15E08">
      <w:pPr>
        <w:pStyle w:val="NoSpacing"/>
        <w:jc w:val="both"/>
      </w:pPr>
    </w:p>
    <w:p w14:paraId="14C396B0" w14:textId="01D752D3" w:rsidR="00AF1310" w:rsidRDefault="00D70A01" w:rsidP="00D70A01">
      <w:pPr>
        <w:pStyle w:val="NoSpacing"/>
        <w:ind w:left="720" w:hanging="720"/>
        <w:jc w:val="both"/>
      </w:pPr>
      <w:r>
        <w:t>11.2</w:t>
      </w:r>
      <w:r>
        <w:tab/>
      </w:r>
      <w:r w:rsidR="00AF1310" w:rsidRPr="008A4396">
        <w:t xml:space="preserve">At the beginning of the year all staff undertook </w:t>
      </w:r>
      <w:r w:rsidR="00937CB4" w:rsidRPr="008A4396">
        <w:t xml:space="preserve">Unconscious Bias and Cultural Competency training. This training challenged staff to </w:t>
      </w:r>
      <w:r w:rsidR="00D30FF4">
        <w:t xml:space="preserve">reflect on their engagement with children, the content of their reports and has been </w:t>
      </w:r>
      <w:r w:rsidR="00AB2E2A">
        <w:t xml:space="preserve">continued through the Disproportionality Working </w:t>
      </w:r>
      <w:r w:rsidR="000D4F93">
        <w:t>Group and</w:t>
      </w:r>
      <w:r w:rsidR="00BE4BE9">
        <w:t xml:space="preserve"> monitored </w:t>
      </w:r>
      <w:r w:rsidR="00097516">
        <w:t xml:space="preserve">through ongoing line management supervision and quality assurance processes. </w:t>
      </w:r>
    </w:p>
    <w:p w14:paraId="32641DD3" w14:textId="45D8F7FA" w:rsidR="005D620C" w:rsidRDefault="005D620C" w:rsidP="00B15E08">
      <w:pPr>
        <w:pStyle w:val="NoSpacing"/>
        <w:jc w:val="both"/>
      </w:pPr>
    </w:p>
    <w:p w14:paraId="2FAE00DF" w14:textId="5F5DF575" w:rsidR="005D620C" w:rsidRPr="008A4396" w:rsidRDefault="00D70A01" w:rsidP="00D70A01">
      <w:pPr>
        <w:pStyle w:val="NoSpacing"/>
        <w:ind w:left="720" w:hanging="720"/>
        <w:jc w:val="both"/>
      </w:pPr>
      <w:r>
        <w:t>11.3</w:t>
      </w:r>
      <w:r>
        <w:tab/>
      </w:r>
      <w:r w:rsidR="005D620C">
        <w:t xml:space="preserve">We’re working with the council’s workforce development team to develop and deliver training on assessment and report writing skills, </w:t>
      </w:r>
      <w:r w:rsidR="00D35FFA">
        <w:t>management and leadership and developing the Council’s Learning Academy</w:t>
      </w:r>
      <w:r w:rsidR="00D30FF4">
        <w:t xml:space="preserve">, a toolkit and guidance library for all staff across Children’s Integrated Services. </w:t>
      </w:r>
    </w:p>
    <w:p w14:paraId="125104D0" w14:textId="49326971" w:rsidR="00203B0D" w:rsidRPr="008A4396" w:rsidRDefault="00203B0D" w:rsidP="00B15E08">
      <w:pPr>
        <w:pStyle w:val="NoSpacing"/>
        <w:jc w:val="both"/>
      </w:pPr>
    </w:p>
    <w:p w14:paraId="2E03F1A3" w14:textId="6BD0FF39" w:rsidR="00203B0D" w:rsidRPr="008A4396" w:rsidRDefault="00D70A01" w:rsidP="00D70A01">
      <w:pPr>
        <w:pStyle w:val="NoSpacing"/>
        <w:ind w:left="720" w:hanging="720"/>
        <w:jc w:val="both"/>
      </w:pPr>
      <w:r>
        <w:t>11.4</w:t>
      </w:r>
      <w:r>
        <w:tab/>
      </w:r>
      <w:r w:rsidR="00203B0D" w:rsidRPr="008A4396">
        <w:t>A number of staff have started</w:t>
      </w:r>
      <w:r w:rsidR="00B165AD" w:rsidRPr="008A4396">
        <w:t xml:space="preserve"> the Youth Justice Effective Practice Certificate and we have more staff attending future cohorts, providing training and development in issues of youth development and justice</w:t>
      </w:r>
      <w:r w:rsidR="00DA4FC5">
        <w:t xml:space="preserve">. We also have staff attending AIM3 assessment and intervention training, and as part of the Turnaround and Another Way programmes will shortly have </w:t>
      </w:r>
      <w:r w:rsidR="000A38DF">
        <w:t xml:space="preserve">training on gang and serious youth violence delivered. </w:t>
      </w:r>
    </w:p>
    <w:p w14:paraId="4C5C6292" w14:textId="77777777" w:rsidR="00FB5B91" w:rsidRDefault="00FB5B91" w:rsidP="00B15E08">
      <w:pPr>
        <w:pStyle w:val="NoSpacing"/>
        <w:jc w:val="both"/>
        <w:rPr>
          <w:rFonts w:cstheme="minorHAnsi"/>
          <w:b/>
          <w:bCs/>
          <w:sz w:val="24"/>
          <w:szCs w:val="24"/>
          <w:lang w:eastAsia="en-GB"/>
        </w:rPr>
      </w:pPr>
    </w:p>
    <w:p w14:paraId="0BAE1A33" w14:textId="51B94A18" w:rsidR="0079185B" w:rsidRPr="00C53B1E" w:rsidRDefault="0079185B" w:rsidP="00B15E08">
      <w:pPr>
        <w:pStyle w:val="NoSpacing"/>
        <w:jc w:val="both"/>
        <w:rPr>
          <w:rFonts w:cstheme="minorHAnsi"/>
          <w:b/>
          <w:bCs/>
          <w:sz w:val="24"/>
          <w:szCs w:val="24"/>
          <w:lang w:eastAsia="en-GB"/>
        </w:rPr>
      </w:pPr>
      <w:bookmarkStart w:id="13" w:name="_Toc156206884"/>
      <w:r w:rsidRPr="00FB5B91">
        <w:rPr>
          <w:rStyle w:val="Heading1Char"/>
        </w:rPr>
        <w:t>Evidence-based practice and innovation</w:t>
      </w:r>
      <w:bookmarkEnd w:id="13"/>
    </w:p>
    <w:p w14:paraId="1F37B027" w14:textId="3B86916E" w:rsidR="007E288A" w:rsidRPr="00C53B1E" w:rsidRDefault="003648DE" w:rsidP="00B15E08">
      <w:pPr>
        <w:pStyle w:val="NoSpacing"/>
        <w:jc w:val="both"/>
        <w:rPr>
          <w:rFonts w:cstheme="minorHAnsi"/>
          <w:b/>
          <w:bCs/>
          <w:lang w:eastAsia="en-GB"/>
        </w:rPr>
      </w:pPr>
      <w:r w:rsidRPr="00C53B1E">
        <w:rPr>
          <w:rFonts w:cstheme="minorHAnsi"/>
          <w:b/>
          <w:bCs/>
          <w:lang w:eastAsia="en-GB"/>
        </w:rPr>
        <w:t xml:space="preserve"> </w:t>
      </w:r>
    </w:p>
    <w:p w14:paraId="3D868AD0" w14:textId="77777777" w:rsidR="00783F76" w:rsidRDefault="00D70A01" w:rsidP="00783F76">
      <w:pPr>
        <w:pStyle w:val="NoSpacing"/>
        <w:ind w:left="709" w:hanging="709"/>
        <w:jc w:val="both"/>
        <w:rPr>
          <w:rFonts w:cstheme="minorHAnsi"/>
          <w:lang w:eastAsia="en-GB"/>
        </w:rPr>
      </w:pPr>
      <w:r>
        <w:rPr>
          <w:rFonts w:cstheme="minorHAnsi"/>
          <w:lang w:eastAsia="en-GB"/>
        </w:rPr>
        <w:t>12.1</w:t>
      </w:r>
      <w:r>
        <w:rPr>
          <w:rFonts w:cstheme="minorHAnsi"/>
          <w:lang w:eastAsia="en-GB"/>
        </w:rPr>
        <w:tab/>
      </w:r>
      <w:r w:rsidR="00563F3A">
        <w:rPr>
          <w:rFonts w:cstheme="minorHAnsi"/>
          <w:lang w:eastAsia="en-GB"/>
        </w:rPr>
        <w:t>In this year we have been w</w:t>
      </w:r>
      <w:r w:rsidR="00563F3A" w:rsidRPr="00C53B1E">
        <w:rPr>
          <w:rFonts w:cstheme="minorHAnsi"/>
          <w:lang w:eastAsia="en-GB"/>
        </w:rPr>
        <w:t xml:space="preserve">orking with the VRP to recruit </w:t>
      </w:r>
      <w:r w:rsidR="00563F3A">
        <w:rPr>
          <w:rFonts w:cstheme="minorHAnsi"/>
          <w:lang w:eastAsia="en-GB"/>
        </w:rPr>
        <w:t xml:space="preserve">a PHD </w:t>
      </w:r>
      <w:r w:rsidR="00563F3A" w:rsidRPr="00C53B1E">
        <w:rPr>
          <w:rFonts w:cstheme="minorHAnsi"/>
          <w:lang w:eastAsia="en-GB"/>
        </w:rPr>
        <w:t>researcher into F</w:t>
      </w:r>
      <w:r w:rsidR="00563F3A">
        <w:rPr>
          <w:rFonts w:cstheme="minorHAnsi"/>
          <w:lang w:eastAsia="en-GB"/>
        </w:rPr>
        <w:t>irst Time Entrants and with Nottingham University on a research project on knife crime, FTEs, and</w:t>
      </w:r>
      <w:r>
        <w:rPr>
          <w:rFonts w:cstheme="minorHAnsi"/>
          <w:lang w:eastAsia="en-GB"/>
        </w:rPr>
        <w:t xml:space="preserve"> </w:t>
      </w:r>
      <w:r w:rsidR="00563F3A">
        <w:rPr>
          <w:rFonts w:cstheme="minorHAnsi"/>
          <w:lang w:eastAsia="en-GB"/>
        </w:rPr>
        <w:t xml:space="preserve">reoffending. Data sharing has begun with the university and the commissioning specification has been finalised with the VRP. The aim of this project is to firm up the hypotheses that staff and partners have surrounding the issues of high FTE rates in the City so that an evidence-based programme can be developed to address the specific needs of this cohort. </w:t>
      </w:r>
    </w:p>
    <w:p w14:paraId="18FB0782" w14:textId="77777777" w:rsidR="00783F76" w:rsidRDefault="00783F76" w:rsidP="00783F76">
      <w:pPr>
        <w:pStyle w:val="NoSpacing"/>
        <w:ind w:left="709" w:hanging="709"/>
        <w:jc w:val="both"/>
        <w:rPr>
          <w:rFonts w:cstheme="minorHAnsi"/>
          <w:lang w:eastAsia="en-GB"/>
        </w:rPr>
      </w:pPr>
    </w:p>
    <w:p w14:paraId="2A7C7669" w14:textId="77777777" w:rsidR="00783F76" w:rsidRDefault="00783F76" w:rsidP="00783F76">
      <w:pPr>
        <w:pStyle w:val="NoSpacing"/>
        <w:ind w:left="709" w:hanging="709"/>
        <w:jc w:val="both"/>
        <w:rPr>
          <w:rFonts w:cstheme="minorHAnsi"/>
          <w:lang w:eastAsia="en-GB"/>
        </w:rPr>
      </w:pPr>
      <w:r>
        <w:rPr>
          <w:rFonts w:cstheme="minorHAnsi"/>
          <w:lang w:eastAsia="en-GB"/>
        </w:rPr>
        <w:t>12.2</w:t>
      </w:r>
      <w:r>
        <w:rPr>
          <w:rFonts w:cstheme="minorHAnsi"/>
          <w:lang w:eastAsia="en-GB"/>
        </w:rPr>
        <w:tab/>
      </w:r>
      <w:r w:rsidR="00563F3A">
        <w:rPr>
          <w:rFonts w:cstheme="minorHAnsi"/>
          <w:lang w:eastAsia="en-GB"/>
        </w:rPr>
        <w:t xml:space="preserve">The Service continues to be </w:t>
      </w:r>
      <w:proofErr w:type="gramStart"/>
      <w:r w:rsidR="00563F3A">
        <w:rPr>
          <w:rFonts w:cstheme="minorHAnsi"/>
          <w:lang w:eastAsia="en-GB"/>
        </w:rPr>
        <w:t>o</w:t>
      </w:r>
      <w:r w:rsidR="00563F3A" w:rsidRPr="00C53B1E">
        <w:rPr>
          <w:rFonts w:cstheme="minorHAnsi"/>
          <w:lang w:eastAsia="en-GB"/>
        </w:rPr>
        <w:t>pen</w:t>
      </w:r>
      <w:proofErr w:type="gramEnd"/>
      <w:r w:rsidR="00563F3A" w:rsidRPr="00C53B1E">
        <w:rPr>
          <w:rFonts w:cstheme="minorHAnsi"/>
          <w:lang w:eastAsia="en-GB"/>
        </w:rPr>
        <w:t xml:space="preserve"> to exploring working with </w:t>
      </w:r>
      <w:r w:rsidR="00563F3A">
        <w:rPr>
          <w:rFonts w:cstheme="minorHAnsi"/>
          <w:lang w:eastAsia="en-GB"/>
        </w:rPr>
        <w:t xml:space="preserve">statutory partners and across the third </w:t>
      </w:r>
      <w:r w:rsidR="00563F3A" w:rsidRPr="00C53B1E">
        <w:rPr>
          <w:rFonts w:cstheme="minorHAnsi"/>
          <w:lang w:eastAsia="en-GB"/>
        </w:rPr>
        <w:t xml:space="preserve">sector </w:t>
      </w:r>
      <w:r w:rsidR="00563F3A">
        <w:rPr>
          <w:rFonts w:cstheme="minorHAnsi"/>
          <w:lang w:eastAsia="en-GB"/>
        </w:rPr>
        <w:t xml:space="preserve">to deliver a </w:t>
      </w:r>
      <w:r w:rsidR="00563F3A" w:rsidRPr="00C53B1E">
        <w:rPr>
          <w:rFonts w:cstheme="minorHAnsi"/>
          <w:lang w:eastAsia="en-GB"/>
        </w:rPr>
        <w:t>broad range of community provision, mentoring agencies</w:t>
      </w:r>
      <w:r w:rsidR="00563F3A">
        <w:rPr>
          <w:rFonts w:cstheme="minorHAnsi"/>
          <w:lang w:eastAsia="en-GB"/>
        </w:rPr>
        <w:t xml:space="preserve">, and opportunities for </w:t>
      </w:r>
      <w:r w:rsidR="00563F3A" w:rsidRPr="00C53B1E">
        <w:rPr>
          <w:rFonts w:cstheme="minorHAnsi"/>
          <w:lang w:eastAsia="en-GB"/>
        </w:rPr>
        <w:t xml:space="preserve">new </w:t>
      </w:r>
      <w:r w:rsidR="00563F3A">
        <w:rPr>
          <w:rFonts w:cstheme="minorHAnsi"/>
          <w:lang w:eastAsia="en-GB"/>
        </w:rPr>
        <w:t xml:space="preserve">funding streams. </w:t>
      </w:r>
    </w:p>
    <w:p w14:paraId="77450D5C" w14:textId="77777777" w:rsidR="00783F76" w:rsidRDefault="00783F76" w:rsidP="00783F76">
      <w:pPr>
        <w:pStyle w:val="NoSpacing"/>
        <w:ind w:left="709" w:hanging="709"/>
        <w:jc w:val="both"/>
        <w:rPr>
          <w:rFonts w:cstheme="minorHAnsi"/>
          <w:lang w:eastAsia="en-GB"/>
        </w:rPr>
      </w:pPr>
    </w:p>
    <w:p w14:paraId="169D0FAF" w14:textId="77777777" w:rsidR="00783F76" w:rsidRDefault="00783F76" w:rsidP="00783F76">
      <w:pPr>
        <w:pStyle w:val="NoSpacing"/>
        <w:ind w:left="709" w:hanging="709"/>
        <w:jc w:val="both"/>
        <w:rPr>
          <w:rFonts w:cstheme="minorHAnsi"/>
          <w:lang w:eastAsia="en-GB"/>
        </w:rPr>
      </w:pPr>
      <w:r>
        <w:rPr>
          <w:rFonts w:cstheme="minorHAnsi"/>
          <w:lang w:eastAsia="en-GB"/>
        </w:rPr>
        <w:t>12.3</w:t>
      </w:r>
      <w:r>
        <w:rPr>
          <w:rFonts w:cstheme="minorHAnsi"/>
          <w:lang w:eastAsia="en-GB"/>
        </w:rPr>
        <w:tab/>
      </w:r>
      <w:r w:rsidR="00563F3A">
        <w:rPr>
          <w:rFonts w:cstheme="minorHAnsi"/>
          <w:lang w:eastAsia="en-GB"/>
        </w:rPr>
        <w:t xml:space="preserve">Internally, the Intervention resource working group is continuing to review the interventions being delivered to children and is part of a broader national working group sharing this learning to drive service improvements. </w:t>
      </w:r>
    </w:p>
    <w:p w14:paraId="25EFC275" w14:textId="77777777" w:rsidR="00783F76" w:rsidRDefault="00783F76" w:rsidP="00783F76">
      <w:pPr>
        <w:pStyle w:val="NoSpacing"/>
        <w:ind w:left="709" w:hanging="709"/>
        <w:jc w:val="both"/>
        <w:rPr>
          <w:rFonts w:cstheme="minorHAnsi"/>
          <w:lang w:eastAsia="en-GB"/>
        </w:rPr>
      </w:pPr>
    </w:p>
    <w:p w14:paraId="6A55B060" w14:textId="77777777" w:rsidR="00783F76" w:rsidRDefault="00783F76" w:rsidP="00783F76">
      <w:pPr>
        <w:pStyle w:val="NoSpacing"/>
        <w:ind w:left="709" w:hanging="709"/>
        <w:jc w:val="both"/>
        <w:rPr>
          <w:rFonts w:cstheme="minorHAnsi"/>
          <w:lang w:eastAsia="en-GB"/>
        </w:rPr>
      </w:pPr>
      <w:r>
        <w:rPr>
          <w:rFonts w:cstheme="minorHAnsi"/>
          <w:lang w:eastAsia="en-GB"/>
        </w:rPr>
        <w:t>12.4</w:t>
      </w:r>
      <w:r>
        <w:rPr>
          <w:rFonts w:cstheme="minorHAnsi"/>
          <w:lang w:eastAsia="en-GB"/>
        </w:rPr>
        <w:tab/>
      </w:r>
      <w:r w:rsidR="00563F3A">
        <w:rPr>
          <w:rFonts w:cstheme="minorHAnsi"/>
          <w:lang w:eastAsia="en-GB"/>
        </w:rPr>
        <w:t xml:space="preserve">As part of the Local Authority, management are working with the Learning Academy. Working across the council to develop the skillset and knowledge base of all staff, making sure that effective interventions are being used and shared across the wider partnership. </w:t>
      </w:r>
    </w:p>
    <w:p w14:paraId="115FA0CF" w14:textId="77777777" w:rsidR="00783F76" w:rsidRDefault="00783F76" w:rsidP="00783F76">
      <w:pPr>
        <w:pStyle w:val="NoSpacing"/>
        <w:ind w:left="709" w:hanging="709"/>
        <w:jc w:val="both"/>
        <w:rPr>
          <w:rFonts w:cstheme="minorHAnsi"/>
          <w:lang w:eastAsia="en-GB"/>
        </w:rPr>
      </w:pPr>
    </w:p>
    <w:p w14:paraId="074A6B19" w14:textId="77777777" w:rsidR="00783F76" w:rsidRDefault="00783F76" w:rsidP="00783F76">
      <w:pPr>
        <w:pStyle w:val="NoSpacing"/>
        <w:ind w:left="709" w:hanging="709"/>
        <w:jc w:val="both"/>
        <w:rPr>
          <w:rFonts w:cstheme="minorHAnsi"/>
          <w:lang w:eastAsia="en-GB"/>
        </w:rPr>
      </w:pPr>
      <w:r>
        <w:rPr>
          <w:rFonts w:cstheme="minorHAnsi"/>
          <w:lang w:eastAsia="en-GB"/>
        </w:rPr>
        <w:t>12.5</w:t>
      </w:r>
      <w:r>
        <w:rPr>
          <w:rFonts w:cstheme="minorHAnsi"/>
          <w:lang w:eastAsia="en-GB"/>
        </w:rPr>
        <w:tab/>
      </w:r>
      <w:r w:rsidR="00563F3A">
        <w:rPr>
          <w:rFonts w:cstheme="minorHAnsi"/>
          <w:lang w:eastAsia="en-GB"/>
        </w:rPr>
        <w:t xml:space="preserve">The Service continues to access the Galleries of Justice and receive support from this organisation in delivering knife crime interventions. On a weekly basis, the Targeted Youth Support team take children from across the service through the exhibition. With staff from the Gallery, children take part in mock court hearings, walk through the life cycle of Ben </w:t>
      </w:r>
      <w:r w:rsidR="00563F3A">
        <w:rPr>
          <w:rFonts w:cstheme="minorHAnsi"/>
          <w:lang w:eastAsia="en-GB"/>
        </w:rPr>
        <w:lastRenderedPageBreak/>
        <w:t xml:space="preserve">Kinsella and now with the updated exhibition, children from across Nottingham who have been victims of knife crime and serious youth violence. </w:t>
      </w:r>
    </w:p>
    <w:p w14:paraId="5ED99F1D" w14:textId="77777777" w:rsidR="00783F76" w:rsidRDefault="00783F76" w:rsidP="00783F76">
      <w:pPr>
        <w:pStyle w:val="NoSpacing"/>
        <w:ind w:left="709" w:hanging="709"/>
        <w:jc w:val="both"/>
        <w:rPr>
          <w:rFonts w:cstheme="minorHAnsi"/>
          <w:lang w:eastAsia="en-GB"/>
        </w:rPr>
      </w:pPr>
    </w:p>
    <w:p w14:paraId="4D64F0CE" w14:textId="77777777" w:rsidR="00783F76" w:rsidRDefault="00783F76" w:rsidP="00783F76">
      <w:pPr>
        <w:pStyle w:val="NoSpacing"/>
        <w:ind w:left="709" w:hanging="709"/>
        <w:jc w:val="both"/>
        <w:rPr>
          <w:rFonts w:cstheme="minorHAnsi"/>
          <w:lang w:eastAsia="en-GB"/>
        </w:rPr>
      </w:pPr>
      <w:r>
        <w:rPr>
          <w:rFonts w:cstheme="minorHAnsi"/>
          <w:lang w:eastAsia="en-GB"/>
        </w:rPr>
        <w:t>12.6</w:t>
      </w:r>
      <w:r>
        <w:rPr>
          <w:rFonts w:cstheme="minorHAnsi"/>
          <w:lang w:eastAsia="en-GB"/>
        </w:rPr>
        <w:tab/>
      </w:r>
      <w:r w:rsidR="00563F3A">
        <w:rPr>
          <w:rFonts w:cstheme="minorHAnsi"/>
          <w:lang w:eastAsia="en-GB"/>
        </w:rPr>
        <w:t xml:space="preserve">Our work in Schools on reviewing the education knife crime guidance continues. Following the work with VRP, we have updated the existing guidance, </w:t>
      </w:r>
      <w:proofErr w:type="gramStart"/>
      <w:r w:rsidR="00563F3A">
        <w:rPr>
          <w:rFonts w:cstheme="minorHAnsi"/>
          <w:lang w:eastAsia="en-GB"/>
        </w:rPr>
        <w:t>taking</w:t>
      </w:r>
      <w:proofErr w:type="gramEnd"/>
      <w:r w:rsidR="00563F3A">
        <w:rPr>
          <w:rFonts w:cstheme="minorHAnsi"/>
          <w:lang w:eastAsia="en-GB"/>
        </w:rPr>
        <w:t xml:space="preserve"> a partnership approach</w:t>
      </w:r>
      <w:r w:rsidR="006E1559">
        <w:rPr>
          <w:rFonts w:cstheme="minorHAnsi"/>
          <w:lang w:eastAsia="en-GB"/>
        </w:rPr>
        <w:t>,</w:t>
      </w:r>
      <w:r w:rsidR="00563F3A">
        <w:rPr>
          <w:rFonts w:cstheme="minorHAnsi"/>
          <w:lang w:eastAsia="en-GB"/>
        </w:rPr>
        <w:t xml:space="preserve"> and seeking to move to an individual assessment focus providing universal and targeted additional support model, away from the previous zero tolerance approach to this issue. By addressing the issue and skilling up teachers to provide the information as part of the curriculum we are seeking to achieve a reduction in unnecessarily excluding and criminalising children as a response to the behaviour. This work links to the broader piece with Education colleagues addressed above. </w:t>
      </w:r>
    </w:p>
    <w:p w14:paraId="4F871501" w14:textId="77777777" w:rsidR="00783F76" w:rsidRDefault="00783F76" w:rsidP="00783F76">
      <w:pPr>
        <w:pStyle w:val="NoSpacing"/>
        <w:ind w:left="709" w:hanging="709"/>
        <w:jc w:val="both"/>
        <w:rPr>
          <w:rFonts w:cstheme="minorHAnsi"/>
          <w:lang w:eastAsia="en-GB"/>
        </w:rPr>
      </w:pPr>
    </w:p>
    <w:p w14:paraId="4A57963C" w14:textId="4D493FD7" w:rsidR="00563F3A" w:rsidRPr="00C53B1E" w:rsidRDefault="00783F76" w:rsidP="00783F76">
      <w:pPr>
        <w:pStyle w:val="NoSpacing"/>
        <w:ind w:left="709" w:hanging="709"/>
        <w:jc w:val="both"/>
        <w:rPr>
          <w:rFonts w:cstheme="minorHAnsi"/>
          <w:lang w:eastAsia="en-GB"/>
        </w:rPr>
      </w:pPr>
      <w:r>
        <w:rPr>
          <w:rFonts w:cstheme="minorHAnsi"/>
          <w:lang w:eastAsia="en-GB"/>
        </w:rPr>
        <w:t>12.7</w:t>
      </w:r>
      <w:r>
        <w:rPr>
          <w:rFonts w:cstheme="minorHAnsi"/>
          <w:lang w:eastAsia="en-GB"/>
        </w:rPr>
        <w:tab/>
      </w:r>
      <w:r w:rsidR="00563F3A">
        <w:rPr>
          <w:rFonts w:cstheme="minorHAnsi"/>
          <w:lang w:eastAsia="en-GB"/>
        </w:rPr>
        <w:t xml:space="preserve">We are in the final stages for bidding for the Immediate Justice programme, aimed at working with children who have committed ASB in the local community providing them reparative programmes. </w:t>
      </w:r>
    </w:p>
    <w:p w14:paraId="71926A35" w14:textId="77777777" w:rsidR="00492E45" w:rsidRDefault="00492E45" w:rsidP="00B15E08">
      <w:pPr>
        <w:pStyle w:val="NoSpacing"/>
        <w:jc w:val="both"/>
        <w:rPr>
          <w:rFonts w:cstheme="minorHAnsi"/>
          <w:b/>
          <w:bCs/>
          <w:sz w:val="24"/>
          <w:szCs w:val="24"/>
          <w:lang w:eastAsia="en-GB"/>
        </w:rPr>
      </w:pPr>
    </w:p>
    <w:p w14:paraId="50D15C10" w14:textId="44A6304F" w:rsidR="0079185B" w:rsidRPr="00C53B1E" w:rsidRDefault="0079185B" w:rsidP="00B15E08">
      <w:pPr>
        <w:pStyle w:val="NoSpacing"/>
        <w:jc w:val="both"/>
        <w:rPr>
          <w:rFonts w:cstheme="minorHAnsi"/>
          <w:b/>
          <w:bCs/>
          <w:sz w:val="24"/>
          <w:szCs w:val="24"/>
          <w:lang w:eastAsia="en-GB"/>
        </w:rPr>
      </w:pPr>
      <w:bookmarkStart w:id="14" w:name="_Toc156206885"/>
      <w:r w:rsidRPr="00FB5B91">
        <w:rPr>
          <w:rStyle w:val="Heading1Char"/>
        </w:rPr>
        <w:t>Evaluation</w:t>
      </w:r>
      <w:bookmarkEnd w:id="14"/>
    </w:p>
    <w:p w14:paraId="11515259" w14:textId="77777777" w:rsidR="00783F76" w:rsidRDefault="00783F76" w:rsidP="00783F76">
      <w:pPr>
        <w:pStyle w:val="NoSpacing"/>
        <w:ind w:left="709" w:hanging="709"/>
        <w:jc w:val="both"/>
        <w:rPr>
          <w:rFonts w:cstheme="minorHAnsi"/>
          <w:lang w:eastAsia="en-GB"/>
        </w:rPr>
      </w:pPr>
    </w:p>
    <w:p w14:paraId="5FEB7C1B" w14:textId="42832652" w:rsidR="006E1559" w:rsidRDefault="00783F76" w:rsidP="00783F76">
      <w:pPr>
        <w:pStyle w:val="NoSpacing"/>
        <w:ind w:left="709" w:hanging="709"/>
        <w:jc w:val="both"/>
        <w:rPr>
          <w:rFonts w:cstheme="minorHAnsi"/>
          <w:lang w:eastAsia="en-GB"/>
        </w:rPr>
      </w:pPr>
      <w:r>
        <w:rPr>
          <w:rFonts w:cstheme="minorHAnsi"/>
          <w:lang w:eastAsia="en-GB"/>
        </w:rPr>
        <w:t>13.1</w:t>
      </w:r>
      <w:r>
        <w:rPr>
          <w:rFonts w:cstheme="minorHAnsi"/>
          <w:lang w:eastAsia="en-GB"/>
        </w:rPr>
        <w:tab/>
      </w:r>
      <w:r w:rsidR="006E1559">
        <w:rPr>
          <w:rFonts w:cstheme="minorHAnsi"/>
          <w:lang w:eastAsia="en-GB"/>
        </w:rPr>
        <w:t xml:space="preserve">The biggest evaluation programme we have undergone this year was the </w:t>
      </w:r>
      <w:r w:rsidR="006E1559" w:rsidRPr="00C53B1E">
        <w:rPr>
          <w:rFonts w:cstheme="minorHAnsi"/>
          <w:lang w:eastAsia="en-GB"/>
        </w:rPr>
        <w:t xml:space="preserve">Peer </w:t>
      </w:r>
      <w:r w:rsidR="006E1559">
        <w:rPr>
          <w:rFonts w:cstheme="minorHAnsi"/>
          <w:lang w:eastAsia="en-GB"/>
        </w:rPr>
        <w:t>R</w:t>
      </w:r>
      <w:r w:rsidR="006E1559" w:rsidRPr="00C53B1E">
        <w:rPr>
          <w:rFonts w:cstheme="minorHAnsi"/>
          <w:lang w:eastAsia="en-GB"/>
        </w:rPr>
        <w:t>eview</w:t>
      </w:r>
      <w:r w:rsidR="006E1559">
        <w:rPr>
          <w:rFonts w:cstheme="minorHAnsi"/>
          <w:lang w:eastAsia="en-GB"/>
        </w:rPr>
        <w:t xml:space="preserve">. The outcome of which was broadly positive highlighting the real strengths of the staff, their engagement with the children and families, their perseverance and deep knowledge and understanding of the children on their case load. Areas for improvement have now been set out in the Peer Review plan, attached as Appendix </w:t>
      </w:r>
      <w:r w:rsidR="00FB55D6">
        <w:rPr>
          <w:rFonts w:cstheme="minorHAnsi"/>
          <w:lang w:eastAsia="en-GB"/>
        </w:rPr>
        <w:t>Four</w:t>
      </w:r>
      <w:r w:rsidR="006E1559">
        <w:rPr>
          <w:rFonts w:cstheme="minorHAnsi"/>
          <w:lang w:eastAsia="en-GB"/>
        </w:rPr>
        <w:t xml:space="preserve">. The key areas for the coming year are to better use </w:t>
      </w:r>
      <w:r w:rsidR="008D2D48">
        <w:rPr>
          <w:rFonts w:cstheme="minorHAnsi"/>
          <w:lang w:eastAsia="en-GB"/>
        </w:rPr>
        <w:t xml:space="preserve">of </w:t>
      </w:r>
      <w:r w:rsidR="006E1559">
        <w:rPr>
          <w:rFonts w:cstheme="minorHAnsi"/>
          <w:lang w:eastAsia="en-GB"/>
        </w:rPr>
        <w:t xml:space="preserve">data across the partnership to inform service delivery, an area that will be further supported by the new KPIs; To review the appropriateness of the Knife Crime policy, again an action that is already in progress and likely to see a reviewed policy presented by the Autumn of this year; strengthening the understanding of the journey of the child prior to their entry in the YJS, something that we have taken up immediately with the development of the Custodial Outcomes Evaluation Panel to share the learning across the partnership; a final key recommendation is to review the use of the NRM, this will be broad piece of work impacting as it does upon partners from the judiciary, police and Children’s Integrated Services. </w:t>
      </w:r>
    </w:p>
    <w:p w14:paraId="6804FDB5" w14:textId="77777777" w:rsidR="006E1559" w:rsidRPr="00C53B1E" w:rsidRDefault="006E1559" w:rsidP="00B15E08">
      <w:pPr>
        <w:pStyle w:val="NoSpacing"/>
        <w:jc w:val="both"/>
        <w:rPr>
          <w:rFonts w:cstheme="minorHAnsi"/>
          <w:lang w:eastAsia="en-GB"/>
        </w:rPr>
      </w:pPr>
    </w:p>
    <w:p w14:paraId="22860A28" w14:textId="3BD4769D" w:rsidR="006E1559" w:rsidRDefault="00783F76" w:rsidP="00232EC3">
      <w:pPr>
        <w:pStyle w:val="NoSpacing"/>
        <w:ind w:left="709" w:hanging="709"/>
        <w:jc w:val="both"/>
        <w:rPr>
          <w:rFonts w:cstheme="minorHAnsi"/>
          <w:lang w:eastAsia="en-GB"/>
        </w:rPr>
      </w:pPr>
      <w:r>
        <w:rPr>
          <w:rFonts w:cstheme="minorHAnsi"/>
          <w:lang w:eastAsia="en-GB"/>
        </w:rPr>
        <w:t>1</w:t>
      </w:r>
      <w:r w:rsidR="00232EC3">
        <w:rPr>
          <w:rFonts w:cstheme="minorHAnsi"/>
          <w:lang w:eastAsia="en-GB"/>
        </w:rPr>
        <w:t>3.2</w:t>
      </w:r>
      <w:r w:rsidR="00232EC3">
        <w:rPr>
          <w:rFonts w:cstheme="minorHAnsi"/>
          <w:lang w:eastAsia="en-GB"/>
        </w:rPr>
        <w:tab/>
      </w:r>
      <w:r w:rsidR="006E1559">
        <w:rPr>
          <w:rFonts w:cstheme="minorHAnsi"/>
          <w:lang w:eastAsia="en-GB"/>
        </w:rPr>
        <w:t xml:space="preserve">On an ongoing basis we have case file audits completed by the management team, in addition to the standard, individualised quality assurance processes of </w:t>
      </w:r>
      <w:proofErr w:type="spellStart"/>
      <w:r w:rsidR="006E1559">
        <w:rPr>
          <w:rFonts w:cstheme="minorHAnsi"/>
          <w:lang w:eastAsia="en-GB"/>
        </w:rPr>
        <w:t>Assetplus</w:t>
      </w:r>
      <w:proofErr w:type="spellEnd"/>
      <w:r w:rsidR="006E1559">
        <w:rPr>
          <w:rFonts w:cstheme="minorHAnsi"/>
          <w:lang w:eastAsia="en-GB"/>
        </w:rPr>
        <w:t>, Out of Court, and Pre-Sentence Reports. The current audit focus is on those cases who are six-weeks into their Out of Court intervention</w:t>
      </w:r>
      <w:r w:rsidR="0067336D">
        <w:rPr>
          <w:rFonts w:cstheme="minorHAnsi"/>
          <w:lang w:eastAsia="en-GB"/>
        </w:rPr>
        <w:t>.</w:t>
      </w:r>
    </w:p>
    <w:p w14:paraId="0B406E9C" w14:textId="77777777" w:rsidR="006E1559" w:rsidRDefault="006E1559" w:rsidP="00B15E08">
      <w:pPr>
        <w:pStyle w:val="NoSpacing"/>
        <w:jc w:val="both"/>
        <w:rPr>
          <w:rFonts w:cstheme="minorHAnsi"/>
          <w:lang w:eastAsia="en-GB"/>
        </w:rPr>
      </w:pPr>
    </w:p>
    <w:p w14:paraId="41E0147D" w14:textId="02E0605D" w:rsidR="006E1559" w:rsidRDefault="00232EC3" w:rsidP="00232EC3">
      <w:pPr>
        <w:pStyle w:val="NoSpacing"/>
        <w:ind w:left="709" w:hanging="709"/>
        <w:jc w:val="both"/>
        <w:rPr>
          <w:rFonts w:cstheme="minorHAnsi"/>
          <w:lang w:eastAsia="en-GB"/>
        </w:rPr>
      </w:pPr>
      <w:r>
        <w:rPr>
          <w:rFonts w:cstheme="minorHAnsi"/>
          <w:lang w:eastAsia="en-GB"/>
        </w:rPr>
        <w:t>13.3</w:t>
      </w:r>
      <w:r>
        <w:rPr>
          <w:rFonts w:cstheme="minorHAnsi"/>
          <w:lang w:eastAsia="en-GB"/>
        </w:rPr>
        <w:tab/>
      </w:r>
      <w:r w:rsidR="006E1559">
        <w:rPr>
          <w:rFonts w:cstheme="minorHAnsi"/>
          <w:lang w:eastAsia="en-GB"/>
        </w:rPr>
        <w:t>Currently we have an operational w</w:t>
      </w:r>
      <w:r w:rsidR="006E1559" w:rsidRPr="00C53B1E">
        <w:rPr>
          <w:rFonts w:cstheme="minorHAnsi"/>
          <w:lang w:eastAsia="en-GB"/>
        </w:rPr>
        <w:t>orking group internally evaluating the effectiveness of resources and interventions used by the YJS</w:t>
      </w:r>
      <w:r w:rsidR="006E1559">
        <w:rPr>
          <w:rFonts w:cstheme="minorHAnsi"/>
          <w:lang w:eastAsia="en-GB"/>
        </w:rPr>
        <w:t xml:space="preserve">. This group is </w:t>
      </w:r>
      <w:r w:rsidR="006E1559" w:rsidRPr="00C53B1E">
        <w:rPr>
          <w:rFonts w:cstheme="minorHAnsi"/>
          <w:lang w:eastAsia="en-GB"/>
        </w:rPr>
        <w:t>providing consistency of delivery, ensuring learning outcomes and objectives are clearly understood</w:t>
      </w:r>
      <w:r w:rsidR="006E1559">
        <w:rPr>
          <w:rFonts w:cstheme="minorHAnsi"/>
          <w:lang w:eastAsia="en-GB"/>
        </w:rPr>
        <w:t xml:space="preserve"> and thereby</w:t>
      </w:r>
      <w:r w:rsidR="006E1559" w:rsidRPr="00C53B1E">
        <w:rPr>
          <w:rFonts w:cstheme="minorHAnsi"/>
          <w:lang w:eastAsia="en-GB"/>
        </w:rPr>
        <w:t xml:space="preserve"> enabling the service to have a mechanism to provide greater review and evaluation. </w:t>
      </w:r>
    </w:p>
    <w:p w14:paraId="4C7ED3A1" w14:textId="77777777" w:rsidR="006E1559" w:rsidRDefault="006E1559" w:rsidP="00B15E08">
      <w:pPr>
        <w:pStyle w:val="NoSpacing"/>
        <w:jc w:val="both"/>
        <w:rPr>
          <w:rFonts w:cstheme="minorHAnsi"/>
          <w:lang w:eastAsia="en-GB"/>
        </w:rPr>
      </w:pPr>
    </w:p>
    <w:p w14:paraId="6A55D635" w14:textId="1FC76F0A" w:rsidR="00B8390E" w:rsidRPr="00C53B1E" w:rsidRDefault="00232EC3" w:rsidP="00232EC3">
      <w:pPr>
        <w:pStyle w:val="NoSpacing"/>
        <w:ind w:left="709" w:hanging="709"/>
        <w:jc w:val="both"/>
        <w:rPr>
          <w:rFonts w:cstheme="minorHAnsi"/>
          <w:b/>
          <w:bCs/>
          <w:lang w:eastAsia="en-GB"/>
        </w:rPr>
      </w:pPr>
      <w:r>
        <w:rPr>
          <w:rFonts w:cstheme="minorHAnsi"/>
          <w:lang w:eastAsia="en-GB"/>
        </w:rPr>
        <w:t>13.4</w:t>
      </w:r>
      <w:r>
        <w:rPr>
          <w:rFonts w:cstheme="minorHAnsi"/>
          <w:lang w:eastAsia="en-GB"/>
        </w:rPr>
        <w:tab/>
      </w:r>
      <w:r w:rsidR="006E1559">
        <w:rPr>
          <w:rFonts w:cstheme="minorHAnsi"/>
          <w:lang w:eastAsia="en-GB"/>
        </w:rPr>
        <w:t>As discussed above, with regards to innovation and evaluation, following the problem identification within the Service and the key focus of the last few years on the high rates of FTE, we are working with the VRP and Nottingham University to an identify evidence-base for this issue. This will then allow us to better evaluate provision, not just within the service, but across the partnership.</w:t>
      </w:r>
    </w:p>
    <w:p w14:paraId="60738F72" w14:textId="77777777" w:rsidR="006E1559" w:rsidRPr="00C53B1E" w:rsidRDefault="006E1559" w:rsidP="00B15E08">
      <w:pPr>
        <w:pStyle w:val="NoSpacing"/>
        <w:jc w:val="both"/>
        <w:rPr>
          <w:rFonts w:cstheme="minorHAnsi"/>
          <w:b/>
          <w:bCs/>
          <w:lang w:eastAsia="en-GB"/>
        </w:rPr>
      </w:pPr>
    </w:p>
    <w:p w14:paraId="0E1D4781" w14:textId="77777777" w:rsidR="00A60808" w:rsidRDefault="00A60808">
      <w:pPr>
        <w:rPr>
          <w:rStyle w:val="Heading1Char"/>
        </w:rPr>
      </w:pPr>
      <w:r>
        <w:rPr>
          <w:rStyle w:val="Heading1Char"/>
        </w:rPr>
        <w:br w:type="page"/>
      </w:r>
    </w:p>
    <w:p w14:paraId="10B6150B" w14:textId="581DE66A" w:rsidR="0079185B" w:rsidRPr="00C53B1E" w:rsidRDefault="0079185B" w:rsidP="00B15E08">
      <w:pPr>
        <w:pStyle w:val="NoSpacing"/>
        <w:jc w:val="both"/>
        <w:rPr>
          <w:rFonts w:cstheme="minorHAnsi"/>
          <w:b/>
          <w:bCs/>
          <w:sz w:val="24"/>
          <w:szCs w:val="24"/>
          <w:lang w:eastAsia="en-GB"/>
        </w:rPr>
      </w:pPr>
      <w:bookmarkStart w:id="15" w:name="_Toc156206886"/>
      <w:r w:rsidRPr="00FB5B91">
        <w:rPr>
          <w:rStyle w:val="Heading1Char"/>
        </w:rPr>
        <w:lastRenderedPageBreak/>
        <w:t>Service development</w:t>
      </w:r>
      <w:bookmarkEnd w:id="15"/>
    </w:p>
    <w:p w14:paraId="7AE3B94E" w14:textId="7DF532BB" w:rsidR="00B12A4F" w:rsidRDefault="00B12A4F" w:rsidP="00B15E08">
      <w:pPr>
        <w:pStyle w:val="NoSpacing"/>
        <w:jc w:val="both"/>
        <w:rPr>
          <w:rFonts w:cstheme="minorHAnsi"/>
          <w:lang w:eastAsia="en-GB"/>
        </w:rPr>
      </w:pPr>
    </w:p>
    <w:p w14:paraId="42A838AE" w14:textId="159D71F4" w:rsidR="00B12A4F" w:rsidRDefault="00232EC3" w:rsidP="00232EC3">
      <w:pPr>
        <w:pStyle w:val="NoSpacing"/>
        <w:ind w:left="720" w:hanging="720"/>
        <w:jc w:val="both"/>
        <w:rPr>
          <w:rFonts w:cstheme="minorHAnsi"/>
          <w:lang w:eastAsia="en-GB"/>
        </w:rPr>
      </w:pPr>
      <w:r>
        <w:rPr>
          <w:rFonts w:cstheme="minorHAnsi"/>
          <w:lang w:eastAsia="en-GB"/>
        </w:rPr>
        <w:t>14.1</w:t>
      </w:r>
      <w:r>
        <w:rPr>
          <w:rFonts w:cstheme="minorHAnsi"/>
          <w:lang w:eastAsia="en-GB"/>
        </w:rPr>
        <w:tab/>
      </w:r>
      <w:r w:rsidR="00B12A4F">
        <w:rPr>
          <w:rFonts w:cstheme="minorHAnsi"/>
          <w:lang w:eastAsia="en-GB"/>
        </w:rPr>
        <w:t xml:space="preserve">As discussed above, </w:t>
      </w:r>
      <w:r w:rsidR="00B877A4">
        <w:rPr>
          <w:rFonts w:cstheme="minorHAnsi"/>
          <w:lang w:eastAsia="en-GB"/>
        </w:rPr>
        <w:t xml:space="preserve">this is the final year of a three-year review plan. As such there are a number of targets and actions to be completed by the Board, and the Service by the end of March 2024. The priorities remain the focus on reducing first time entrants, the use of custody and the issues of disproportionality but now include the ten new Key Performance Indicators as set out by the Youth Justice Board. </w:t>
      </w:r>
    </w:p>
    <w:p w14:paraId="11D4950A" w14:textId="236669B1" w:rsidR="00B877A4" w:rsidRDefault="00B877A4" w:rsidP="00B15E08">
      <w:pPr>
        <w:pStyle w:val="NoSpacing"/>
        <w:jc w:val="both"/>
        <w:rPr>
          <w:rFonts w:cstheme="minorHAnsi"/>
          <w:lang w:eastAsia="en-GB"/>
        </w:rPr>
      </w:pPr>
    </w:p>
    <w:p w14:paraId="2AF16299" w14:textId="4F2687E3" w:rsidR="00B877A4" w:rsidRDefault="00232EC3" w:rsidP="00232EC3">
      <w:pPr>
        <w:pStyle w:val="NoSpacing"/>
        <w:ind w:left="720" w:hanging="720"/>
        <w:jc w:val="both"/>
        <w:rPr>
          <w:rFonts w:cstheme="minorHAnsi"/>
          <w:lang w:eastAsia="en-GB"/>
        </w:rPr>
      </w:pPr>
      <w:r>
        <w:rPr>
          <w:rFonts w:cstheme="minorHAnsi"/>
          <w:lang w:eastAsia="en-GB"/>
        </w:rPr>
        <w:t>14.2</w:t>
      </w:r>
      <w:r>
        <w:rPr>
          <w:rFonts w:cstheme="minorHAnsi"/>
          <w:lang w:eastAsia="en-GB"/>
        </w:rPr>
        <w:tab/>
      </w:r>
      <w:r w:rsidR="00B877A4">
        <w:rPr>
          <w:rFonts w:cstheme="minorHAnsi"/>
          <w:lang w:eastAsia="en-GB"/>
        </w:rPr>
        <w:t>Further</w:t>
      </w:r>
      <w:r w:rsidR="00203B0D">
        <w:rPr>
          <w:rFonts w:cstheme="minorHAnsi"/>
          <w:lang w:eastAsia="en-GB"/>
        </w:rPr>
        <w:t xml:space="preserve"> to these</w:t>
      </w:r>
      <w:r w:rsidR="00B877A4">
        <w:rPr>
          <w:rFonts w:cstheme="minorHAnsi"/>
          <w:lang w:eastAsia="en-GB"/>
        </w:rPr>
        <w:t xml:space="preserve">, following the Peer Review that took place in November 22, the Service has new goals to achieve that </w:t>
      </w:r>
      <w:r w:rsidR="00BC3D7B">
        <w:rPr>
          <w:rFonts w:cstheme="minorHAnsi"/>
          <w:lang w:eastAsia="en-GB"/>
        </w:rPr>
        <w:t>a</w:t>
      </w:r>
      <w:r w:rsidR="00B877A4">
        <w:rPr>
          <w:rFonts w:cstheme="minorHAnsi"/>
          <w:lang w:eastAsia="en-GB"/>
        </w:rPr>
        <w:t xml:space="preserve">rose from the review. </w:t>
      </w:r>
      <w:r w:rsidR="002E4B71">
        <w:rPr>
          <w:rFonts w:cstheme="minorHAnsi"/>
          <w:lang w:eastAsia="en-GB"/>
        </w:rPr>
        <w:t xml:space="preserve">Both plans are </w:t>
      </w:r>
      <w:r w:rsidR="004A3386">
        <w:rPr>
          <w:rFonts w:cstheme="minorHAnsi"/>
          <w:lang w:eastAsia="en-GB"/>
        </w:rPr>
        <w:t>attached in Appendix Four.</w:t>
      </w:r>
    </w:p>
    <w:p w14:paraId="3EE8A455" w14:textId="77777777" w:rsidR="00B12A4F" w:rsidRDefault="00B12A4F" w:rsidP="00B15E08">
      <w:pPr>
        <w:pStyle w:val="NoSpacing"/>
        <w:jc w:val="both"/>
        <w:rPr>
          <w:rFonts w:cstheme="minorHAnsi"/>
          <w:lang w:eastAsia="en-GB"/>
        </w:rPr>
      </w:pPr>
    </w:p>
    <w:p w14:paraId="4FB8183F" w14:textId="0F379483" w:rsidR="005D004A" w:rsidRDefault="00232EC3" w:rsidP="00232EC3">
      <w:pPr>
        <w:pStyle w:val="NoSpacing"/>
        <w:ind w:left="720" w:hanging="720"/>
        <w:jc w:val="both"/>
        <w:rPr>
          <w:rFonts w:cstheme="minorHAnsi"/>
          <w:lang w:eastAsia="en-GB"/>
        </w:rPr>
      </w:pPr>
      <w:r>
        <w:rPr>
          <w:rFonts w:cstheme="minorHAnsi"/>
          <w:lang w:eastAsia="en-GB"/>
        </w:rPr>
        <w:t>14.3</w:t>
      </w:r>
      <w:r>
        <w:rPr>
          <w:rFonts w:cstheme="minorHAnsi"/>
          <w:lang w:eastAsia="en-GB"/>
        </w:rPr>
        <w:tab/>
      </w:r>
      <w:r w:rsidR="00B846DA">
        <w:rPr>
          <w:rFonts w:cstheme="minorHAnsi"/>
          <w:lang w:eastAsia="en-GB"/>
        </w:rPr>
        <w:t>The service maintains its o</w:t>
      </w:r>
      <w:r w:rsidR="001634E0" w:rsidRPr="00C53B1E">
        <w:rPr>
          <w:rFonts w:cstheme="minorHAnsi"/>
          <w:lang w:eastAsia="en-GB"/>
        </w:rPr>
        <w:t>ngoing focus on early intervention</w:t>
      </w:r>
      <w:r w:rsidR="000B1AB2">
        <w:rPr>
          <w:rFonts w:cstheme="minorHAnsi"/>
          <w:lang w:eastAsia="en-GB"/>
        </w:rPr>
        <w:t xml:space="preserve"> and prevention</w:t>
      </w:r>
      <w:r w:rsidR="00B846DA">
        <w:rPr>
          <w:rFonts w:cstheme="minorHAnsi"/>
          <w:lang w:eastAsia="en-GB"/>
        </w:rPr>
        <w:t xml:space="preserve">, the high rates of </w:t>
      </w:r>
      <w:r w:rsidR="008C30E8" w:rsidRPr="00C53B1E">
        <w:rPr>
          <w:rFonts w:cstheme="minorHAnsi"/>
          <w:lang w:eastAsia="en-GB"/>
        </w:rPr>
        <w:t>F</w:t>
      </w:r>
      <w:r w:rsidR="00B846DA">
        <w:rPr>
          <w:rFonts w:cstheme="minorHAnsi"/>
          <w:lang w:eastAsia="en-GB"/>
        </w:rPr>
        <w:t>irst Time Entrants</w:t>
      </w:r>
      <w:r w:rsidR="00521E48">
        <w:rPr>
          <w:rFonts w:cstheme="minorHAnsi"/>
          <w:lang w:eastAsia="en-GB"/>
        </w:rPr>
        <w:t xml:space="preserve">, </w:t>
      </w:r>
      <w:r w:rsidR="00B846DA">
        <w:rPr>
          <w:rFonts w:cstheme="minorHAnsi"/>
          <w:lang w:eastAsia="en-GB"/>
        </w:rPr>
        <w:t xml:space="preserve">the </w:t>
      </w:r>
      <w:r w:rsidR="008C30E8" w:rsidRPr="00C53B1E">
        <w:rPr>
          <w:rFonts w:cstheme="minorHAnsi"/>
          <w:lang w:eastAsia="en-GB"/>
        </w:rPr>
        <w:t>use of custody</w:t>
      </w:r>
      <w:r w:rsidR="00521E48">
        <w:rPr>
          <w:rFonts w:cstheme="minorHAnsi"/>
          <w:lang w:eastAsia="en-GB"/>
        </w:rPr>
        <w:t xml:space="preserve"> and the development of the victim offer</w:t>
      </w:r>
      <w:r w:rsidR="00B846DA">
        <w:rPr>
          <w:rFonts w:cstheme="minorHAnsi"/>
          <w:lang w:eastAsia="en-GB"/>
        </w:rPr>
        <w:t xml:space="preserve">. </w:t>
      </w:r>
    </w:p>
    <w:p w14:paraId="2B1BA443" w14:textId="77777777" w:rsidR="005D004A" w:rsidRDefault="005D004A" w:rsidP="00B15E08">
      <w:pPr>
        <w:pStyle w:val="NoSpacing"/>
        <w:jc w:val="both"/>
        <w:rPr>
          <w:rFonts w:cstheme="minorHAnsi"/>
          <w:lang w:eastAsia="en-GB"/>
        </w:rPr>
      </w:pPr>
    </w:p>
    <w:p w14:paraId="72B71538" w14:textId="5D85B200" w:rsidR="008C30E8" w:rsidRDefault="00232EC3" w:rsidP="00232EC3">
      <w:pPr>
        <w:pStyle w:val="NoSpacing"/>
        <w:ind w:left="720" w:hanging="720"/>
        <w:jc w:val="both"/>
        <w:rPr>
          <w:rFonts w:cstheme="minorHAnsi"/>
          <w:lang w:eastAsia="en-GB"/>
        </w:rPr>
      </w:pPr>
      <w:r>
        <w:rPr>
          <w:rFonts w:cstheme="minorHAnsi"/>
          <w:lang w:eastAsia="en-GB"/>
        </w:rPr>
        <w:t>14.4</w:t>
      </w:r>
      <w:r>
        <w:rPr>
          <w:rFonts w:cstheme="minorHAnsi"/>
          <w:lang w:eastAsia="en-GB"/>
        </w:rPr>
        <w:tab/>
      </w:r>
      <w:r w:rsidR="00B846DA">
        <w:rPr>
          <w:rFonts w:cstheme="minorHAnsi"/>
          <w:lang w:eastAsia="en-GB"/>
        </w:rPr>
        <w:t xml:space="preserve">In the coming year Turnaround and other YEF funded </w:t>
      </w:r>
      <w:r w:rsidR="00A405FA">
        <w:rPr>
          <w:rFonts w:cstheme="minorHAnsi"/>
          <w:lang w:eastAsia="en-GB"/>
        </w:rPr>
        <w:t>programmes will be embedded</w:t>
      </w:r>
      <w:r w:rsidR="007F66C0">
        <w:rPr>
          <w:rFonts w:cstheme="minorHAnsi"/>
          <w:lang w:eastAsia="en-GB"/>
        </w:rPr>
        <w:t xml:space="preserve"> into service delivery.</w:t>
      </w:r>
      <w:r w:rsidR="005D004A">
        <w:rPr>
          <w:rFonts w:cstheme="minorHAnsi"/>
          <w:lang w:eastAsia="en-GB"/>
        </w:rPr>
        <w:t xml:space="preserve"> </w:t>
      </w:r>
      <w:r w:rsidR="005B1F77">
        <w:rPr>
          <w:rFonts w:cstheme="minorHAnsi"/>
          <w:lang w:eastAsia="en-GB"/>
        </w:rPr>
        <w:t xml:space="preserve">These programmes will support us to </w:t>
      </w:r>
      <w:r w:rsidR="005D004A">
        <w:rPr>
          <w:rFonts w:cstheme="minorHAnsi"/>
          <w:lang w:eastAsia="en-GB"/>
        </w:rPr>
        <w:t>appropriately identify children at the earliest opportunity to divert them from the Youth Justice System</w:t>
      </w:r>
      <w:r w:rsidR="005B1F77">
        <w:rPr>
          <w:rFonts w:cstheme="minorHAnsi"/>
          <w:lang w:eastAsia="en-GB"/>
        </w:rPr>
        <w:t xml:space="preserve">. </w:t>
      </w:r>
    </w:p>
    <w:p w14:paraId="4F621D62" w14:textId="020E0A81" w:rsidR="005B1F77" w:rsidRDefault="005B1F77" w:rsidP="00B15E08">
      <w:pPr>
        <w:pStyle w:val="NoSpacing"/>
        <w:jc w:val="both"/>
        <w:rPr>
          <w:rFonts w:cstheme="minorHAnsi"/>
          <w:lang w:eastAsia="en-GB"/>
        </w:rPr>
      </w:pPr>
    </w:p>
    <w:p w14:paraId="6FB5986E" w14:textId="6F8379A4" w:rsidR="005B1F77" w:rsidRDefault="00232EC3" w:rsidP="00232EC3">
      <w:pPr>
        <w:pStyle w:val="NoSpacing"/>
        <w:ind w:left="720" w:hanging="720"/>
        <w:jc w:val="both"/>
        <w:rPr>
          <w:rFonts w:cstheme="minorHAnsi"/>
          <w:lang w:eastAsia="en-GB"/>
        </w:rPr>
      </w:pPr>
      <w:r>
        <w:rPr>
          <w:rFonts w:cstheme="minorHAnsi"/>
          <w:lang w:eastAsia="en-GB"/>
        </w:rPr>
        <w:t>14.5</w:t>
      </w:r>
      <w:r>
        <w:rPr>
          <w:rFonts w:cstheme="minorHAnsi"/>
          <w:lang w:eastAsia="en-GB"/>
        </w:rPr>
        <w:tab/>
      </w:r>
      <w:r w:rsidR="0026463A">
        <w:rPr>
          <w:rFonts w:cstheme="minorHAnsi"/>
          <w:lang w:eastAsia="en-GB"/>
        </w:rPr>
        <w:t>The coming months will see a review of the Joint Out of Court protocol shared with Nottinghamshire County YJS and Nottinghamshire Police Service. This seeks to review and amend the Knife Crime process, placing responsibility for assessment and risk management into the hands of the YJS</w:t>
      </w:r>
      <w:r w:rsidR="00C81158">
        <w:rPr>
          <w:rFonts w:cstheme="minorHAnsi"/>
          <w:lang w:eastAsia="en-GB"/>
        </w:rPr>
        <w:t xml:space="preserve"> and also the growing use of Outcome 22 which seeks to provide greater support and intervention at an earlier stage. </w:t>
      </w:r>
      <w:r w:rsidR="00867B39">
        <w:rPr>
          <w:rFonts w:cstheme="minorHAnsi"/>
          <w:lang w:eastAsia="en-GB"/>
        </w:rPr>
        <w:t xml:space="preserve">It should be noted that all children entering the </w:t>
      </w:r>
      <w:r w:rsidR="00795958">
        <w:rPr>
          <w:rFonts w:cstheme="minorHAnsi"/>
          <w:lang w:eastAsia="en-GB"/>
        </w:rPr>
        <w:t xml:space="preserve">YJS in Nottingham City will be receiving a comprehensive risk and needs based assessment to ensure appropriately targeted and designed interventions and support. </w:t>
      </w:r>
    </w:p>
    <w:p w14:paraId="6419DAE6" w14:textId="46AC7339" w:rsidR="003D2E41" w:rsidRDefault="003D2E41" w:rsidP="00B15E08">
      <w:pPr>
        <w:pStyle w:val="NoSpacing"/>
        <w:jc w:val="both"/>
        <w:rPr>
          <w:rFonts w:cstheme="minorHAnsi"/>
          <w:lang w:eastAsia="en-GB"/>
        </w:rPr>
      </w:pPr>
    </w:p>
    <w:p w14:paraId="60CD2A0C" w14:textId="01418F97" w:rsidR="003D2E41" w:rsidRDefault="00232EC3" w:rsidP="00232EC3">
      <w:pPr>
        <w:pStyle w:val="NoSpacing"/>
        <w:ind w:left="720" w:hanging="720"/>
        <w:jc w:val="both"/>
        <w:rPr>
          <w:rFonts w:cstheme="minorHAnsi"/>
          <w:lang w:eastAsia="en-GB"/>
        </w:rPr>
      </w:pPr>
      <w:r>
        <w:rPr>
          <w:rFonts w:cstheme="minorHAnsi"/>
          <w:lang w:eastAsia="en-GB"/>
        </w:rPr>
        <w:t>14.6</w:t>
      </w:r>
      <w:r>
        <w:rPr>
          <w:rFonts w:cstheme="minorHAnsi"/>
          <w:lang w:eastAsia="en-GB"/>
        </w:rPr>
        <w:tab/>
      </w:r>
      <w:r w:rsidR="003D2E41">
        <w:rPr>
          <w:rFonts w:cstheme="minorHAnsi"/>
          <w:lang w:eastAsia="en-GB"/>
        </w:rPr>
        <w:t xml:space="preserve">With regards to the use of custody, the service </w:t>
      </w:r>
      <w:r w:rsidR="00656401">
        <w:rPr>
          <w:rFonts w:cstheme="minorHAnsi"/>
          <w:lang w:eastAsia="en-GB"/>
        </w:rPr>
        <w:t>has introduced a system wide review process of all custodial cases</w:t>
      </w:r>
      <w:r w:rsidR="00A56494">
        <w:rPr>
          <w:rFonts w:cstheme="minorHAnsi"/>
          <w:lang w:eastAsia="en-GB"/>
        </w:rPr>
        <w:t>. This has built upon the internal review mechanisms that were in place for any child that received a custodial case and now involves other agencies from across the system who have had an input into the child’s life before they enter the YJS</w:t>
      </w:r>
      <w:r w:rsidR="00675DDD">
        <w:rPr>
          <w:rFonts w:cstheme="minorHAnsi"/>
          <w:lang w:eastAsia="en-GB"/>
        </w:rPr>
        <w:t xml:space="preserve">. </w:t>
      </w:r>
    </w:p>
    <w:p w14:paraId="4A35E138" w14:textId="100DF2A5" w:rsidR="00521E48" w:rsidRDefault="00521E48" w:rsidP="00B15E08">
      <w:pPr>
        <w:pStyle w:val="NoSpacing"/>
        <w:jc w:val="both"/>
        <w:rPr>
          <w:rFonts w:cstheme="minorHAnsi"/>
          <w:lang w:eastAsia="en-GB"/>
        </w:rPr>
      </w:pPr>
    </w:p>
    <w:p w14:paraId="02225A7E" w14:textId="6990BE92" w:rsidR="00521E48" w:rsidRDefault="00232EC3" w:rsidP="00232EC3">
      <w:pPr>
        <w:pStyle w:val="NoSpacing"/>
        <w:ind w:left="720" w:hanging="720"/>
        <w:jc w:val="both"/>
        <w:rPr>
          <w:rFonts w:cstheme="minorHAnsi"/>
          <w:lang w:eastAsia="en-GB"/>
        </w:rPr>
      </w:pPr>
      <w:r>
        <w:rPr>
          <w:rFonts w:cstheme="minorHAnsi"/>
          <w:lang w:eastAsia="en-GB"/>
        </w:rPr>
        <w:t>14.7</w:t>
      </w:r>
      <w:r>
        <w:rPr>
          <w:rFonts w:cstheme="minorHAnsi"/>
          <w:lang w:eastAsia="en-GB"/>
        </w:rPr>
        <w:tab/>
      </w:r>
      <w:r w:rsidR="00521E48">
        <w:rPr>
          <w:rFonts w:cstheme="minorHAnsi"/>
          <w:lang w:eastAsia="en-GB"/>
        </w:rPr>
        <w:t xml:space="preserve">With regards to the Victim offer, </w:t>
      </w:r>
      <w:r w:rsidR="005D333D">
        <w:rPr>
          <w:rFonts w:cstheme="minorHAnsi"/>
          <w:lang w:eastAsia="en-GB"/>
        </w:rPr>
        <w:t xml:space="preserve">the Service has identified the need and </w:t>
      </w:r>
      <w:r w:rsidR="00233A86">
        <w:rPr>
          <w:rFonts w:cstheme="minorHAnsi"/>
          <w:lang w:eastAsia="en-GB"/>
        </w:rPr>
        <w:t xml:space="preserve">are imminently recruiting for the positions of Victim and Restorative Justice Practitioner and Referral Order and Reparation Co-ordinator. These posts will grow the Service’s capabilities and capacity to offer a high standard of support and intervention to victims and the local community that we previously haven’t had. </w:t>
      </w:r>
    </w:p>
    <w:p w14:paraId="37E1B2B7" w14:textId="77777777" w:rsidR="00B846DA" w:rsidRPr="00C53B1E" w:rsidRDefault="00B846DA" w:rsidP="00B15E08">
      <w:pPr>
        <w:pStyle w:val="NoSpacing"/>
        <w:jc w:val="both"/>
        <w:rPr>
          <w:rFonts w:cstheme="minorHAnsi"/>
          <w:lang w:eastAsia="en-GB"/>
        </w:rPr>
      </w:pPr>
    </w:p>
    <w:p w14:paraId="51DB7A81" w14:textId="5F5EC345" w:rsidR="0079185B" w:rsidRPr="00FB5B91" w:rsidRDefault="0079185B" w:rsidP="00B15E08">
      <w:pPr>
        <w:pStyle w:val="NoSpacing"/>
        <w:jc w:val="both"/>
        <w:rPr>
          <w:rStyle w:val="Heading1Char"/>
        </w:rPr>
      </w:pPr>
      <w:bookmarkStart w:id="16" w:name="_Toc156206887"/>
      <w:r w:rsidRPr="00FB5B91">
        <w:rPr>
          <w:rStyle w:val="Heading1Char"/>
        </w:rPr>
        <w:t>Challenges, risks, and issues</w:t>
      </w:r>
      <w:bookmarkEnd w:id="16"/>
    </w:p>
    <w:p w14:paraId="746EB1DD" w14:textId="64B95E6E" w:rsidR="007E288A" w:rsidRDefault="007E288A" w:rsidP="00B15E08">
      <w:pPr>
        <w:pStyle w:val="NoSpacing"/>
        <w:jc w:val="both"/>
        <w:rPr>
          <w:rFonts w:cstheme="minorHAnsi"/>
          <w:b/>
          <w:bCs/>
          <w:lang w:eastAsia="en-GB"/>
        </w:rPr>
      </w:pPr>
    </w:p>
    <w:p w14:paraId="1E9992F5" w14:textId="73604CCC" w:rsidR="005F64F6" w:rsidRDefault="00232EC3" w:rsidP="00232EC3">
      <w:pPr>
        <w:pStyle w:val="NoSpacing"/>
        <w:ind w:left="720" w:hanging="720"/>
        <w:jc w:val="both"/>
        <w:rPr>
          <w:rFonts w:cstheme="minorHAnsi"/>
          <w:lang w:eastAsia="en-GB"/>
        </w:rPr>
      </w:pPr>
      <w:r>
        <w:rPr>
          <w:rFonts w:cstheme="minorHAnsi"/>
          <w:lang w:eastAsia="en-GB"/>
        </w:rPr>
        <w:t>15.1</w:t>
      </w:r>
      <w:r>
        <w:rPr>
          <w:rFonts w:cstheme="minorHAnsi"/>
          <w:lang w:eastAsia="en-GB"/>
        </w:rPr>
        <w:tab/>
      </w:r>
      <w:r w:rsidR="00CB6BF6">
        <w:rPr>
          <w:rFonts w:cstheme="minorHAnsi"/>
          <w:lang w:eastAsia="en-GB"/>
        </w:rPr>
        <w:t xml:space="preserve">This, and previous year’s annual plans, </w:t>
      </w:r>
      <w:r w:rsidR="00026B8A">
        <w:rPr>
          <w:rFonts w:cstheme="minorHAnsi"/>
          <w:lang w:eastAsia="en-GB"/>
        </w:rPr>
        <w:t xml:space="preserve">combined with the ongoing performance data measures and Peer Review outcomes continue to highlight that which is known and recognised by the Board and the Service. </w:t>
      </w:r>
    </w:p>
    <w:p w14:paraId="276301E6" w14:textId="77777777" w:rsidR="005F64F6" w:rsidRDefault="005F64F6" w:rsidP="00B15E08">
      <w:pPr>
        <w:pStyle w:val="NoSpacing"/>
        <w:jc w:val="both"/>
        <w:rPr>
          <w:rFonts w:cstheme="minorHAnsi"/>
          <w:lang w:eastAsia="en-GB"/>
        </w:rPr>
      </w:pPr>
    </w:p>
    <w:p w14:paraId="36688398" w14:textId="0EE2EB28" w:rsidR="0045517C" w:rsidRDefault="00232EC3" w:rsidP="00232EC3">
      <w:pPr>
        <w:pStyle w:val="NoSpacing"/>
        <w:ind w:left="720" w:hanging="720"/>
        <w:jc w:val="both"/>
        <w:rPr>
          <w:rFonts w:cstheme="minorHAnsi"/>
          <w:lang w:eastAsia="en-GB"/>
        </w:rPr>
      </w:pPr>
      <w:r>
        <w:rPr>
          <w:rFonts w:cstheme="minorHAnsi"/>
          <w:lang w:eastAsia="en-GB"/>
        </w:rPr>
        <w:t>15.2</w:t>
      </w:r>
      <w:r>
        <w:rPr>
          <w:rFonts w:cstheme="minorHAnsi"/>
          <w:lang w:eastAsia="en-GB"/>
        </w:rPr>
        <w:tab/>
      </w:r>
      <w:r w:rsidR="00026B8A">
        <w:rPr>
          <w:rFonts w:cstheme="minorHAnsi"/>
          <w:lang w:eastAsia="en-GB"/>
        </w:rPr>
        <w:t xml:space="preserve">We continue to have one of the highest rates of </w:t>
      </w:r>
      <w:r w:rsidR="00B56746">
        <w:rPr>
          <w:rFonts w:cstheme="minorHAnsi"/>
          <w:lang w:eastAsia="en-GB"/>
        </w:rPr>
        <w:t>First Time Entrants to the youth justice system</w:t>
      </w:r>
      <w:r w:rsidR="00E07406">
        <w:rPr>
          <w:rFonts w:cstheme="minorHAnsi"/>
          <w:lang w:eastAsia="en-GB"/>
        </w:rPr>
        <w:t xml:space="preserve"> and </w:t>
      </w:r>
      <w:r w:rsidR="00B56746">
        <w:rPr>
          <w:rFonts w:cstheme="minorHAnsi"/>
          <w:lang w:eastAsia="en-GB"/>
        </w:rPr>
        <w:t>high rates of custodial sentences</w:t>
      </w:r>
      <w:r w:rsidR="00E07406">
        <w:rPr>
          <w:rFonts w:cstheme="minorHAnsi"/>
          <w:lang w:eastAsia="en-GB"/>
        </w:rPr>
        <w:t>. While reoffending rates</w:t>
      </w:r>
      <w:r w:rsidR="00020ADC">
        <w:rPr>
          <w:rFonts w:cstheme="minorHAnsi"/>
          <w:lang w:eastAsia="en-GB"/>
        </w:rPr>
        <w:t xml:space="preserve"> for the service</w:t>
      </w:r>
      <w:r w:rsidR="00E07406">
        <w:rPr>
          <w:rFonts w:cstheme="minorHAnsi"/>
          <w:lang w:eastAsia="en-GB"/>
        </w:rPr>
        <w:t xml:space="preserve"> are </w:t>
      </w:r>
      <w:r w:rsidR="00020ADC">
        <w:rPr>
          <w:rFonts w:cstheme="minorHAnsi"/>
          <w:lang w:eastAsia="en-GB"/>
        </w:rPr>
        <w:t xml:space="preserve">just </w:t>
      </w:r>
      <w:r w:rsidR="00E07406">
        <w:rPr>
          <w:rFonts w:cstheme="minorHAnsi"/>
          <w:lang w:eastAsia="en-GB"/>
        </w:rPr>
        <w:t xml:space="preserve">lower than the national average, </w:t>
      </w:r>
      <w:r w:rsidR="00020ADC">
        <w:rPr>
          <w:rFonts w:cstheme="minorHAnsi"/>
          <w:lang w:eastAsia="en-GB"/>
        </w:rPr>
        <w:t xml:space="preserve">reoffending for the First Time Entrant cohort is significantly lower at 14%. This raises a significant challenge </w:t>
      </w:r>
      <w:r w:rsidR="002E7F9F">
        <w:rPr>
          <w:rFonts w:cstheme="minorHAnsi"/>
          <w:lang w:eastAsia="en-GB"/>
        </w:rPr>
        <w:t xml:space="preserve">regarding the suitability of these children receiving a </w:t>
      </w:r>
      <w:r w:rsidR="00A44B72">
        <w:rPr>
          <w:rFonts w:cstheme="minorHAnsi"/>
          <w:lang w:eastAsia="en-GB"/>
        </w:rPr>
        <w:t>criminal justice disposal.</w:t>
      </w:r>
      <w:r w:rsidR="00E20406">
        <w:rPr>
          <w:rFonts w:cstheme="minorHAnsi"/>
          <w:color w:val="FF0000"/>
          <w:lang w:eastAsia="en-GB"/>
        </w:rPr>
        <w:t xml:space="preserve"> </w:t>
      </w:r>
      <w:r w:rsidR="00E20406">
        <w:rPr>
          <w:rFonts w:cstheme="minorHAnsi"/>
          <w:lang w:eastAsia="en-GB"/>
        </w:rPr>
        <w:t>As a partnership w</w:t>
      </w:r>
      <w:r w:rsidR="00E20406" w:rsidRPr="00E20406">
        <w:rPr>
          <w:rFonts w:cstheme="minorHAnsi"/>
          <w:lang w:eastAsia="en-GB"/>
        </w:rPr>
        <w:t>e a</w:t>
      </w:r>
      <w:r w:rsidR="00E20406">
        <w:rPr>
          <w:rFonts w:cstheme="minorHAnsi"/>
          <w:lang w:eastAsia="en-GB"/>
        </w:rPr>
        <w:t>re starting to look more</w:t>
      </w:r>
      <w:r w:rsidR="004C7C3D">
        <w:rPr>
          <w:rFonts w:cstheme="minorHAnsi"/>
          <w:lang w:eastAsia="en-GB"/>
        </w:rPr>
        <w:t xml:space="preserve"> closely</w:t>
      </w:r>
      <w:r w:rsidR="00E20406">
        <w:rPr>
          <w:rFonts w:cstheme="minorHAnsi"/>
          <w:lang w:eastAsia="en-GB"/>
        </w:rPr>
        <w:t xml:space="preserve"> at the journey of the child prior to ent</w:t>
      </w:r>
      <w:r w:rsidR="00252960">
        <w:rPr>
          <w:rFonts w:cstheme="minorHAnsi"/>
          <w:lang w:eastAsia="en-GB"/>
        </w:rPr>
        <w:t xml:space="preserve">ering the Youth Justice System, but this is currently focussed upon those children who have committed a Serious </w:t>
      </w:r>
      <w:r w:rsidR="006772A1">
        <w:rPr>
          <w:rFonts w:cstheme="minorHAnsi"/>
          <w:lang w:eastAsia="en-GB"/>
        </w:rPr>
        <w:t>Incident</w:t>
      </w:r>
      <w:r w:rsidR="00252960">
        <w:rPr>
          <w:rFonts w:cstheme="minorHAnsi"/>
          <w:lang w:eastAsia="en-GB"/>
        </w:rPr>
        <w:t xml:space="preserve">, have been remanded or received a </w:t>
      </w:r>
      <w:r w:rsidR="00252960">
        <w:rPr>
          <w:rFonts w:cstheme="minorHAnsi"/>
          <w:lang w:eastAsia="en-GB"/>
        </w:rPr>
        <w:lastRenderedPageBreak/>
        <w:t xml:space="preserve">custodial sentence. We do not </w:t>
      </w:r>
      <w:r w:rsidR="00815825">
        <w:rPr>
          <w:rFonts w:cstheme="minorHAnsi"/>
          <w:lang w:eastAsia="en-GB"/>
        </w:rPr>
        <w:t xml:space="preserve">currently </w:t>
      </w:r>
      <w:r w:rsidR="00252960">
        <w:rPr>
          <w:rFonts w:cstheme="minorHAnsi"/>
          <w:lang w:eastAsia="en-GB"/>
        </w:rPr>
        <w:t>carry out this partnership wide audit and reflection</w:t>
      </w:r>
      <w:r w:rsidR="004F2AB7">
        <w:rPr>
          <w:rFonts w:cstheme="minorHAnsi"/>
          <w:lang w:eastAsia="en-GB"/>
        </w:rPr>
        <w:t xml:space="preserve"> with all children at FTE level and this may be the next step, resource depending. </w:t>
      </w:r>
    </w:p>
    <w:p w14:paraId="5F8F77CF" w14:textId="1DF438E9" w:rsidR="00667B4D" w:rsidRDefault="00667B4D" w:rsidP="00232EC3">
      <w:pPr>
        <w:pStyle w:val="NoSpacing"/>
        <w:ind w:left="720" w:hanging="720"/>
        <w:jc w:val="both"/>
        <w:rPr>
          <w:rFonts w:cstheme="minorHAnsi"/>
          <w:lang w:eastAsia="en-GB"/>
        </w:rPr>
      </w:pPr>
    </w:p>
    <w:p w14:paraId="19CF2611" w14:textId="71BA7051" w:rsidR="005C39A5" w:rsidRDefault="00667B4D" w:rsidP="00232EC3">
      <w:pPr>
        <w:pStyle w:val="NoSpacing"/>
        <w:ind w:left="720" w:hanging="720"/>
        <w:jc w:val="both"/>
        <w:rPr>
          <w:rFonts w:cstheme="minorHAnsi"/>
          <w:lang w:eastAsia="en-GB"/>
        </w:rPr>
      </w:pPr>
      <w:r>
        <w:rPr>
          <w:rFonts w:cstheme="minorHAnsi"/>
          <w:lang w:eastAsia="en-GB"/>
        </w:rPr>
        <w:t>15.3</w:t>
      </w:r>
      <w:r>
        <w:rPr>
          <w:rFonts w:cstheme="minorHAnsi"/>
          <w:lang w:eastAsia="en-GB"/>
        </w:rPr>
        <w:tab/>
      </w:r>
      <w:r w:rsidR="005C39A5">
        <w:rPr>
          <w:rFonts w:cstheme="minorHAnsi"/>
          <w:lang w:eastAsia="en-GB"/>
        </w:rPr>
        <w:t xml:space="preserve">The ongoing status of the </w:t>
      </w:r>
      <w:r w:rsidR="00BA2A6B">
        <w:rPr>
          <w:rFonts w:cstheme="minorHAnsi"/>
          <w:lang w:eastAsia="en-GB"/>
        </w:rPr>
        <w:t xml:space="preserve">service being the </w:t>
      </w:r>
      <w:r w:rsidR="00B16815">
        <w:rPr>
          <w:rFonts w:cstheme="minorHAnsi"/>
          <w:lang w:eastAsia="en-GB"/>
        </w:rPr>
        <w:t xml:space="preserve">ongoing </w:t>
      </w:r>
      <w:r w:rsidR="00BA2A6B">
        <w:rPr>
          <w:rFonts w:cstheme="minorHAnsi"/>
          <w:lang w:eastAsia="en-GB"/>
        </w:rPr>
        <w:t xml:space="preserve">subject of a </w:t>
      </w:r>
      <w:r w:rsidR="005C39A5">
        <w:rPr>
          <w:rFonts w:cstheme="minorHAnsi"/>
          <w:lang w:eastAsia="en-GB"/>
        </w:rPr>
        <w:t xml:space="preserve">priority notice from the YJB </w:t>
      </w:r>
      <w:r w:rsidR="00B16815">
        <w:rPr>
          <w:rFonts w:cstheme="minorHAnsi"/>
          <w:lang w:eastAsia="en-GB"/>
        </w:rPr>
        <w:t xml:space="preserve">demonstrates the significance of the concern. </w:t>
      </w:r>
    </w:p>
    <w:p w14:paraId="42BC0ECF" w14:textId="77777777" w:rsidR="005C39A5" w:rsidRDefault="005C39A5" w:rsidP="00232EC3">
      <w:pPr>
        <w:pStyle w:val="NoSpacing"/>
        <w:ind w:left="720" w:hanging="720"/>
        <w:jc w:val="both"/>
        <w:rPr>
          <w:rFonts w:cstheme="minorHAnsi"/>
          <w:lang w:eastAsia="en-GB"/>
        </w:rPr>
      </w:pPr>
    </w:p>
    <w:p w14:paraId="3D380E06" w14:textId="5AE6EB1B" w:rsidR="00667B4D" w:rsidRDefault="005C39A5" w:rsidP="005C39A5">
      <w:pPr>
        <w:pStyle w:val="NoSpacing"/>
        <w:ind w:left="720" w:hanging="720"/>
        <w:jc w:val="both"/>
        <w:rPr>
          <w:rFonts w:cstheme="minorHAnsi"/>
          <w:lang w:eastAsia="en-GB"/>
        </w:rPr>
      </w:pPr>
      <w:r>
        <w:rPr>
          <w:rFonts w:cstheme="minorHAnsi"/>
          <w:lang w:eastAsia="en-GB"/>
        </w:rPr>
        <w:t>15.4</w:t>
      </w:r>
      <w:r>
        <w:rPr>
          <w:rFonts w:cstheme="minorHAnsi"/>
          <w:lang w:eastAsia="en-GB"/>
        </w:rPr>
        <w:tab/>
      </w:r>
      <w:r w:rsidR="00667B4D">
        <w:rPr>
          <w:rFonts w:cstheme="minorHAnsi"/>
          <w:lang w:eastAsia="en-GB"/>
        </w:rPr>
        <w:t xml:space="preserve">A challenge </w:t>
      </w:r>
      <w:r w:rsidR="00322892">
        <w:rPr>
          <w:rFonts w:cstheme="minorHAnsi"/>
          <w:lang w:eastAsia="en-GB"/>
        </w:rPr>
        <w:t xml:space="preserve">is to extend the opportunities </w:t>
      </w:r>
      <w:r w:rsidR="00616366">
        <w:rPr>
          <w:rFonts w:cstheme="minorHAnsi"/>
          <w:lang w:eastAsia="en-GB"/>
        </w:rPr>
        <w:t xml:space="preserve">and impact of early action </w:t>
      </w:r>
      <w:r w:rsidR="00605C77">
        <w:rPr>
          <w:rFonts w:cstheme="minorHAnsi"/>
          <w:lang w:eastAsia="en-GB"/>
        </w:rPr>
        <w:t>within the partnership system</w:t>
      </w:r>
      <w:r w:rsidR="0077078E">
        <w:rPr>
          <w:rFonts w:cstheme="minorHAnsi"/>
          <w:lang w:eastAsia="en-GB"/>
        </w:rPr>
        <w:t xml:space="preserve"> </w:t>
      </w:r>
      <w:r w:rsidR="00A116E0">
        <w:rPr>
          <w:rFonts w:cstheme="minorHAnsi"/>
          <w:lang w:eastAsia="en-GB"/>
        </w:rPr>
        <w:t xml:space="preserve">rather than a Youth Justice response that may enable them to not become first time entrants. </w:t>
      </w:r>
    </w:p>
    <w:p w14:paraId="4B6B4FE3" w14:textId="6EE4A130" w:rsidR="004F2AB7" w:rsidRDefault="004F2AB7" w:rsidP="00B15E08">
      <w:pPr>
        <w:pStyle w:val="NoSpacing"/>
        <w:jc w:val="both"/>
        <w:rPr>
          <w:rFonts w:cstheme="minorHAnsi"/>
          <w:lang w:eastAsia="en-GB"/>
        </w:rPr>
      </w:pPr>
    </w:p>
    <w:p w14:paraId="15138CFF" w14:textId="12683DFA" w:rsidR="00C86808" w:rsidRDefault="00232EC3" w:rsidP="00596085">
      <w:pPr>
        <w:pStyle w:val="NoSpacing"/>
        <w:ind w:left="720" w:hanging="720"/>
        <w:jc w:val="both"/>
        <w:rPr>
          <w:rFonts w:cstheme="minorHAnsi"/>
          <w:lang w:eastAsia="en-GB"/>
        </w:rPr>
      </w:pPr>
      <w:r>
        <w:rPr>
          <w:rFonts w:cstheme="minorHAnsi"/>
          <w:lang w:eastAsia="en-GB"/>
        </w:rPr>
        <w:t>15.</w:t>
      </w:r>
      <w:r w:rsidR="005C39A5">
        <w:rPr>
          <w:rFonts w:cstheme="minorHAnsi"/>
          <w:lang w:eastAsia="en-GB"/>
        </w:rPr>
        <w:t>5</w:t>
      </w:r>
      <w:r w:rsidR="005C39A5">
        <w:rPr>
          <w:rFonts w:cstheme="minorHAnsi"/>
          <w:lang w:eastAsia="en-GB"/>
        </w:rPr>
        <w:tab/>
      </w:r>
      <w:r w:rsidR="004F2AB7">
        <w:rPr>
          <w:rFonts w:cstheme="minorHAnsi"/>
          <w:lang w:eastAsia="en-GB"/>
        </w:rPr>
        <w:t>A further risk</w:t>
      </w:r>
      <w:r w:rsidR="00BC4ACE">
        <w:rPr>
          <w:rFonts w:cstheme="minorHAnsi"/>
          <w:lang w:eastAsia="en-GB"/>
        </w:rPr>
        <w:t xml:space="preserve"> for the service has been evidenced by the recent withdrawal of funds from the YEF for the Divert Plus service. This programme has been delivering police custody</w:t>
      </w:r>
      <w:r w:rsidR="0087345D">
        <w:rPr>
          <w:rFonts w:cstheme="minorHAnsi"/>
          <w:lang w:eastAsia="en-GB"/>
        </w:rPr>
        <w:t>-</w:t>
      </w:r>
      <w:r w:rsidR="00BC4ACE">
        <w:rPr>
          <w:rFonts w:cstheme="minorHAnsi"/>
          <w:lang w:eastAsia="en-GB"/>
        </w:rPr>
        <w:t>based interventions</w:t>
      </w:r>
      <w:r w:rsidR="0087345D">
        <w:rPr>
          <w:rFonts w:cstheme="minorHAnsi"/>
          <w:lang w:eastAsia="en-GB"/>
        </w:rPr>
        <w:t xml:space="preserve"> for the last 18</w:t>
      </w:r>
      <w:r w:rsidR="00FE5FFD">
        <w:rPr>
          <w:rFonts w:cstheme="minorHAnsi"/>
          <w:lang w:eastAsia="en-GB"/>
        </w:rPr>
        <w:t>-</w:t>
      </w:r>
      <w:r w:rsidR="0087345D">
        <w:rPr>
          <w:rFonts w:cstheme="minorHAnsi"/>
          <w:lang w:eastAsia="en-GB"/>
        </w:rPr>
        <w:t>months with a number of notable successes</w:t>
      </w:r>
      <w:r w:rsidR="004A21FB">
        <w:rPr>
          <w:rFonts w:cstheme="minorHAnsi"/>
          <w:lang w:eastAsia="en-GB"/>
        </w:rPr>
        <w:t>. T</w:t>
      </w:r>
      <w:r w:rsidR="0087345D">
        <w:rPr>
          <w:rFonts w:cstheme="minorHAnsi"/>
          <w:lang w:eastAsia="en-GB"/>
        </w:rPr>
        <w:t xml:space="preserve">he </w:t>
      </w:r>
      <w:r w:rsidR="004F2CBC">
        <w:rPr>
          <w:rFonts w:cstheme="minorHAnsi"/>
          <w:lang w:eastAsia="en-GB"/>
        </w:rPr>
        <w:t xml:space="preserve">early </w:t>
      </w:r>
      <w:r w:rsidR="0087345D">
        <w:rPr>
          <w:rFonts w:cstheme="minorHAnsi"/>
          <w:lang w:eastAsia="en-GB"/>
        </w:rPr>
        <w:t xml:space="preserve">end of the contract highlights the </w:t>
      </w:r>
      <w:r w:rsidR="00AC3E5D">
        <w:rPr>
          <w:rFonts w:cstheme="minorHAnsi"/>
          <w:lang w:eastAsia="en-GB"/>
        </w:rPr>
        <w:t xml:space="preserve">potentially </w:t>
      </w:r>
      <w:r w:rsidR="0087345D">
        <w:rPr>
          <w:rFonts w:cstheme="minorHAnsi"/>
          <w:lang w:eastAsia="en-GB"/>
        </w:rPr>
        <w:t xml:space="preserve">precarious nature of having a number of </w:t>
      </w:r>
      <w:r w:rsidR="00AC3E5D">
        <w:rPr>
          <w:rFonts w:cstheme="minorHAnsi"/>
          <w:lang w:eastAsia="en-GB"/>
        </w:rPr>
        <w:t>relatively short-term funded programmes</w:t>
      </w:r>
      <w:r w:rsidR="004F2CBC">
        <w:rPr>
          <w:rFonts w:cstheme="minorHAnsi"/>
          <w:lang w:eastAsia="en-GB"/>
        </w:rPr>
        <w:t xml:space="preserve">. This has a negative impact upon </w:t>
      </w:r>
      <w:r w:rsidR="00C86808">
        <w:rPr>
          <w:rFonts w:cstheme="minorHAnsi"/>
          <w:lang w:eastAsia="en-GB"/>
        </w:rPr>
        <w:t xml:space="preserve">forward planning, particularly with regards to </w:t>
      </w:r>
      <w:r w:rsidR="00AC3E5D">
        <w:rPr>
          <w:rFonts w:cstheme="minorHAnsi"/>
          <w:lang w:eastAsia="en-GB"/>
        </w:rPr>
        <w:t>staff</w:t>
      </w:r>
      <w:r w:rsidR="00C86808">
        <w:rPr>
          <w:rFonts w:cstheme="minorHAnsi"/>
          <w:lang w:eastAsia="en-GB"/>
        </w:rPr>
        <w:t xml:space="preserve"> recruitment and retention, </w:t>
      </w:r>
      <w:r w:rsidR="00AC3E5D">
        <w:rPr>
          <w:rFonts w:cstheme="minorHAnsi"/>
          <w:lang w:eastAsia="en-GB"/>
        </w:rPr>
        <w:t>and more importantly the children we work with</w:t>
      </w:r>
      <w:r w:rsidR="00EE1532">
        <w:rPr>
          <w:rFonts w:cstheme="minorHAnsi"/>
          <w:lang w:eastAsia="en-GB"/>
        </w:rPr>
        <w:t>.</w:t>
      </w:r>
    </w:p>
    <w:p w14:paraId="5CD21E75" w14:textId="5B80EEF0" w:rsidR="0045517C" w:rsidRDefault="0045517C" w:rsidP="0079185B">
      <w:pPr>
        <w:pStyle w:val="NoSpacing"/>
        <w:rPr>
          <w:rFonts w:cstheme="minorHAnsi"/>
          <w:b/>
          <w:bCs/>
          <w:lang w:eastAsia="en-GB"/>
        </w:rPr>
      </w:pPr>
    </w:p>
    <w:p w14:paraId="65FF8B80" w14:textId="77777777" w:rsidR="0080637F" w:rsidRPr="00C53B1E" w:rsidRDefault="0080637F" w:rsidP="0079185B">
      <w:pPr>
        <w:pStyle w:val="NoSpacing"/>
        <w:rPr>
          <w:rFonts w:cstheme="minorHAnsi"/>
          <w:b/>
          <w:bCs/>
          <w:lang w:eastAsia="en-GB"/>
        </w:rPr>
      </w:pPr>
    </w:p>
    <w:p w14:paraId="594439F5" w14:textId="6A810C43" w:rsidR="0079185B" w:rsidRPr="00FB5B91" w:rsidRDefault="0079185B" w:rsidP="0079185B">
      <w:pPr>
        <w:pStyle w:val="NoSpacing"/>
        <w:rPr>
          <w:rStyle w:val="Heading1Char"/>
        </w:rPr>
      </w:pPr>
      <w:bookmarkStart w:id="17" w:name="_Toc156206888"/>
      <w:r w:rsidRPr="00FB5B91">
        <w:rPr>
          <w:rStyle w:val="Heading1Char"/>
        </w:rPr>
        <w:t>Sign off, submission and approval</w:t>
      </w:r>
      <w:bookmarkEnd w:id="17"/>
    </w:p>
    <w:p w14:paraId="3F973F6C" w14:textId="08292A96" w:rsidR="0079185B" w:rsidRDefault="0079185B">
      <w:pPr>
        <w:rPr>
          <w:rFonts w:cstheme="minorHAnsi"/>
          <w:b/>
          <w:bCs/>
          <w:lang w:eastAsia="en-GB"/>
        </w:rPr>
      </w:pPr>
    </w:p>
    <w:tbl>
      <w:tblPr>
        <w:tblStyle w:val="TableGrid"/>
        <w:tblW w:w="0" w:type="auto"/>
        <w:tblLook w:val="04A0" w:firstRow="1" w:lastRow="0" w:firstColumn="1" w:lastColumn="0" w:noHBand="0" w:noVBand="1"/>
      </w:tblPr>
      <w:tblGrid>
        <w:gridCol w:w="4000"/>
        <w:gridCol w:w="5016"/>
      </w:tblGrid>
      <w:tr w:rsidR="00FE0D25" w14:paraId="3A7C12C9" w14:textId="77777777" w:rsidTr="00852186">
        <w:tc>
          <w:tcPr>
            <w:tcW w:w="4644" w:type="dxa"/>
          </w:tcPr>
          <w:p w14:paraId="23005F5B" w14:textId="77777777" w:rsidR="00FE0D25" w:rsidRPr="00DA3E5A" w:rsidRDefault="00FE0D25" w:rsidP="00852186">
            <w:pPr>
              <w:tabs>
                <w:tab w:val="left" w:pos="2655"/>
              </w:tabs>
              <w:rPr>
                <w:bCs/>
              </w:rPr>
            </w:pPr>
            <w:r w:rsidRPr="00DA3E5A">
              <w:rPr>
                <w:bCs/>
              </w:rPr>
              <w:t>Chair of YJS Board - name</w:t>
            </w:r>
            <w:r w:rsidRPr="00DA3E5A">
              <w:rPr>
                <w:bCs/>
              </w:rPr>
              <w:tab/>
            </w:r>
          </w:p>
          <w:p w14:paraId="6056DEA1" w14:textId="77777777" w:rsidR="00FE0D25" w:rsidRPr="00DA3E5A" w:rsidRDefault="00FE0D25" w:rsidP="00852186">
            <w:pPr>
              <w:tabs>
                <w:tab w:val="left" w:pos="2655"/>
              </w:tabs>
              <w:rPr>
                <w:bCs/>
                <w:webHidden/>
              </w:rPr>
            </w:pPr>
          </w:p>
        </w:tc>
        <w:tc>
          <w:tcPr>
            <w:tcW w:w="4644" w:type="dxa"/>
          </w:tcPr>
          <w:p w14:paraId="7FA7A5A5" w14:textId="77777777" w:rsidR="00FE0D25" w:rsidRDefault="00FE0D25" w:rsidP="00852186">
            <w:pPr>
              <w:rPr>
                <w:webHidden/>
              </w:rPr>
            </w:pPr>
          </w:p>
          <w:p w14:paraId="5D8A9F01" w14:textId="77777777" w:rsidR="00FE0D25" w:rsidRDefault="00FE0D25" w:rsidP="00852186">
            <w:pPr>
              <w:pStyle w:val="NoSpacing"/>
              <w:rPr>
                <w:webHidden/>
              </w:rPr>
            </w:pPr>
            <w:r>
              <w:rPr>
                <w:webHidden/>
              </w:rPr>
              <w:t>Catherine Underwood</w:t>
            </w:r>
          </w:p>
          <w:p w14:paraId="2A02D124" w14:textId="77777777" w:rsidR="00FE0D25" w:rsidRDefault="00FE0D25" w:rsidP="00852186">
            <w:pPr>
              <w:pStyle w:val="NoSpacing"/>
              <w:rPr>
                <w:webHidden/>
              </w:rPr>
            </w:pPr>
          </w:p>
          <w:p w14:paraId="491E1B82" w14:textId="77777777" w:rsidR="00FE0D25" w:rsidRDefault="00FE0D25" w:rsidP="00852186">
            <w:pPr>
              <w:pStyle w:val="NoSpacing"/>
              <w:rPr>
                <w:webHidden/>
              </w:rPr>
            </w:pPr>
            <w:r>
              <w:rPr>
                <w:webHidden/>
              </w:rPr>
              <w:t>Corporate Director of People,</w:t>
            </w:r>
          </w:p>
          <w:p w14:paraId="2312245E" w14:textId="77777777" w:rsidR="00FE0D25" w:rsidRDefault="00FE0D25" w:rsidP="00852186">
            <w:pPr>
              <w:pStyle w:val="NoSpacing"/>
              <w:rPr>
                <w:webHidden/>
              </w:rPr>
            </w:pPr>
            <w:r>
              <w:rPr>
                <w:webHidden/>
              </w:rPr>
              <w:t>Nottingham City Council</w:t>
            </w:r>
          </w:p>
          <w:p w14:paraId="0A09F155" w14:textId="77777777" w:rsidR="00FE0D25" w:rsidRDefault="00FE0D25" w:rsidP="00852186">
            <w:pPr>
              <w:rPr>
                <w:webHidden/>
              </w:rPr>
            </w:pPr>
          </w:p>
        </w:tc>
      </w:tr>
      <w:tr w:rsidR="00FE0D25" w14:paraId="453E624F" w14:textId="77777777" w:rsidTr="00852186">
        <w:tc>
          <w:tcPr>
            <w:tcW w:w="4644" w:type="dxa"/>
          </w:tcPr>
          <w:p w14:paraId="44E978BE" w14:textId="77777777" w:rsidR="00FE0D25" w:rsidRPr="00DA3E5A" w:rsidRDefault="00FE0D25" w:rsidP="00852186">
            <w:pPr>
              <w:rPr>
                <w:bCs/>
                <w:webHidden/>
              </w:rPr>
            </w:pPr>
            <w:r w:rsidRPr="00DA3E5A">
              <w:rPr>
                <w:bCs/>
                <w:webHidden/>
              </w:rPr>
              <w:t>Signature</w:t>
            </w:r>
          </w:p>
          <w:p w14:paraId="4BC9F50D" w14:textId="77777777" w:rsidR="00FE0D25" w:rsidRPr="00DA3E5A" w:rsidRDefault="00FE0D25" w:rsidP="00852186">
            <w:pPr>
              <w:rPr>
                <w:bCs/>
                <w:webHidden/>
              </w:rPr>
            </w:pPr>
          </w:p>
        </w:tc>
        <w:tc>
          <w:tcPr>
            <w:tcW w:w="4644" w:type="dxa"/>
          </w:tcPr>
          <w:p w14:paraId="1DCAE05F" w14:textId="77777777" w:rsidR="00FE0D25" w:rsidRDefault="00FE0D25" w:rsidP="00852186">
            <w:pPr>
              <w:rPr>
                <w:webHidden/>
              </w:rPr>
            </w:pPr>
          </w:p>
          <w:p w14:paraId="0B0E5E87" w14:textId="47935C68" w:rsidR="00FE0D25" w:rsidRDefault="00B5412F" w:rsidP="00852186">
            <w:pPr>
              <w:rPr>
                <w:webHidden/>
              </w:rPr>
            </w:pPr>
            <w:r w:rsidRPr="009E63F2">
              <w:rPr>
                <w:noProof/>
                <w:lang w:eastAsia="en-GB"/>
              </w:rPr>
              <w:drawing>
                <wp:inline distT="0" distB="0" distL="0" distR="0" wp14:anchorId="7B4CD33A" wp14:editId="4D5042EB">
                  <wp:extent cx="2967746" cy="891611"/>
                  <wp:effectExtent l="38100" t="114300" r="42545" b="118110"/>
                  <wp:docPr id="2" name="Picture 2" descr="C:\Users\sgodda\AppData\Local\Microsoft\Windows\Temporary Internet Files\Content.Outlook\5V00FTYE\Signature - Catherine Underw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dda\AppData\Local\Microsoft\Windows\Temporary Internet Files\Content.Outlook\5V00FTYE\Signature - Catherine Underwoo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342394">
                            <a:off x="0" y="0"/>
                            <a:ext cx="3035615" cy="912001"/>
                          </a:xfrm>
                          <a:prstGeom prst="rect">
                            <a:avLst/>
                          </a:prstGeom>
                          <a:noFill/>
                          <a:ln>
                            <a:noFill/>
                          </a:ln>
                        </pic:spPr>
                      </pic:pic>
                    </a:graphicData>
                  </a:graphic>
                </wp:inline>
              </w:drawing>
            </w:r>
          </w:p>
          <w:p w14:paraId="414D157E" w14:textId="77777777" w:rsidR="00FE0D25" w:rsidRDefault="00FE0D25" w:rsidP="00852186">
            <w:pPr>
              <w:rPr>
                <w:webHidden/>
              </w:rPr>
            </w:pPr>
          </w:p>
        </w:tc>
      </w:tr>
      <w:tr w:rsidR="00FE0D25" w14:paraId="5DE3AF51" w14:textId="77777777" w:rsidTr="00852186">
        <w:tc>
          <w:tcPr>
            <w:tcW w:w="4644" w:type="dxa"/>
          </w:tcPr>
          <w:p w14:paraId="054E3AE2" w14:textId="77777777" w:rsidR="00FE0D25" w:rsidRPr="00DA3E5A" w:rsidRDefault="00FE0D25" w:rsidP="00852186">
            <w:pPr>
              <w:rPr>
                <w:bCs/>
                <w:webHidden/>
              </w:rPr>
            </w:pPr>
            <w:r w:rsidRPr="00DA3E5A">
              <w:rPr>
                <w:bCs/>
                <w:webHidden/>
              </w:rPr>
              <w:t>Date</w:t>
            </w:r>
          </w:p>
          <w:p w14:paraId="25359CD6" w14:textId="77777777" w:rsidR="00FE0D25" w:rsidRPr="00DA3E5A" w:rsidRDefault="00FE0D25" w:rsidP="00852186">
            <w:pPr>
              <w:rPr>
                <w:bCs/>
                <w:webHidden/>
              </w:rPr>
            </w:pPr>
          </w:p>
        </w:tc>
        <w:tc>
          <w:tcPr>
            <w:tcW w:w="4644" w:type="dxa"/>
          </w:tcPr>
          <w:p w14:paraId="14CE8214" w14:textId="77777777" w:rsidR="00FE0D25" w:rsidRDefault="00FE0D25" w:rsidP="00852186">
            <w:pPr>
              <w:rPr>
                <w:webHidden/>
              </w:rPr>
            </w:pPr>
          </w:p>
          <w:p w14:paraId="516105EB" w14:textId="14DD2431" w:rsidR="00FE0D25" w:rsidRDefault="00FE0D25" w:rsidP="00852186">
            <w:pPr>
              <w:rPr>
                <w:webHidden/>
              </w:rPr>
            </w:pPr>
            <w:r>
              <w:rPr>
                <w:webHidden/>
              </w:rPr>
              <w:t>30 June 2023</w:t>
            </w:r>
          </w:p>
          <w:p w14:paraId="122CDB3F" w14:textId="77777777" w:rsidR="00FE0D25" w:rsidRDefault="00FE0D25" w:rsidP="00852186">
            <w:pPr>
              <w:rPr>
                <w:webHidden/>
              </w:rPr>
            </w:pPr>
          </w:p>
        </w:tc>
      </w:tr>
    </w:tbl>
    <w:p w14:paraId="2E538327" w14:textId="54DB2DA8" w:rsidR="00FE0D25" w:rsidRDefault="00FE0D25">
      <w:pPr>
        <w:rPr>
          <w:rFonts w:cstheme="minorHAnsi"/>
          <w:b/>
          <w:bCs/>
          <w:lang w:eastAsia="en-GB"/>
        </w:rPr>
      </w:pPr>
    </w:p>
    <w:p w14:paraId="77737299" w14:textId="77777777" w:rsidR="00FE0D25" w:rsidRPr="00C53B1E" w:rsidRDefault="00FE0D25">
      <w:pPr>
        <w:rPr>
          <w:rFonts w:cstheme="minorHAnsi"/>
          <w:b/>
          <w:bCs/>
          <w:lang w:eastAsia="en-GB"/>
        </w:rPr>
      </w:pPr>
    </w:p>
    <w:p w14:paraId="2A65BF43" w14:textId="0FD3F64C" w:rsidR="0079185B" w:rsidRPr="0036789D" w:rsidRDefault="0079185B" w:rsidP="0021253C">
      <w:pPr>
        <w:pStyle w:val="NoSpacing"/>
        <w:rPr>
          <w:lang w:eastAsia="en-GB"/>
        </w:rPr>
      </w:pPr>
      <w:r w:rsidRPr="0036789D">
        <w:rPr>
          <w:lang w:eastAsia="en-GB"/>
        </w:rPr>
        <w:t>Appendix 1: Staffing Structure</w:t>
      </w:r>
    </w:p>
    <w:p w14:paraId="245EB736" w14:textId="7CF21554" w:rsidR="0079185B" w:rsidRPr="0036789D" w:rsidRDefault="0079185B" w:rsidP="0021253C">
      <w:pPr>
        <w:pStyle w:val="NoSpacing"/>
        <w:rPr>
          <w:lang w:eastAsia="en-GB"/>
        </w:rPr>
      </w:pPr>
      <w:r w:rsidRPr="0036789D">
        <w:rPr>
          <w:lang w:eastAsia="en-GB"/>
        </w:rPr>
        <w:t>Appendix 2: Budget Costs and Contributions 2023/24</w:t>
      </w:r>
    </w:p>
    <w:p w14:paraId="6BBD05F7" w14:textId="1657ED05" w:rsidR="0079185B" w:rsidRPr="0036789D" w:rsidRDefault="00FB55D6" w:rsidP="0021253C">
      <w:pPr>
        <w:pStyle w:val="NoSpacing"/>
        <w:rPr>
          <w:lang w:eastAsia="en-GB"/>
        </w:rPr>
      </w:pPr>
      <w:r w:rsidRPr="0036789D">
        <w:rPr>
          <w:lang w:eastAsia="en-GB"/>
        </w:rPr>
        <w:t>Appendix 3</w:t>
      </w:r>
      <w:r w:rsidR="0036789D" w:rsidRPr="0036789D">
        <w:rPr>
          <w:lang w:eastAsia="en-GB"/>
        </w:rPr>
        <w:t>:</w:t>
      </w:r>
      <w:r w:rsidRPr="0036789D">
        <w:rPr>
          <w:lang w:eastAsia="en-GB"/>
        </w:rPr>
        <w:t xml:space="preserve"> </w:t>
      </w:r>
      <w:r w:rsidR="0079185B" w:rsidRPr="0036789D">
        <w:rPr>
          <w:lang w:eastAsia="en-GB"/>
        </w:rPr>
        <w:t>Summary outline of grant compliances</w:t>
      </w:r>
    </w:p>
    <w:p w14:paraId="6DA4ECBB" w14:textId="266CC0CA" w:rsidR="0021253C" w:rsidRDefault="0036789D" w:rsidP="0021253C">
      <w:pPr>
        <w:pStyle w:val="NoSpacing"/>
        <w:rPr>
          <w:lang w:eastAsia="en-GB"/>
        </w:rPr>
      </w:pPr>
      <w:r w:rsidRPr="0036789D">
        <w:rPr>
          <w:lang w:eastAsia="en-GB"/>
        </w:rPr>
        <w:t>Appendix 4:</w:t>
      </w:r>
      <w:r w:rsidR="0021253C">
        <w:rPr>
          <w:lang w:eastAsia="en-GB"/>
        </w:rPr>
        <w:t xml:space="preserve"> Operational Delivery and Peer Review plan</w:t>
      </w:r>
    </w:p>
    <w:p w14:paraId="352CCD64" w14:textId="3FE5F4F8" w:rsidR="0021253C" w:rsidRDefault="0021253C" w:rsidP="0021253C">
      <w:pPr>
        <w:pStyle w:val="NoSpacing"/>
      </w:pPr>
      <w:r>
        <w:rPr>
          <w:lang w:eastAsia="en-GB"/>
        </w:rPr>
        <w:t xml:space="preserve">Appendix 5: </w:t>
      </w:r>
      <w:r w:rsidR="00952C8D">
        <w:t>A report exploring the lived experiences of young women and girls who have experienced violence in Nottingham and Nottinghamshire</w:t>
      </w:r>
    </w:p>
    <w:p w14:paraId="73F3B6C4" w14:textId="6392F76A" w:rsidR="00952C8D" w:rsidRDefault="00952C8D" w:rsidP="0021253C">
      <w:pPr>
        <w:pStyle w:val="NoSpacing"/>
        <w:rPr>
          <w:lang w:eastAsia="en-GB"/>
        </w:rPr>
      </w:pPr>
      <w:r>
        <w:t>Appendix 6: First Time Entrant reoffending data</w:t>
      </w:r>
    </w:p>
    <w:p w14:paraId="39986523" w14:textId="77777777" w:rsidR="0021253C" w:rsidRPr="0036789D" w:rsidRDefault="0021253C">
      <w:pPr>
        <w:rPr>
          <w:rFonts w:cstheme="minorHAnsi"/>
          <w:b/>
          <w:bCs/>
          <w:lang w:eastAsia="en-GB"/>
        </w:rPr>
      </w:pPr>
    </w:p>
    <w:sectPr w:rsidR="0021253C" w:rsidRPr="0036789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1E5B" w14:textId="77777777" w:rsidR="000B3C6A" w:rsidRDefault="000B3C6A" w:rsidP="003D0316">
      <w:pPr>
        <w:spacing w:after="0" w:line="240" w:lineRule="auto"/>
      </w:pPr>
      <w:r>
        <w:separator/>
      </w:r>
    </w:p>
  </w:endnote>
  <w:endnote w:type="continuationSeparator" w:id="0">
    <w:p w14:paraId="56A58C26" w14:textId="77777777" w:rsidR="000B3C6A" w:rsidRDefault="000B3C6A" w:rsidP="003D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25824"/>
      <w:docPartObj>
        <w:docPartGallery w:val="Page Numbers (Bottom of Page)"/>
        <w:docPartUnique/>
      </w:docPartObj>
    </w:sdtPr>
    <w:sdtEndPr>
      <w:rPr>
        <w:noProof/>
      </w:rPr>
    </w:sdtEndPr>
    <w:sdtContent>
      <w:p w14:paraId="15AE3B61" w14:textId="65F31736" w:rsidR="00217EE8" w:rsidRDefault="00217EE8">
        <w:pPr>
          <w:pStyle w:val="Footer"/>
          <w:jc w:val="center"/>
        </w:pPr>
        <w:r>
          <w:fldChar w:fldCharType="begin"/>
        </w:r>
        <w:r>
          <w:instrText xml:space="preserve"> PAGE   \* MERGEFORMAT </w:instrText>
        </w:r>
        <w:r>
          <w:fldChar w:fldCharType="separate"/>
        </w:r>
        <w:r w:rsidR="005C56D1">
          <w:rPr>
            <w:noProof/>
          </w:rPr>
          <w:t>1</w:t>
        </w:r>
        <w:r>
          <w:rPr>
            <w:noProof/>
          </w:rPr>
          <w:fldChar w:fldCharType="end"/>
        </w:r>
      </w:p>
    </w:sdtContent>
  </w:sdt>
  <w:p w14:paraId="48B20F7A" w14:textId="77777777" w:rsidR="00217EE8" w:rsidRDefault="00217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F933" w14:textId="77777777" w:rsidR="000B3C6A" w:rsidRDefault="000B3C6A" w:rsidP="003D0316">
      <w:pPr>
        <w:spacing w:after="0" w:line="240" w:lineRule="auto"/>
      </w:pPr>
      <w:r>
        <w:separator/>
      </w:r>
    </w:p>
  </w:footnote>
  <w:footnote w:type="continuationSeparator" w:id="0">
    <w:p w14:paraId="6DF2BBEC" w14:textId="77777777" w:rsidR="000B3C6A" w:rsidRDefault="000B3C6A" w:rsidP="003D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3CC"/>
    <w:multiLevelType w:val="hybridMultilevel"/>
    <w:tmpl w:val="29AAE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600DD"/>
    <w:multiLevelType w:val="hybridMultilevel"/>
    <w:tmpl w:val="910E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2694"/>
    <w:multiLevelType w:val="hybridMultilevel"/>
    <w:tmpl w:val="581E00C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2EE5AD3"/>
    <w:multiLevelType w:val="hybridMultilevel"/>
    <w:tmpl w:val="1F6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86B58"/>
    <w:multiLevelType w:val="hybridMultilevel"/>
    <w:tmpl w:val="9D7E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76EEA"/>
    <w:multiLevelType w:val="hybridMultilevel"/>
    <w:tmpl w:val="8714A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F2A8C"/>
    <w:multiLevelType w:val="hybridMultilevel"/>
    <w:tmpl w:val="0B5C1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0069A"/>
    <w:multiLevelType w:val="hybridMultilevel"/>
    <w:tmpl w:val="C39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6368B"/>
    <w:multiLevelType w:val="hybridMultilevel"/>
    <w:tmpl w:val="63644CCC"/>
    <w:lvl w:ilvl="0" w:tplc="873C8192">
      <w:start w:val="1"/>
      <w:numFmt w:val="bullet"/>
      <w:lvlText w:val=""/>
      <w:lvlJc w:val="left"/>
      <w:pPr>
        <w:tabs>
          <w:tab w:val="num" w:pos="720"/>
        </w:tabs>
        <w:ind w:left="720" w:hanging="360"/>
      </w:pPr>
      <w:rPr>
        <w:rFonts w:ascii="Symbol" w:hAnsi="Symbol" w:hint="default"/>
      </w:rPr>
    </w:lvl>
    <w:lvl w:ilvl="1" w:tplc="52308FC0" w:tentative="1">
      <w:start w:val="1"/>
      <w:numFmt w:val="bullet"/>
      <w:lvlText w:val=""/>
      <w:lvlJc w:val="left"/>
      <w:pPr>
        <w:tabs>
          <w:tab w:val="num" w:pos="1440"/>
        </w:tabs>
        <w:ind w:left="1440" w:hanging="360"/>
      </w:pPr>
      <w:rPr>
        <w:rFonts w:ascii="Symbol" w:hAnsi="Symbol" w:hint="default"/>
      </w:rPr>
    </w:lvl>
    <w:lvl w:ilvl="2" w:tplc="5F00DAA8" w:tentative="1">
      <w:start w:val="1"/>
      <w:numFmt w:val="bullet"/>
      <w:lvlText w:val=""/>
      <w:lvlJc w:val="left"/>
      <w:pPr>
        <w:tabs>
          <w:tab w:val="num" w:pos="2160"/>
        </w:tabs>
        <w:ind w:left="2160" w:hanging="360"/>
      </w:pPr>
      <w:rPr>
        <w:rFonts w:ascii="Symbol" w:hAnsi="Symbol" w:hint="default"/>
      </w:rPr>
    </w:lvl>
    <w:lvl w:ilvl="3" w:tplc="0400EAD6" w:tentative="1">
      <w:start w:val="1"/>
      <w:numFmt w:val="bullet"/>
      <w:lvlText w:val=""/>
      <w:lvlJc w:val="left"/>
      <w:pPr>
        <w:tabs>
          <w:tab w:val="num" w:pos="2880"/>
        </w:tabs>
        <w:ind w:left="2880" w:hanging="360"/>
      </w:pPr>
      <w:rPr>
        <w:rFonts w:ascii="Symbol" w:hAnsi="Symbol" w:hint="default"/>
      </w:rPr>
    </w:lvl>
    <w:lvl w:ilvl="4" w:tplc="C1508FB0" w:tentative="1">
      <w:start w:val="1"/>
      <w:numFmt w:val="bullet"/>
      <w:lvlText w:val=""/>
      <w:lvlJc w:val="left"/>
      <w:pPr>
        <w:tabs>
          <w:tab w:val="num" w:pos="3600"/>
        </w:tabs>
        <w:ind w:left="3600" w:hanging="360"/>
      </w:pPr>
      <w:rPr>
        <w:rFonts w:ascii="Symbol" w:hAnsi="Symbol" w:hint="default"/>
      </w:rPr>
    </w:lvl>
    <w:lvl w:ilvl="5" w:tplc="FA763CB6" w:tentative="1">
      <w:start w:val="1"/>
      <w:numFmt w:val="bullet"/>
      <w:lvlText w:val=""/>
      <w:lvlJc w:val="left"/>
      <w:pPr>
        <w:tabs>
          <w:tab w:val="num" w:pos="4320"/>
        </w:tabs>
        <w:ind w:left="4320" w:hanging="360"/>
      </w:pPr>
      <w:rPr>
        <w:rFonts w:ascii="Symbol" w:hAnsi="Symbol" w:hint="default"/>
      </w:rPr>
    </w:lvl>
    <w:lvl w:ilvl="6" w:tplc="9356D574" w:tentative="1">
      <w:start w:val="1"/>
      <w:numFmt w:val="bullet"/>
      <w:lvlText w:val=""/>
      <w:lvlJc w:val="left"/>
      <w:pPr>
        <w:tabs>
          <w:tab w:val="num" w:pos="5040"/>
        </w:tabs>
        <w:ind w:left="5040" w:hanging="360"/>
      </w:pPr>
      <w:rPr>
        <w:rFonts w:ascii="Symbol" w:hAnsi="Symbol" w:hint="default"/>
      </w:rPr>
    </w:lvl>
    <w:lvl w:ilvl="7" w:tplc="59628DB6" w:tentative="1">
      <w:start w:val="1"/>
      <w:numFmt w:val="bullet"/>
      <w:lvlText w:val=""/>
      <w:lvlJc w:val="left"/>
      <w:pPr>
        <w:tabs>
          <w:tab w:val="num" w:pos="5760"/>
        </w:tabs>
        <w:ind w:left="5760" w:hanging="360"/>
      </w:pPr>
      <w:rPr>
        <w:rFonts w:ascii="Symbol" w:hAnsi="Symbol" w:hint="default"/>
      </w:rPr>
    </w:lvl>
    <w:lvl w:ilvl="8" w:tplc="206662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E9234B"/>
    <w:multiLevelType w:val="hybridMultilevel"/>
    <w:tmpl w:val="5A0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47784"/>
    <w:multiLevelType w:val="hybridMultilevel"/>
    <w:tmpl w:val="FFC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E26F1"/>
    <w:multiLevelType w:val="hybridMultilevel"/>
    <w:tmpl w:val="CE8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06B0D"/>
    <w:multiLevelType w:val="hybridMultilevel"/>
    <w:tmpl w:val="352C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3A6A5B"/>
    <w:multiLevelType w:val="hybridMultilevel"/>
    <w:tmpl w:val="C536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3586D"/>
    <w:multiLevelType w:val="hybridMultilevel"/>
    <w:tmpl w:val="BAD6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9B2E1B"/>
    <w:multiLevelType w:val="hybridMultilevel"/>
    <w:tmpl w:val="2384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A47AF"/>
    <w:multiLevelType w:val="hybridMultilevel"/>
    <w:tmpl w:val="731A1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81C1C"/>
    <w:multiLevelType w:val="hybridMultilevel"/>
    <w:tmpl w:val="CC964DD8"/>
    <w:lvl w:ilvl="0" w:tplc="3E7A5D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304F4F"/>
    <w:multiLevelType w:val="hybridMultilevel"/>
    <w:tmpl w:val="1D9A1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81106"/>
    <w:multiLevelType w:val="hybridMultilevel"/>
    <w:tmpl w:val="6E76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84BE4"/>
    <w:multiLevelType w:val="hybridMultilevel"/>
    <w:tmpl w:val="72F6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9651A"/>
    <w:multiLevelType w:val="hybridMultilevel"/>
    <w:tmpl w:val="E62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21"/>
  </w:num>
  <w:num w:numId="5">
    <w:abstractNumId w:val="19"/>
  </w:num>
  <w:num w:numId="6">
    <w:abstractNumId w:val="11"/>
  </w:num>
  <w:num w:numId="7">
    <w:abstractNumId w:val="13"/>
  </w:num>
  <w:num w:numId="8">
    <w:abstractNumId w:val="8"/>
  </w:num>
  <w:num w:numId="9">
    <w:abstractNumId w:val="4"/>
  </w:num>
  <w:num w:numId="10">
    <w:abstractNumId w:val="2"/>
  </w:num>
  <w:num w:numId="11">
    <w:abstractNumId w:val="10"/>
  </w:num>
  <w:num w:numId="12">
    <w:abstractNumId w:val="3"/>
  </w:num>
  <w:num w:numId="13">
    <w:abstractNumId w:val="17"/>
  </w:num>
  <w:num w:numId="14">
    <w:abstractNumId w:val="14"/>
  </w:num>
  <w:num w:numId="15">
    <w:abstractNumId w:val="15"/>
  </w:num>
  <w:num w:numId="16">
    <w:abstractNumId w:val="20"/>
  </w:num>
  <w:num w:numId="17">
    <w:abstractNumId w:val="1"/>
  </w:num>
  <w:num w:numId="18">
    <w:abstractNumId w:val="7"/>
  </w:num>
  <w:num w:numId="19">
    <w:abstractNumId w:val="5"/>
  </w:num>
  <w:num w:numId="20">
    <w:abstractNumId w:val="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5B"/>
    <w:rsid w:val="00002661"/>
    <w:rsid w:val="0000751D"/>
    <w:rsid w:val="00007BFB"/>
    <w:rsid w:val="00012B01"/>
    <w:rsid w:val="00020ADC"/>
    <w:rsid w:val="00026B8A"/>
    <w:rsid w:val="00027CF2"/>
    <w:rsid w:val="00030327"/>
    <w:rsid w:val="00036377"/>
    <w:rsid w:val="00051C54"/>
    <w:rsid w:val="00057E3E"/>
    <w:rsid w:val="000730A1"/>
    <w:rsid w:val="00073C85"/>
    <w:rsid w:val="00073EBC"/>
    <w:rsid w:val="00095D35"/>
    <w:rsid w:val="000962D4"/>
    <w:rsid w:val="00097516"/>
    <w:rsid w:val="000A2C35"/>
    <w:rsid w:val="000A2FEE"/>
    <w:rsid w:val="000A38DF"/>
    <w:rsid w:val="000A4A09"/>
    <w:rsid w:val="000B1AB2"/>
    <w:rsid w:val="000B3C6A"/>
    <w:rsid w:val="000D0697"/>
    <w:rsid w:val="000D4F93"/>
    <w:rsid w:val="000E7797"/>
    <w:rsid w:val="00103C5F"/>
    <w:rsid w:val="00113B36"/>
    <w:rsid w:val="00114ADC"/>
    <w:rsid w:val="0012139F"/>
    <w:rsid w:val="00121DD3"/>
    <w:rsid w:val="00121F66"/>
    <w:rsid w:val="001421D5"/>
    <w:rsid w:val="00145980"/>
    <w:rsid w:val="00150F40"/>
    <w:rsid w:val="0015740D"/>
    <w:rsid w:val="001634E0"/>
    <w:rsid w:val="0016740A"/>
    <w:rsid w:val="0018267F"/>
    <w:rsid w:val="00184862"/>
    <w:rsid w:val="00194BEC"/>
    <w:rsid w:val="001B02D2"/>
    <w:rsid w:val="001B3BDA"/>
    <w:rsid w:val="001B7E3F"/>
    <w:rsid w:val="001D5459"/>
    <w:rsid w:val="001D5614"/>
    <w:rsid w:val="001D7054"/>
    <w:rsid w:val="001E0D71"/>
    <w:rsid w:val="001E24FB"/>
    <w:rsid w:val="001E4ECB"/>
    <w:rsid w:val="001F504D"/>
    <w:rsid w:val="002010D8"/>
    <w:rsid w:val="00202059"/>
    <w:rsid w:val="00203B0D"/>
    <w:rsid w:val="0020687B"/>
    <w:rsid w:val="0021253C"/>
    <w:rsid w:val="00215C86"/>
    <w:rsid w:val="0021770A"/>
    <w:rsid w:val="00217EE8"/>
    <w:rsid w:val="0022150B"/>
    <w:rsid w:val="00232EC3"/>
    <w:rsid w:val="00233A86"/>
    <w:rsid w:val="00242EA7"/>
    <w:rsid w:val="00250246"/>
    <w:rsid w:val="00252960"/>
    <w:rsid w:val="002533C5"/>
    <w:rsid w:val="00253767"/>
    <w:rsid w:val="00256925"/>
    <w:rsid w:val="002569ED"/>
    <w:rsid w:val="0026463A"/>
    <w:rsid w:val="00271BD1"/>
    <w:rsid w:val="002815C0"/>
    <w:rsid w:val="002830DA"/>
    <w:rsid w:val="002832D1"/>
    <w:rsid w:val="00291D96"/>
    <w:rsid w:val="002A0D58"/>
    <w:rsid w:val="002A1339"/>
    <w:rsid w:val="002A4F30"/>
    <w:rsid w:val="002B4792"/>
    <w:rsid w:val="002B5A36"/>
    <w:rsid w:val="002C204E"/>
    <w:rsid w:val="002D1EB9"/>
    <w:rsid w:val="002D2663"/>
    <w:rsid w:val="002D7F49"/>
    <w:rsid w:val="002E005F"/>
    <w:rsid w:val="002E216F"/>
    <w:rsid w:val="002E3996"/>
    <w:rsid w:val="002E4909"/>
    <w:rsid w:val="002E4B71"/>
    <w:rsid w:val="002E6492"/>
    <w:rsid w:val="002E6E9A"/>
    <w:rsid w:val="002E7F9F"/>
    <w:rsid w:val="002F2682"/>
    <w:rsid w:val="002F44E8"/>
    <w:rsid w:val="00301002"/>
    <w:rsid w:val="00307471"/>
    <w:rsid w:val="003151CC"/>
    <w:rsid w:val="00322892"/>
    <w:rsid w:val="00340991"/>
    <w:rsid w:val="00351CED"/>
    <w:rsid w:val="0036156E"/>
    <w:rsid w:val="0036400D"/>
    <w:rsid w:val="003648DE"/>
    <w:rsid w:val="0036789D"/>
    <w:rsid w:val="00371B87"/>
    <w:rsid w:val="0037255D"/>
    <w:rsid w:val="00387610"/>
    <w:rsid w:val="003927C8"/>
    <w:rsid w:val="00393BD0"/>
    <w:rsid w:val="00396E56"/>
    <w:rsid w:val="003B20FC"/>
    <w:rsid w:val="003B2B7E"/>
    <w:rsid w:val="003B3F76"/>
    <w:rsid w:val="003D0316"/>
    <w:rsid w:val="003D2E41"/>
    <w:rsid w:val="003D451E"/>
    <w:rsid w:val="003E29E0"/>
    <w:rsid w:val="003F4802"/>
    <w:rsid w:val="003F5779"/>
    <w:rsid w:val="003F5ECB"/>
    <w:rsid w:val="00407E86"/>
    <w:rsid w:val="00415F5A"/>
    <w:rsid w:val="00424454"/>
    <w:rsid w:val="00431CD4"/>
    <w:rsid w:val="00432F61"/>
    <w:rsid w:val="004438C8"/>
    <w:rsid w:val="00444866"/>
    <w:rsid w:val="0044575B"/>
    <w:rsid w:val="004513E9"/>
    <w:rsid w:val="0045245F"/>
    <w:rsid w:val="0045517C"/>
    <w:rsid w:val="00455C98"/>
    <w:rsid w:val="004713BD"/>
    <w:rsid w:val="00492E45"/>
    <w:rsid w:val="004A02E8"/>
    <w:rsid w:val="004A21FB"/>
    <w:rsid w:val="004A3386"/>
    <w:rsid w:val="004C3B54"/>
    <w:rsid w:val="004C7C3D"/>
    <w:rsid w:val="004D1129"/>
    <w:rsid w:val="004F1E1B"/>
    <w:rsid w:val="004F2AB7"/>
    <w:rsid w:val="004F2CBC"/>
    <w:rsid w:val="00510512"/>
    <w:rsid w:val="00513B5E"/>
    <w:rsid w:val="00516854"/>
    <w:rsid w:val="00517B9C"/>
    <w:rsid w:val="00521E48"/>
    <w:rsid w:val="0052218A"/>
    <w:rsid w:val="0052255E"/>
    <w:rsid w:val="00524107"/>
    <w:rsid w:val="00531D80"/>
    <w:rsid w:val="005445C2"/>
    <w:rsid w:val="005527F9"/>
    <w:rsid w:val="00561AD7"/>
    <w:rsid w:val="005631BA"/>
    <w:rsid w:val="00563F3A"/>
    <w:rsid w:val="00565BCA"/>
    <w:rsid w:val="005741B6"/>
    <w:rsid w:val="00574718"/>
    <w:rsid w:val="00574BFE"/>
    <w:rsid w:val="00576B25"/>
    <w:rsid w:val="00590EB8"/>
    <w:rsid w:val="00596085"/>
    <w:rsid w:val="00596238"/>
    <w:rsid w:val="005A1F8E"/>
    <w:rsid w:val="005A2BCD"/>
    <w:rsid w:val="005A4289"/>
    <w:rsid w:val="005A6082"/>
    <w:rsid w:val="005A6600"/>
    <w:rsid w:val="005A73D0"/>
    <w:rsid w:val="005B1F77"/>
    <w:rsid w:val="005C0394"/>
    <w:rsid w:val="005C39A5"/>
    <w:rsid w:val="005C43AB"/>
    <w:rsid w:val="005C56D1"/>
    <w:rsid w:val="005D004A"/>
    <w:rsid w:val="005D0268"/>
    <w:rsid w:val="005D333D"/>
    <w:rsid w:val="005D3CB6"/>
    <w:rsid w:val="005D620C"/>
    <w:rsid w:val="005E315C"/>
    <w:rsid w:val="005F64F6"/>
    <w:rsid w:val="00603107"/>
    <w:rsid w:val="00605C77"/>
    <w:rsid w:val="0061509B"/>
    <w:rsid w:val="00616366"/>
    <w:rsid w:val="00622731"/>
    <w:rsid w:val="00622B33"/>
    <w:rsid w:val="00625EB4"/>
    <w:rsid w:val="0062670A"/>
    <w:rsid w:val="00634F10"/>
    <w:rsid w:val="00646627"/>
    <w:rsid w:val="0065017E"/>
    <w:rsid w:val="00652FE0"/>
    <w:rsid w:val="0065525B"/>
    <w:rsid w:val="00656401"/>
    <w:rsid w:val="006639CF"/>
    <w:rsid w:val="00667B4D"/>
    <w:rsid w:val="0067336D"/>
    <w:rsid w:val="00675DDD"/>
    <w:rsid w:val="006772A1"/>
    <w:rsid w:val="00682A56"/>
    <w:rsid w:val="006861E5"/>
    <w:rsid w:val="0069062B"/>
    <w:rsid w:val="0069134E"/>
    <w:rsid w:val="006A1878"/>
    <w:rsid w:val="006A294C"/>
    <w:rsid w:val="006B47E8"/>
    <w:rsid w:val="006B5B27"/>
    <w:rsid w:val="006B7A99"/>
    <w:rsid w:val="006C5F68"/>
    <w:rsid w:val="006D064B"/>
    <w:rsid w:val="006D1BEE"/>
    <w:rsid w:val="006D441D"/>
    <w:rsid w:val="006D4572"/>
    <w:rsid w:val="006D79AC"/>
    <w:rsid w:val="006E06F9"/>
    <w:rsid w:val="006E0A0B"/>
    <w:rsid w:val="006E1559"/>
    <w:rsid w:val="006E6433"/>
    <w:rsid w:val="006F40AC"/>
    <w:rsid w:val="006F5F5A"/>
    <w:rsid w:val="007024D5"/>
    <w:rsid w:val="00715CFA"/>
    <w:rsid w:val="00717C42"/>
    <w:rsid w:val="00717EFE"/>
    <w:rsid w:val="00721BD8"/>
    <w:rsid w:val="00724497"/>
    <w:rsid w:val="00732817"/>
    <w:rsid w:val="00733154"/>
    <w:rsid w:val="007358F4"/>
    <w:rsid w:val="00744692"/>
    <w:rsid w:val="00746FF3"/>
    <w:rsid w:val="00753283"/>
    <w:rsid w:val="00754850"/>
    <w:rsid w:val="00755039"/>
    <w:rsid w:val="0076140B"/>
    <w:rsid w:val="00767D40"/>
    <w:rsid w:val="00770203"/>
    <w:rsid w:val="0077078E"/>
    <w:rsid w:val="00776BD6"/>
    <w:rsid w:val="007808DA"/>
    <w:rsid w:val="00782AF3"/>
    <w:rsid w:val="00783F76"/>
    <w:rsid w:val="0079185B"/>
    <w:rsid w:val="0079356F"/>
    <w:rsid w:val="00795958"/>
    <w:rsid w:val="00795C4D"/>
    <w:rsid w:val="00796D01"/>
    <w:rsid w:val="00797A70"/>
    <w:rsid w:val="007A2375"/>
    <w:rsid w:val="007B0DBF"/>
    <w:rsid w:val="007B26CD"/>
    <w:rsid w:val="007B3B5F"/>
    <w:rsid w:val="007C743C"/>
    <w:rsid w:val="007D0C30"/>
    <w:rsid w:val="007D2855"/>
    <w:rsid w:val="007D28A0"/>
    <w:rsid w:val="007D298D"/>
    <w:rsid w:val="007D7701"/>
    <w:rsid w:val="007E288A"/>
    <w:rsid w:val="007F4046"/>
    <w:rsid w:val="007F66C0"/>
    <w:rsid w:val="007F703C"/>
    <w:rsid w:val="00805E7E"/>
    <w:rsid w:val="00806129"/>
    <w:rsid w:val="0080637F"/>
    <w:rsid w:val="00814324"/>
    <w:rsid w:val="00814D63"/>
    <w:rsid w:val="008150CF"/>
    <w:rsid w:val="00815825"/>
    <w:rsid w:val="008159A9"/>
    <w:rsid w:val="00820A01"/>
    <w:rsid w:val="0082131F"/>
    <w:rsid w:val="00827D99"/>
    <w:rsid w:val="008325A4"/>
    <w:rsid w:val="00833061"/>
    <w:rsid w:val="0083457B"/>
    <w:rsid w:val="00834F8B"/>
    <w:rsid w:val="00847B10"/>
    <w:rsid w:val="008519DF"/>
    <w:rsid w:val="00856815"/>
    <w:rsid w:val="00861FC2"/>
    <w:rsid w:val="00867B39"/>
    <w:rsid w:val="0087345D"/>
    <w:rsid w:val="00874135"/>
    <w:rsid w:val="00882CE5"/>
    <w:rsid w:val="008A1F9C"/>
    <w:rsid w:val="008A4396"/>
    <w:rsid w:val="008A7422"/>
    <w:rsid w:val="008B1375"/>
    <w:rsid w:val="008B6D6D"/>
    <w:rsid w:val="008C0DB6"/>
    <w:rsid w:val="008C2837"/>
    <w:rsid w:val="008C30E8"/>
    <w:rsid w:val="008C5C02"/>
    <w:rsid w:val="008C79BD"/>
    <w:rsid w:val="008D2D48"/>
    <w:rsid w:val="008D4956"/>
    <w:rsid w:val="008E03E8"/>
    <w:rsid w:val="008E5591"/>
    <w:rsid w:val="008E6138"/>
    <w:rsid w:val="0090042E"/>
    <w:rsid w:val="00904CF8"/>
    <w:rsid w:val="00914C0B"/>
    <w:rsid w:val="00914DC9"/>
    <w:rsid w:val="00917481"/>
    <w:rsid w:val="009201AF"/>
    <w:rsid w:val="00920A4A"/>
    <w:rsid w:val="00921116"/>
    <w:rsid w:val="00921BA1"/>
    <w:rsid w:val="00922D9B"/>
    <w:rsid w:val="0092757D"/>
    <w:rsid w:val="00931D2A"/>
    <w:rsid w:val="009344DA"/>
    <w:rsid w:val="0093460E"/>
    <w:rsid w:val="00937CB4"/>
    <w:rsid w:val="00940346"/>
    <w:rsid w:val="00944CB7"/>
    <w:rsid w:val="00952C8D"/>
    <w:rsid w:val="009535CB"/>
    <w:rsid w:val="00955E28"/>
    <w:rsid w:val="00956337"/>
    <w:rsid w:val="00960EBE"/>
    <w:rsid w:val="00966577"/>
    <w:rsid w:val="00970587"/>
    <w:rsid w:val="00974F03"/>
    <w:rsid w:val="00986CB5"/>
    <w:rsid w:val="00986FEE"/>
    <w:rsid w:val="009C1F9F"/>
    <w:rsid w:val="009C5933"/>
    <w:rsid w:val="009E01C4"/>
    <w:rsid w:val="009E5B46"/>
    <w:rsid w:val="009F3F8B"/>
    <w:rsid w:val="009F571F"/>
    <w:rsid w:val="00A01850"/>
    <w:rsid w:val="00A06EC5"/>
    <w:rsid w:val="00A116E0"/>
    <w:rsid w:val="00A25E0B"/>
    <w:rsid w:val="00A32E79"/>
    <w:rsid w:val="00A346B7"/>
    <w:rsid w:val="00A405FA"/>
    <w:rsid w:val="00A40B56"/>
    <w:rsid w:val="00A43349"/>
    <w:rsid w:val="00A44B72"/>
    <w:rsid w:val="00A46237"/>
    <w:rsid w:val="00A539B0"/>
    <w:rsid w:val="00A56494"/>
    <w:rsid w:val="00A60808"/>
    <w:rsid w:val="00A64351"/>
    <w:rsid w:val="00A70634"/>
    <w:rsid w:val="00A80BB0"/>
    <w:rsid w:val="00A8125D"/>
    <w:rsid w:val="00A861A5"/>
    <w:rsid w:val="00A94939"/>
    <w:rsid w:val="00A97E87"/>
    <w:rsid w:val="00AB1C36"/>
    <w:rsid w:val="00AB2E2A"/>
    <w:rsid w:val="00AB2F52"/>
    <w:rsid w:val="00AC313F"/>
    <w:rsid w:val="00AC3E5D"/>
    <w:rsid w:val="00AC7CF7"/>
    <w:rsid w:val="00AD40A5"/>
    <w:rsid w:val="00AE127E"/>
    <w:rsid w:val="00AE4417"/>
    <w:rsid w:val="00AF1310"/>
    <w:rsid w:val="00B01D11"/>
    <w:rsid w:val="00B02DA9"/>
    <w:rsid w:val="00B0416F"/>
    <w:rsid w:val="00B12A4F"/>
    <w:rsid w:val="00B15E08"/>
    <w:rsid w:val="00B161DD"/>
    <w:rsid w:val="00B165AD"/>
    <w:rsid w:val="00B16815"/>
    <w:rsid w:val="00B25DAE"/>
    <w:rsid w:val="00B303FF"/>
    <w:rsid w:val="00B3210D"/>
    <w:rsid w:val="00B3691F"/>
    <w:rsid w:val="00B40808"/>
    <w:rsid w:val="00B45BA4"/>
    <w:rsid w:val="00B4671F"/>
    <w:rsid w:val="00B51307"/>
    <w:rsid w:val="00B51AFA"/>
    <w:rsid w:val="00B5412F"/>
    <w:rsid w:val="00B55593"/>
    <w:rsid w:val="00B56746"/>
    <w:rsid w:val="00B570FF"/>
    <w:rsid w:val="00B61010"/>
    <w:rsid w:val="00B66A48"/>
    <w:rsid w:val="00B76B96"/>
    <w:rsid w:val="00B8390E"/>
    <w:rsid w:val="00B846DA"/>
    <w:rsid w:val="00B877A4"/>
    <w:rsid w:val="00B93F62"/>
    <w:rsid w:val="00B946A0"/>
    <w:rsid w:val="00BA1099"/>
    <w:rsid w:val="00BA2A6B"/>
    <w:rsid w:val="00BA7595"/>
    <w:rsid w:val="00BB5149"/>
    <w:rsid w:val="00BC3D7B"/>
    <w:rsid w:val="00BC4ACE"/>
    <w:rsid w:val="00BC5D8E"/>
    <w:rsid w:val="00BD169F"/>
    <w:rsid w:val="00BD29EB"/>
    <w:rsid w:val="00BD4D07"/>
    <w:rsid w:val="00BD657C"/>
    <w:rsid w:val="00BD77DA"/>
    <w:rsid w:val="00BE2FC3"/>
    <w:rsid w:val="00BE4BE9"/>
    <w:rsid w:val="00BF4297"/>
    <w:rsid w:val="00BF451A"/>
    <w:rsid w:val="00C07F32"/>
    <w:rsid w:val="00C3317C"/>
    <w:rsid w:val="00C50219"/>
    <w:rsid w:val="00C521E1"/>
    <w:rsid w:val="00C524B2"/>
    <w:rsid w:val="00C53B1E"/>
    <w:rsid w:val="00C55A76"/>
    <w:rsid w:val="00C56F95"/>
    <w:rsid w:val="00C60A18"/>
    <w:rsid w:val="00C81158"/>
    <w:rsid w:val="00C86808"/>
    <w:rsid w:val="00C916C9"/>
    <w:rsid w:val="00C92B4D"/>
    <w:rsid w:val="00C936C2"/>
    <w:rsid w:val="00C93917"/>
    <w:rsid w:val="00C94FFC"/>
    <w:rsid w:val="00C95C2C"/>
    <w:rsid w:val="00CA17E3"/>
    <w:rsid w:val="00CA4D10"/>
    <w:rsid w:val="00CA5D36"/>
    <w:rsid w:val="00CA60F5"/>
    <w:rsid w:val="00CA70DE"/>
    <w:rsid w:val="00CA7D97"/>
    <w:rsid w:val="00CB6BF6"/>
    <w:rsid w:val="00CB77DA"/>
    <w:rsid w:val="00CE5812"/>
    <w:rsid w:val="00CF0563"/>
    <w:rsid w:val="00CF5B16"/>
    <w:rsid w:val="00D010CB"/>
    <w:rsid w:val="00D06B44"/>
    <w:rsid w:val="00D11309"/>
    <w:rsid w:val="00D14866"/>
    <w:rsid w:val="00D15658"/>
    <w:rsid w:val="00D23790"/>
    <w:rsid w:val="00D257C8"/>
    <w:rsid w:val="00D26C16"/>
    <w:rsid w:val="00D2751E"/>
    <w:rsid w:val="00D30FF4"/>
    <w:rsid w:val="00D32130"/>
    <w:rsid w:val="00D341E6"/>
    <w:rsid w:val="00D35FFA"/>
    <w:rsid w:val="00D5035B"/>
    <w:rsid w:val="00D52C95"/>
    <w:rsid w:val="00D53C12"/>
    <w:rsid w:val="00D56831"/>
    <w:rsid w:val="00D622B3"/>
    <w:rsid w:val="00D663D6"/>
    <w:rsid w:val="00D70A01"/>
    <w:rsid w:val="00D70A45"/>
    <w:rsid w:val="00D819EE"/>
    <w:rsid w:val="00D83601"/>
    <w:rsid w:val="00D846CC"/>
    <w:rsid w:val="00DA0848"/>
    <w:rsid w:val="00DA18F3"/>
    <w:rsid w:val="00DA4FC5"/>
    <w:rsid w:val="00DB0F51"/>
    <w:rsid w:val="00DB6842"/>
    <w:rsid w:val="00DC1638"/>
    <w:rsid w:val="00DE3B66"/>
    <w:rsid w:val="00DF2EB5"/>
    <w:rsid w:val="00E07406"/>
    <w:rsid w:val="00E20406"/>
    <w:rsid w:val="00E25777"/>
    <w:rsid w:val="00E501B2"/>
    <w:rsid w:val="00E53221"/>
    <w:rsid w:val="00E532C7"/>
    <w:rsid w:val="00E57B4C"/>
    <w:rsid w:val="00E82EB4"/>
    <w:rsid w:val="00E95A20"/>
    <w:rsid w:val="00EA6A8B"/>
    <w:rsid w:val="00EB00D4"/>
    <w:rsid w:val="00EB6229"/>
    <w:rsid w:val="00EB7453"/>
    <w:rsid w:val="00ED2BE2"/>
    <w:rsid w:val="00ED50E4"/>
    <w:rsid w:val="00ED67CD"/>
    <w:rsid w:val="00EE1532"/>
    <w:rsid w:val="00EE5593"/>
    <w:rsid w:val="00EF2E0A"/>
    <w:rsid w:val="00EF482A"/>
    <w:rsid w:val="00F1227C"/>
    <w:rsid w:val="00F139A2"/>
    <w:rsid w:val="00F13A79"/>
    <w:rsid w:val="00F177E7"/>
    <w:rsid w:val="00F21AEB"/>
    <w:rsid w:val="00F25F04"/>
    <w:rsid w:val="00F34F06"/>
    <w:rsid w:val="00F47130"/>
    <w:rsid w:val="00F56E1C"/>
    <w:rsid w:val="00F625E5"/>
    <w:rsid w:val="00F64DA8"/>
    <w:rsid w:val="00F667BB"/>
    <w:rsid w:val="00F66EFD"/>
    <w:rsid w:val="00F75E83"/>
    <w:rsid w:val="00F83DC0"/>
    <w:rsid w:val="00F85250"/>
    <w:rsid w:val="00F9070E"/>
    <w:rsid w:val="00FA0FA4"/>
    <w:rsid w:val="00FA364C"/>
    <w:rsid w:val="00FB55D6"/>
    <w:rsid w:val="00FB5B91"/>
    <w:rsid w:val="00FD5B76"/>
    <w:rsid w:val="00FE0D25"/>
    <w:rsid w:val="00FE3AD3"/>
    <w:rsid w:val="00FE5B64"/>
    <w:rsid w:val="00FE5FFD"/>
    <w:rsid w:val="00FF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B5D7"/>
  <w15:chartTrackingRefBased/>
  <w15:docId w15:val="{2A0DF505-7446-4884-B815-A422641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B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85B"/>
    <w:pPr>
      <w:spacing w:after="0" w:line="240" w:lineRule="auto"/>
    </w:pPr>
  </w:style>
  <w:style w:type="paragraph" w:styleId="BalloonText">
    <w:name w:val="Balloon Text"/>
    <w:basedOn w:val="Normal"/>
    <w:link w:val="BalloonTextChar"/>
    <w:uiPriority w:val="99"/>
    <w:semiHidden/>
    <w:unhideWhenUsed/>
    <w:rsid w:val="00805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E"/>
    <w:rPr>
      <w:rFonts w:ascii="Segoe UI" w:hAnsi="Segoe UI" w:cs="Segoe UI"/>
      <w:sz w:val="18"/>
      <w:szCs w:val="18"/>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B3210D"/>
    <w:pPr>
      <w:spacing w:after="0" w:line="240" w:lineRule="auto"/>
      <w:ind w:left="720"/>
      <w:jc w:val="both"/>
    </w:pPr>
    <w:rPr>
      <w:rFonts w:ascii="Arial" w:eastAsia="Times New Roman" w:hAnsi="Arial" w:cs="Arial"/>
      <w:sz w:val="24"/>
      <w:szCs w:val="24"/>
    </w:rPr>
  </w:style>
  <w:style w:type="table" w:styleId="TableGrid">
    <w:name w:val="Table Grid"/>
    <w:basedOn w:val="TableNormal"/>
    <w:uiPriority w:val="59"/>
    <w:rsid w:val="00B3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767"/>
    <w:rPr>
      <w:sz w:val="16"/>
      <w:szCs w:val="16"/>
    </w:rPr>
  </w:style>
  <w:style w:type="paragraph" w:styleId="CommentText">
    <w:name w:val="annotation text"/>
    <w:basedOn w:val="Normal"/>
    <w:link w:val="CommentTextChar"/>
    <w:uiPriority w:val="99"/>
    <w:semiHidden/>
    <w:unhideWhenUsed/>
    <w:rsid w:val="00253767"/>
    <w:pPr>
      <w:spacing w:line="240" w:lineRule="auto"/>
    </w:pPr>
    <w:rPr>
      <w:sz w:val="20"/>
      <w:szCs w:val="20"/>
    </w:rPr>
  </w:style>
  <w:style w:type="character" w:customStyle="1" w:styleId="CommentTextChar">
    <w:name w:val="Comment Text Char"/>
    <w:basedOn w:val="DefaultParagraphFont"/>
    <w:link w:val="CommentText"/>
    <w:uiPriority w:val="99"/>
    <w:semiHidden/>
    <w:rsid w:val="00253767"/>
    <w:rPr>
      <w:sz w:val="20"/>
      <w:szCs w:val="20"/>
    </w:rPr>
  </w:style>
  <w:style w:type="paragraph" w:styleId="CommentSubject">
    <w:name w:val="annotation subject"/>
    <w:basedOn w:val="CommentText"/>
    <w:next w:val="CommentText"/>
    <w:link w:val="CommentSubjectChar"/>
    <w:uiPriority w:val="99"/>
    <w:semiHidden/>
    <w:unhideWhenUsed/>
    <w:rsid w:val="00253767"/>
    <w:rPr>
      <w:b/>
      <w:bCs/>
    </w:rPr>
  </w:style>
  <w:style w:type="character" w:customStyle="1" w:styleId="CommentSubjectChar">
    <w:name w:val="Comment Subject Char"/>
    <w:basedOn w:val="CommentTextChar"/>
    <w:link w:val="CommentSubject"/>
    <w:uiPriority w:val="99"/>
    <w:semiHidden/>
    <w:rsid w:val="00253767"/>
    <w:rPr>
      <w:b/>
      <w:bCs/>
      <w:sz w:val="20"/>
      <w:szCs w:val="20"/>
    </w:rPr>
  </w:style>
  <w:style w:type="paragraph" w:customStyle="1" w:styleId="Default">
    <w:name w:val="Default"/>
    <w:basedOn w:val="Normal"/>
    <w:rsid w:val="007D2855"/>
    <w:pPr>
      <w:autoSpaceDE w:val="0"/>
      <w:autoSpaceDN w:val="0"/>
      <w:spacing w:after="0" w:line="240" w:lineRule="auto"/>
    </w:pPr>
    <w:rPr>
      <w:rFonts w:ascii="Arial" w:hAnsi="Arial" w:cs="Arial"/>
      <w:color w:val="000000"/>
      <w:sz w:val="24"/>
      <w:szCs w:val="24"/>
      <w:lang w:eastAsia="en-GB"/>
    </w:rPr>
  </w:style>
  <w:style w:type="character" w:styleId="Strong">
    <w:name w:val="Strong"/>
    <w:basedOn w:val="DefaultParagraphFont"/>
    <w:uiPriority w:val="22"/>
    <w:qFormat/>
    <w:rsid w:val="00A70634"/>
    <w:rPr>
      <w:b/>
      <w:bCs/>
    </w:rPr>
  </w:style>
  <w:style w:type="paragraph" w:styleId="Header">
    <w:name w:val="header"/>
    <w:basedOn w:val="Normal"/>
    <w:link w:val="HeaderChar"/>
    <w:uiPriority w:val="99"/>
    <w:unhideWhenUsed/>
    <w:rsid w:val="003D0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16"/>
  </w:style>
  <w:style w:type="paragraph" w:styleId="Footer">
    <w:name w:val="footer"/>
    <w:basedOn w:val="Normal"/>
    <w:link w:val="FooterChar"/>
    <w:uiPriority w:val="99"/>
    <w:unhideWhenUsed/>
    <w:rsid w:val="003D0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16"/>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2A4F30"/>
    <w:rPr>
      <w:rFonts w:ascii="Arial" w:eastAsia="Times New Roman" w:hAnsi="Arial" w:cs="Arial"/>
      <w:sz w:val="24"/>
      <w:szCs w:val="24"/>
    </w:rPr>
  </w:style>
  <w:style w:type="character" w:customStyle="1" w:styleId="Heading1Char">
    <w:name w:val="Heading 1 Char"/>
    <w:basedOn w:val="DefaultParagraphFont"/>
    <w:link w:val="Heading1"/>
    <w:uiPriority w:val="9"/>
    <w:rsid w:val="00FB5B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0808"/>
    <w:pPr>
      <w:outlineLvl w:val="9"/>
    </w:pPr>
    <w:rPr>
      <w:lang w:val="en-US"/>
    </w:rPr>
  </w:style>
  <w:style w:type="paragraph" w:styleId="TOC1">
    <w:name w:val="toc 1"/>
    <w:basedOn w:val="Normal"/>
    <w:next w:val="Normal"/>
    <w:autoRedefine/>
    <w:uiPriority w:val="39"/>
    <w:unhideWhenUsed/>
    <w:rsid w:val="00A60808"/>
    <w:pPr>
      <w:spacing w:after="100"/>
    </w:pPr>
  </w:style>
  <w:style w:type="paragraph" w:styleId="TOC2">
    <w:name w:val="toc 2"/>
    <w:basedOn w:val="Normal"/>
    <w:next w:val="Normal"/>
    <w:autoRedefine/>
    <w:uiPriority w:val="39"/>
    <w:unhideWhenUsed/>
    <w:rsid w:val="00A60808"/>
    <w:pPr>
      <w:spacing w:after="100"/>
      <w:ind w:left="220"/>
    </w:pPr>
  </w:style>
  <w:style w:type="character" w:styleId="Hyperlink">
    <w:name w:val="Hyperlink"/>
    <w:basedOn w:val="DefaultParagraphFont"/>
    <w:uiPriority w:val="99"/>
    <w:unhideWhenUsed/>
    <w:rsid w:val="00A60808"/>
    <w:rPr>
      <w:color w:val="0563C1" w:themeColor="hyperlink"/>
      <w:u w:val="single"/>
    </w:rPr>
  </w:style>
  <w:style w:type="paragraph" w:styleId="NormalWeb">
    <w:name w:val="Normal (Web)"/>
    <w:basedOn w:val="Normal"/>
    <w:uiPriority w:val="99"/>
    <w:semiHidden/>
    <w:unhideWhenUsed/>
    <w:rsid w:val="00150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541">
      <w:bodyDiv w:val="1"/>
      <w:marLeft w:val="0"/>
      <w:marRight w:val="0"/>
      <w:marTop w:val="0"/>
      <w:marBottom w:val="0"/>
      <w:divBdr>
        <w:top w:val="none" w:sz="0" w:space="0" w:color="auto"/>
        <w:left w:val="none" w:sz="0" w:space="0" w:color="auto"/>
        <w:bottom w:val="none" w:sz="0" w:space="0" w:color="auto"/>
        <w:right w:val="none" w:sz="0" w:space="0" w:color="auto"/>
      </w:divBdr>
    </w:div>
    <w:div w:id="385690044">
      <w:bodyDiv w:val="1"/>
      <w:marLeft w:val="0"/>
      <w:marRight w:val="0"/>
      <w:marTop w:val="0"/>
      <w:marBottom w:val="0"/>
      <w:divBdr>
        <w:top w:val="none" w:sz="0" w:space="0" w:color="auto"/>
        <w:left w:val="none" w:sz="0" w:space="0" w:color="auto"/>
        <w:bottom w:val="none" w:sz="0" w:space="0" w:color="auto"/>
        <w:right w:val="none" w:sz="0" w:space="0" w:color="auto"/>
      </w:divBdr>
    </w:div>
    <w:div w:id="471873615">
      <w:bodyDiv w:val="1"/>
      <w:marLeft w:val="0"/>
      <w:marRight w:val="0"/>
      <w:marTop w:val="0"/>
      <w:marBottom w:val="0"/>
      <w:divBdr>
        <w:top w:val="none" w:sz="0" w:space="0" w:color="auto"/>
        <w:left w:val="none" w:sz="0" w:space="0" w:color="auto"/>
        <w:bottom w:val="none" w:sz="0" w:space="0" w:color="auto"/>
        <w:right w:val="none" w:sz="0" w:space="0" w:color="auto"/>
      </w:divBdr>
    </w:div>
    <w:div w:id="539980369">
      <w:bodyDiv w:val="1"/>
      <w:marLeft w:val="0"/>
      <w:marRight w:val="0"/>
      <w:marTop w:val="0"/>
      <w:marBottom w:val="0"/>
      <w:divBdr>
        <w:top w:val="none" w:sz="0" w:space="0" w:color="auto"/>
        <w:left w:val="none" w:sz="0" w:space="0" w:color="auto"/>
        <w:bottom w:val="none" w:sz="0" w:space="0" w:color="auto"/>
        <w:right w:val="none" w:sz="0" w:space="0" w:color="auto"/>
      </w:divBdr>
    </w:div>
    <w:div w:id="815222840">
      <w:bodyDiv w:val="1"/>
      <w:marLeft w:val="0"/>
      <w:marRight w:val="0"/>
      <w:marTop w:val="0"/>
      <w:marBottom w:val="0"/>
      <w:divBdr>
        <w:top w:val="none" w:sz="0" w:space="0" w:color="auto"/>
        <w:left w:val="none" w:sz="0" w:space="0" w:color="auto"/>
        <w:bottom w:val="none" w:sz="0" w:space="0" w:color="auto"/>
        <w:right w:val="none" w:sz="0" w:space="0" w:color="auto"/>
      </w:divBdr>
    </w:div>
    <w:div w:id="1411000685">
      <w:bodyDiv w:val="1"/>
      <w:marLeft w:val="0"/>
      <w:marRight w:val="0"/>
      <w:marTop w:val="0"/>
      <w:marBottom w:val="0"/>
      <w:divBdr>
        <w:top w:val="none" w:sz="0" w:space="0" w:color="auto"/>
        <w:left w:val="none" w:sz="0" w:space="0" w:color="auto"/>
        <w:bottom w:val="none" w:sz="0" w:space="0" w:color="auto"/>
        <w:right w:val="none" w:sz="0" w:space="0" w:color="auto"/>
      </w:divBdr>
    </w:div>
    <w:div w:id="1483890247">
      <w:bodyDiv w:val="1"/>
      <w:marLeft w:val="0"/>
      <w:marRight w:val="0"/>
      <w:marTop w:val="0"/>
      <w:marBottom w:val="0"/>
      <w:divBdr>
        <w:top w:val="none" w:sz="0" w:space="0" w:color="auto"/>
        <w:left w:val="none" w:sz="0" w:space="0" w:color="auto"/>
        <w:bottom w:val="none" w:sz="0" w:space="0" w:color="auto"/>
        <w:right w:val="none" w:sz="0" w:space="0" w:color="auto"/>
      </w:divBdr>
    </w:div>
    <w:div w:id="1511750189">
      <w:bodyDiv w:val="1"/>
      <w:marLeft w:val="0"/>
      <w:marRight w:val="0"/>
      <w:marTop w:val="0"/>
      <w:marBottom w:val="0"/>
      <w:divBdr>
        <w:top w:val="none" w:sz="0" w:space="0" w:color="auto"/>
        <w:left w:val="none" w:sz="0" w:space="0" w:color="auto"/>
        <w:bottom w:val="none" w:sz="0" w:space="0" w:color="auto"/>
        <w:right w:val="none" w:sz="0" w:space="0" w:color="auto"/>
      </w:divBdr>
    </w:div>
    <w:div w:id="1783836393">
      <w:bodyDiv w:val="1"/>
      <w:marLeft w:val="0"/>
      <w:marRight w:val="0"/>
      <w:marTop w:val="0"/>
      <w:marBottom w:val="0"/>
      <w:divBdr>
        <w:top w:val="none" w:sz="0" w:space="0" w:color="auto"/>
        <w:left w:val="none" w:sz="0" w:space="0" w:color="auto"/>
        <w:bottom w:val="none" w:sz="0" w:space="0" w:color="auto"/>
        <w:right w:val="none" w:sz="0" w:space="0" w:color="auto"/>
      </w:divBdr>
    </w:div>
    <w:div w:id="20837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DE34.B183CC2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E0CC-1568-4F4E-A84F-2DF113D7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12978</Words>
  <Characters>73976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Newling-Ward</dc:creator>
  <cp:keywords/>
  <dc:description/>
  <cp:lastModifiedBy>Sonia Burton</cp:lastModifiedBy>
  <cp:revision>2</cp:revision>
  <dcterms:created xsi:type="dcterms:W3CDTF">2024-01-22T14:37:00Z</dcterms:created>
  <dcterms:modified xsi:type="dcterms:W3CDTF">2024-01-22T14:37:00Z</dcterms:modified>
</cp:coreProperties>
</file>